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bookmarkStart w:colFirst="0" w:colLast="0" w:name="_gjdgxs" w:id="0"/>
      <w:bookmarkEnd w:id="0"/>
      <w:r w:rsidDel="00000000" w:rsidR="00000000" w:rsidRPr="00000000">
        <w:rPr>
          <w:rFonts w:ascii="Arial" w:cs="Arial" w:eastAsia="Arial" w:hAnsi="Arial"/>
          <w:b w:val="1"/>
          <w:sz w:val="26"/>
          <w:szCs w:val="26"/>
          <w:rtl w:val="0"/>
        </w:rPr>
        <w:t xml:space="preserve">SCI-726-2014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9248.0" w:type="dxa"/>
        <w:jc w:val="left"/>
        <w:tblInd w:w="-6.999999999999993" w:type="dxa"/>
        <w:tblLayout w:type="fixed"/>
        <w:tblLook w:val="0000"/>
      </w:tblPr>
      <w:tblGrid>
        <w:gridCol w:w="1123"/>
        <w:gridCol w:w="11"/>
        <w:gridCol w:w="8114"/>
        <w:tblGridChange w:id="0">
          <w:tblGrid>
            <w:gridCol w:w="1123"/>
            <w:gridCol w:w="11"/>
            <w:gridCol w:w="8114"/>
          </w:tblGrid>
        </w:tblGridChange>
      </w:tblGrid>
      <w:tr>
        <w:tc>
          <w:tcPr>
            <w:gridSpan w:val="2"/>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4"/>
                <w:szCs w:val="24"/>
                <w:rtl w:val="0"/>
              </w:rPr>
              <w:t xml:space="preserve">Para:</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Dr. Julio Calvo Alvarado, Rector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MAE. William Vives, Vicerrector de Administración</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Ing. Luis Paulino Méndez, Vicerrector de Docencia</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MAU. Tatiana Fernández, Directora Oficina de Planificación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MBA. Harold Blanco Leitón, Director Departamento Recursos Humanos</w:t>
            </w:r>
          </w:p>
          <w:p w:rsidR="00000000" w:rsidDel="00000000" w:rsidP="00000000" w:rsidRDefault="00000000" w:rsidRPr="00000000">
            <w:pPr>
              <w:ind w:left="45" w:firstLine="0"/>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 </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Licda. Bertalía Sánchez Salas, Directora Ejecutiva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Secretaría del Consejo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Instituto Tecnológico de Costa Rica </w:t>
            </w:r>
          </w:p>
        </w:tc>
      </w:tr>
      <w:tr>
        <w:trPr>
          <w:trHeight w:val="320" w:hRule="atLeast"/>
        </w:trPr>
        <w:tc>
          <w:tcPr>
            <w:gridSpan w:val="2"/>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24 de setiembre de 2014</w:t>
            </w:r>
          </w:p>
        </w:tc>
      </w:tr>
      <w:tr>
        <w:trPr>
          <w:trHeight w:val="280" w:hRule="atLeast"/>
        </w:trPr>
        <w:tc>
          <w:tcPr>
            <w:gridSpan w:val="2"/>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Asunto:</w:t>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Sesión Ordinaria No. 2886, Artículo 10, del 24 de setiembre de 2014. </w:t>
            </w:r>
            <w:r w:rsidDel="00000000" w:rsidR="00000000" w:rsidRPr="00000000">
              <w:rPr>
                <w:rFonts w:ascii="Arial" w:cs="Arial" w:eastAsia="Arial" w:hAnsi="Arial"/>
                <w:b w:val="1"/>
                <w:sz w:val="24"/>
                <w:szCs w:val="24"/>
                <w:rtl w:val="0"/>
              </w:rPr>
              <w:t xml:space="preserve">Autorización de cambio uso de la plaza FS0030, durante el II Semestre 2014, para ser utilizada en la Vicerrectoría de Docencia</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Para los fines correspondientes se transcribe el acuerdo tomado por el Consejo Institucional, citado en la referencia, el cual dice: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070"/>
        </w:tabs>
        <w:spacing w:after="0" w:before="0" w:lineRule="auto"/>
        <w:contextualSpacing w:val="0"/>
        <w:jc w:val="both"/>
      </w:pPr>
      <w:r w:rsidDel="00000000" w:rsidR="00000000" w:rsidRPr="00000000">
        <w:rPr>
          <w:rFonts w:ascii="Arial" w:cs="Arial" w:eastAsia="Arial" w:hAnsi="Arial"/>
          <w:b w:val="1"/>
          <w:sz w:val="24"/>
          <w:szCs w:val="24"/>
          <w:rtl w:val="0"/>
        </w:rPr>
        <w:t xml:space="preserve">CONSIDERANDO QUE:</w:t>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2"/>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El Consejo Institucional en Sesión Ordinaria No.  2839, Artículo 11, del 26 de setiembre de 2013, aprobó la “Renovación de Plazas 2014, Fondos del Sistema”, en su línea 26, aprobó las plaza FS0030, con las siguientes características:</w:t>
      </w:r>
    </w:p>
    <w:p w:rsidR="00000000" w:rsidDel="00000000" w:rsidP="00000000" w:rsidRDefault="00000000" w:rsidRPr="00000000">
      <w:pPr>
        <w:ind w:left="1320" w:hanging="1320"/>
        <w:contextualSpacing w:val="0"/>
        <w:jc w:val="both"/>
      </w:pPr>
      <w:r w:rsidDel="00000000" w:rsidR="00000000" w:rsidRPr="00000000">
        <w:rPr>
          <w:rtl w:val="0"/>
        </w:rPr>
      </w:r>
    </w:p>
    <w:tbl>
      <w:tblPr>
        <w:tblStyle w:val="Table2"/>
        <w:bidi w:val="0"/>
        <w:tblW w:w="8778.999999999998" w:type="dxa"/>
        <w:jc w:val="center"/>
        <w:tblInd w:w="-70.0" w:type="dxa"/>
        <w:tblLayout w:type="fixed"/>
        <w:tblLook w:val="0400"/>
      </w:tblPr>
      <w:tblGrid>
        <w:gridCol w:w="459"/>
        <w:gridCol w:w="548"/>
        <w:gridCol w:w="1289"/>
        <w:gridCol w:w="1457"/>
        <w:gridCol w:w="521"/>
        <w:gridCol w:w="574"/>
        <w:gridCol w:w="690"/>
        <w:gridCol w:w="555"/>
        <w:gridCol w:w="1299"/>
        <w:gridCol w:w="1387"/>
        <w:tblGridChange w:id="0">
          <w:tblGrid>
            <w:gridCol w:w="459"/>
            <w:gridCol w:w="548"/>
            <w:gridCol w:w="1289"/>
            <w:gridCol w:w="1457"/>
            <w:gridCol w:w="521"/>
            <w:gridCol w:w="574"/>
            <w:gridCol w:w="690"/>
            <w:gridCol w:w="555"/>
            <w:gridCol w:w="1299"/>
            <w:gridCol w:w="1387"/>
          </w:tblGrid>
        </w:tblGridChange>
      </w:tblGrid>
      <w:tr>
        <w:trPr>
          <w:trHeight w:val="1140" w:hRule="atLeast"/>
        </w:trPr>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rtl w:val="0"/>
              </w:rPr>
              <w:t xml:space="preserv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rtl w:val="0"/>
              </w:rPr>
              <w:t xml:space="preserve">Programa</w:t>
            </w:r>
          </w:p>
        </w:tc>
        <w:tc>
          <w:tcPr>
            <w:tcBorders>
              <w:top w:color="000000" w:space="0" w:sz="4" w:val="single"/>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8"/>
                <w:szCs w:val="18"/>
                <w:rtl w:val="0"/>
              </w:rPr>
              <w:t xml:space="preserve">Número de Plaza Original</w:t>
            </w:r>
          </w:p>
        </w:tc>
        <w:tc>
          <w:tcPr>
            <w:tcBorders>
              <w:top w:color="000000" w:space="0" w:sz="4" w:val="single"/>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rtl w:val="0"/>
              </w:rPr>
              <w:t xml:space="preserve">Puesto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0070c0"/>
            <w:vAlign w:val="center"/>
          </w:tcPr>
          <w:p w:rsidR="00000000" w:rsidDel="00000000" w:rsidP="00000000" w:rsidRDefault="00000000" w:rsidRPr="00000000">
            <w:pPr>
              <w:ind w:left="113" w:right="113" w:firstLine="0"/>
              <w:contextualSpacing w:val="0"/>
              <w:jc w:val="center"/>
            </w:pPr>
            <w:r w:rsidDel="00000000" w:rsidR="00000000" w:rsidRPr="00000000">
              <w:rPr>
                <w:rFonts w:ascii="Arial" w:cs="Arial" w:eastAsia="Arial" w:hAnsi="Arial"/>
                <w:b w:val="1"/>
                <w:color w:val="ffffff"/>
                <w:sz w:val="16"/>
                <w:szCs w:val="16"/>
                <w:rtl w:val="0"/>
              </w:rPr>
              <w:t xml:space="preserve">Categoría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rtl w:val="0"/>
              </w:rPr>
              <w:t xml:space="preserve">Período </w:t>
              <w:br w:type="textWrapping"/>
              <w:t xml:space="preserve">(meses)</w:t>
            </w:r>
          </w:p>
        </w:tc>
        <w:tc>
          <w:tcPr>
            <w:tcBorders>
              <w:top w:color="000000" w:space="0" w:sz="4" w:val="single"/>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rtl w:val="0"/>
              </w:rPr>
              <w:t xml:space="preserve">% Jornada</w:t>
              <w:br w:type="textWrapping"/>
              <w:t xml:space="preserve">Aprobada</w:t>
            </w:r>
          </w:p>
        </w:tc>
        <w:tc>
          <w:tcPr>
            <w:tcBorders>
              <w:top w:color="000000" w:space="0" w:sz="4" w:val="single"/>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rtl w:val="0"/>
              </w:rPr>
              <w:t xml:space="preserve">TCE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sz w:val="16"/>
                <w:szCs w:val="16"/>
                <w:rtl w:val="0"/>
              </w:rPr>
              <w:t xml:space="preserve">Nombramiento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0070c0"/>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ffffff"/>
                <w:rtl w:val="0"/>
              </w:rPr>
              <w:t xml:space="preserve">Adscrita a:</w:t>
            </w:r>
            <w:r w:rsidDel="00000000" w:rsidR="00000000" w:rsidRPr="00000000">
              <w:rPr>
                <w:rtl w:val="0"/>
              </w:rPr>
            </w:r>
          </w:p>
        </w:tc>
      </w:tr>
      <w:tr>
        <w:trPr>
          <w:trHeight w:val="820" w:hRule="atLeast"/>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rtl w:val="0"/>
              </w:rPr>
              <w:t xml:space="preserve">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rtl w:val="0"/>
              </w:rPr>
              <w:t xml:space="preserve">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FS0030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Profesor (a)</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9,5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100%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0,79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Temporal</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rtl w:val="0"/>
              </w:rPr>
              <w:t xml:space="preserve">Dirección Vicerrectoría de Docencia</w:t>
            </w:r>
          </w:p>
        </w:tc>
      </w:tr>
    </w:tbl>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2"/>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La Secretaría del Consejo Institucional recibe el oficio OPI-0637-2014, con fecha de recibido 08 de setiembre de 2014, suscrito por la MAU.  Tatiana Fernández Martín, Directora de la Oficina de Planificación Institucional, dirigido al Ing.  Alexander Valerín Castro, Coordinador de la Comisión de Planificación y Administración, en el cual remite dictamen sobre la solicitud de modificación de la utilización de la plaza FS0031.  Adjunta copia del memorando RH-1013-2014, en que se remite la información de la misma. (Ver Anexo 1)</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2"/>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Mediante oficio PB-937-2014, del 09 de setiembre de 2014, suscrito por la Bach.  Sonia Guzmán Arrieta, Secretaria Ejecutiva a.i., Comité de Becas del Departamento de Recursos Humanos, dirigido a la MAU.  Tatiana Fernández Martín, Directora de la Oficina de Planificación, con copia al Ing.  Luis Paulino Méndez Badilla, Vicerrector de Docencia, se informa que el Comité de Becas aprobó el día 5 de setiembre de 2014, el uso de la plaza FS0030 por parte de la Vicerrectoría de Docencia, ya que los tiempos de estudio para posgrados ya fueron debidamente asignados para el segundo semestre de 2014 y dicha plaza se encuentra disponible.  (Anexo 2)</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numPr>
          <w:ilvl w:val="0"/>
          <w:numId w:val="2"/>
        </w:numPr>
        <w:spacing w:after="0" w:before="0" w:line="240" w:lineRule="auto"/>
        <w:ind w:left="360" w:hanging="360"/>
        <w:jc w:val="both"/>
        <w:rPr>
          <w:rFonts w:ascii="Arial" w:cs="Arial" w:eastAsia="Arial" w:hAnsi="Arial"/>
          <w:sz w:val="24"/>
          <w:szCs w:val="24"/>
        </w:rPr>
      </w:pPr>
      <w:r w:rsidDel="00000000" w:rsidR="00000000" w:rsidRPr="00000000">
        <w:rPr>
          <w:rFonts w:ascii="Arial" w:cs="Arial" w:eastAsia="Arial" w:hAnsi="Arial"/>
          <w:b w:val="0"/>
          <w:sz w:val="24"/>
          <w:szCs w:val="24"/>
          <w:rtl w:val="0"/>
        </w:rPr>
        <w:t xml:space="preserve">La Comisión de Planificación y Administración en Reunión No.  591-2014, del 11 de julio de 2014, conoció en el punto de correspondencia, el oficio OPI-0637-2014 y el oficio PB-937-2014 y dispone elevar la propuesta al pleno.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rtl w:val="0"/>
        </w:rPr>
        <w:t xml:space="preserve">SE ACUERDA:</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numPr>
          <w:ilvl w:val="0"/>
          <w:numId w:val="1"/>
        </w:numPr>
        <w:spacing w:after="0" w:before="0" w:line="240" w:lineRule="auto"/>
        <w:ind w:left="360" w:right="-91" w:hanging="360"/>
        <w:jc w:val="both"/>
        <w:rPr>
          <w:rFonts w:ascii="Arial" w:cs="Arial" w:eastAsia="Arial" w:hAnsi="Arial"/>
        </w:rPr>
      </w:pPr>
      <w:r w:rsidDel="00000000" w:rsidR="00000000" w:rsidRPr="00000000">
        <w:rPr>
          <w:rFonts w:ascii="Arial" w:cs="Arial" w:eastAsia="Arial" w:hAnsi="Arial"/>
          <w:b w:val="0"/>
          <w:sz w:val="24"/>
          <w:szCs w:val="24"/>
          <w:rtl w:val="0"/>
        </w:rPr>
        <w:t xml:space="preserve">Aprobar el cambio de uso de la plaza FS0030, durante el II Semestre de 2014, para que sea utilizada por la Vicerrectoría de Docencia para impartir cursos en las Escuelas que lo requieran, con las siguientes características:</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tbl>
      <w:tblPr>
        <w:tblStyle w:val="Table3"/>
        <w:bidi w:val="0"/>
        <w:tblW w:w="8783.0" w:type="dxa"/>
        <w:jc w:val="left"/>
        <w:tblLayout w:type="fixed"/>
        <w:tblLook w:val="0400"/>
      </w:tblPr>
      <w:tblGrid>
        <w:gridCol w:w="1013"/>
        <w:gridCol w:w="1008"/>
        <w:gridCol w:w="1005"/>
        <w:gridCol w:w="1129"/>
        <w:gridCol w:w="1440"/>
        <w:gridCol w:w="1442"/>
        <w:gridCol w:w="1746"/>
        <w:tblGridChange w:id="0">
          <w:tblGrid>
            <w:gridCol w:w="1013"/>
            <w:gridCol w:w="1008"/>
            <w:gridCol w:w="1005"/>
            <w:gridCol w:w="1129"/>
            <w:gridCol w:w="1440"/>
            <w:gridCol w:w="1442"/>
            <w:gridCol w:w="1746"/>
          </w:tblGrid>
        </w:tblGridChange>
      </w:tblGrid>
      <w:tr>
        <w:trPr>
          <w:trHeight w:val="600" w:hRule="atLeast"/>
        </w:trPr>
        <w:tc>
          <w:tcPr>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Número de plaza</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Puesto</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Categoría</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Jornada %</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Equivalencia de Tiempo Completo</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Adscrita a:</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Justificación</w:t>
            </w:r>
          </w:p>
        </w:tc>
      </w:tr>
      <w:tr>
        <w:trPr>
          <w:trHeight w:val="6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FS0030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Profesor (a)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0,79</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Vicerrectoría de Docencia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rtl w:val="0"/>
              </w:rPr>
              <w:t xml:space="preserve">Para cubrir la demanda de los cursos para el II semestre del 2014</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spacing w:after="0" w:before="0" w:line="240" w:lineRule="auto"/>
        <w:ind w:left="360" w:right="-91" w:hanging="360"/>
        <w:jc w:val="both"/>
        <w:rPr>
          <w:rFonts w:ascii="Arial" w:cs="Arial" w:eastAsia="Arial" w:hAnsi="Arial"/>
        </w:rPr>
      </w:pPr>
      <w:r w:rsidDel="00000000" w:rsidR="00000000" w:rsidRPr="00000000">
        <w:rPr>
          <w:rFonts w:ascii="Arial" w:cs="Arial" w:eastAsia="Arial" w:hAnsi="Arial"/>
          <w:b w:val="0"/>
          <w:sz w:val="24"/>
          <w:szCs w:val="24"/>
          <w:rtl w:val="0"/>
        </w:rPr>
        <w:t xml:space="preserve">Comunicar. </w:t>
      </w:r>
      <w:r w:rsidDel="00000000" w:rsidR="00000000" w:rsidRPr="00000000">
        <w:rPr>
          <w:rFonts w:ascii="Arial" w:cs="Arial" w:eastAsia="Arial" w:hAnsi="Arial"/>
          <w:b w:val="1"/>
          <w:sz w:val="24"/>
          <w:szCs w:val="24"/>
          <w:rtl w:val="0"/>
        </w:rPr>
        <w:t xml:space="preserve">ACUERDO FIRME</w:t>
      </w:r>
      <w:r w:rsidDel="00000000" w:rsidR="00000000" w:rsidRPr="00000000">
        <w:rPr>
          <w:rtl w:val="0"/>
        </w:rPr>
      </w:r>
    </w:p>
    <w:p w:rsidR="00000000" w:rsidDel="00000000" w:rsidP="00000000" w:rsidRDefault="00000000" w:rsidRPr="00000000">
      <w:pPr>
        <w:ind w:left="426" w:right="-91"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PALABRAS CLAVE</w:t>
      </w:r>
      <w:r w:rsidDel="00000000" w:rsidR="00000000" w:rsidRPr="00000000">
        <w:rPr>
          <w:rFonts w:ascii="Arial" w:cs="Arial" w:eastAsia="Arial" w:hAnsi="Arial"/>
          <w:b w:val="1"/>
          <w:sz w:val="18"/>
          <w:szCs w:val="18"/>
          <w:rtl w:val="0"/>
        </w:rPr>
        <w:t xml:space="preserve">:   Comisión de Planificación y Administración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BSS/apmc</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4"/>
        <w:bidi w:val="0"/>
        <w:tblW w:w="9464.0" w:type="dxa"/>
        <w:jc w:val="left"/>
        <w:tblInd w:w="-115.0" w:type="dxa"/>
        <w:tblLayout w:type="fixed"/>
        <w:tblLook w:val="0400"/>
      </w:tblPr>
      <w:tblGrid>
        <w:gridCol w:w="4361"/>
        <w:gridCol w:w="5103"/>
        <w:tblGridChange w:id="0">
          <w:tblGrid>
            <w:gridCol w:w="4361"/>
            <w:gridCol w:w="5103"/>
          </w:tblGrid>
        </w:tblGridChange>
      </w:tblGrid>
      <w:tr>
        <w:trPr>
          <w:trHeight w:val="180" w:hRule="atLeast"/>
        </w:trPr>
        <w:tc>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ci.  Secretaría del Consejo Institucional</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Vicerrectoría Administración</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VIESA</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Sede Regional San Carlos</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San José</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Limón</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w:t>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de Asesoría Legal </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Auditoría Interna (Notificado a la Secretaria vía correo electrónico)</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Oficina de Comunicación y Mercadeo </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Centro de Archivo y Comunicación</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FEITEC</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Comité de Becas, Depto. de Recursos Humanos</w:t>
            </w:r>
          </w:p>
          <w:p w:rsidR="00000000" w:rsidDel="00000000" w:rsidP="00000000" w:rsidRDefault="00000000" w:rsidRPr="00000000">
            <w:pPr>
              <w:contextualSpacing w:val="0"/>
              <w:jc w:val="both"/>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rtl w:val="0"/>
        </w:rPr>
        <w:t xml:space="preserve">ANEXO 1</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7f7f7f"/>
          <w:rtl w:val="0"/>
        </w:rPr>
        <w:t xml:space="preserve">OPI-0637-2014</w:t>
      </w:r>
    </w:p>
    <w:p w:rsidR="00000000" w:rsidDel="00000000" w:rsidP="00000000" w:rsidRDefault="00000000" w:rsidRPr="00000000">
      <w:pPr>
        <w:contextualSpacing w:val="0"/>
      </w:pPr>
      <w:r w:rsidDel="00000000" w:rsidR="00000000" w:rsidRPr="00000000">
        <w:rPr>
          <w:rFonts w:ascii="Arial" w:cs="Arial" w:eastAsia="Arial" w:hAnsi="Arial"/>
          <w:color w:val="7f7f7f"/>
          <w:sz w:val="48"/>
          <w:szCs w:val="48"/>
          <w:rtl w:val="0"/>
        </w:rPr>
        <w:t xml:space="preserve">Memorando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4"/>
          <w:szCs w:val="24"/>
          <w:rtl w:val="0"/>
        </w:rPr>
        <w:t xml:space="preserve">Para:</w:t>
        <w:tab/>
        <w:tab/>
      </w:r>
      <w:r w:rsidDel="00000000" w:rsidR="00000000" w:rsidRPr="00000000">
        <w:rPr>
          <w:rFonts w:ascii="Arial" w:cs="Arial" w:eastAsia="Arial" w:hAnsi="Arial"/>
          <w:b w:val="1"/>
          <w:sz w:val="24"/>
          <w:szCs w:val="24"/>
          <w:rtl w:val="0"/>
        </w:rPr>
        <w:t xml:space="preserve">Ing. Alexander Valerín Castro, Coordinador</w:t>
      </w:r>
    </w:p>
    <w:p w:rsidR="00000000" w:rsidDel="00000000" w:rsidP="00000000" w:rsidRDefault="00000000" w:rsidRPr="00000000">
      <w:pPr>
        <w:ind w:left="1440" w:firstLine="0"/>
        <w:contextualSpacing w:val="0"/>
      </w:pPr>
      <w:r w:rsidDel="00000000" w:rsidR="00000000" w:rsidRPr="00000000">
        <w:rPr>
          <w:rFonts w:ascii="Arial" w:cs="Arial" w:eastAsia="Arial" w:hAnsi="Arial"/>
          <w:b w:val="1"/>
          <w:sz w:val="24"/>
          <w:szCs w:val="24"/>
          <w:rtl w:val="0"/>
        </w:rPr>
        <w:t xml:space="preserve">Comisión de Planificación y Administración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4"/>
          <w:szCs w:val="24"/>
          <w:rtl w:val="0"/>
        </w:rPr>
        <w:t xml:space="preserve">De:</w:t>
        <w:tab/>
        <w:tab/>
      </w:r>
      <w:r w:rsidDel="00000000" w:rsidR="00000000" w:rsidRPr="00000000">
        <w:rPr>
          <w:rFonts w:ascii="Arial" w:cs="Arial" w:eastAsia="Arial" w:hAnsi="Arial"/>
          <w:b w:val="1"/>
          <w:sz w:val="24"/>
          <w:szCs w:val="24"/>
          <w:rtl w:val="0"/>
        </w:rPr>
        <w:t xml:space="preserve">MAU. Tatiana Fernández Martín, Directora</w:t>
      </w:r>
    </w:p>
    <w:p w:rsidR="00000000" w:rsidDel="00000000" w:rsidP="00000000" w:rsidRDefault="00000000" w:rsidRPr="00000000">
      <w:pPr>
        <w:ind w:left="708" w:firstLine="708"/>
        <w:contextualSpacing w:val="0"/>
      </w:pPr>
      <w:r w:rsidDel="00000000" w:rsidR="00000000" w:rsidRPr="00000000">
        <w:rPr>
          <w:rFonts w:ascii="Arial" w:cs="Arial" w:eastAsia="Arial" w:hAnsi="Arial"/>
          <w:b w:val="1"/>
          <w:sz w:val="24"/>
          <w:szCs w:val="24"/>
          <w:rtl w:val="0"/>
        </w:rPr>
        <w:t xml:space="preserve">Oficina de Planificación Institucional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20"/>
          <w:tab w:val="left" w:pos="1440"/>
          <w:tab w:val="left" w:pos="2160"/>
          <w:tab w:val="left" w:pos="8160"/>
        </w:tabs>
        <w:contextualSpacing w:val="0"/>
      </w:pPr>
      <w:r w:rsidDel="00000000" w:rsidR="00000000" w:rsidRPr="00000000">
        <w:rPr>
          <w:rFonts w:ascii="Arial" w:cs="Arial" w:eastAsia="Arial" w:hAnsi="Arial"/>
          <w:sz w:val="24"/>
          <w:szCs w:val="24"/>
          <w:rtl w:val="0"/>
        </w:rPr>
        <w:t xml:space="preserve">Fecha:</w:t>
        <w:tab/>
      </w:r>
      <w:r w:rsidDel="00000000" w:rsidR="00000000" w:rsidRPr="00000000">
        <w:rPr>
          <w:rFonts w:ascii="Arial" w:cs="Arial" w:eastAsia="Arial" w:hAnsi="Arial"/>
          <w:b w:val="1"/>
          <w:sz w:val="24"/>
          <w:szCs w:val="24"/>
          <w:rtl w:val="0"/>
        </w:rPr>
        <w:t xml:space="preserve">04 de setiembre del 2014</w:t>
      </w:r>
      <w:r w:rsidDel="00000000" w:rsidR="00000000" w:rsidRPr="00000000">
        <w:rPr>
          <w:rFonts w:ascii="Arial" w:cs="Arial" w:eastAsia="Arial" w:hAnsi="Arial"/>
          <w:sz w:val="24"/>
          <w:szCs w:val="24"/>
          <w:rtl w:val="0"/>
        </w:rPr>
        <w:tab/>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Fonts w:ascii="Arial" w:cs="Arial" w:eastAsia="Arial" w:hAnsi="Arial"/>
          <w:sz w:val="24"/>
          <w:szCs w:val="24"/>
          <w:rtl w:val="0"/>
        </w:rPr>
        <w:t xml:space="preserve">Asunto:</w:t>
        <w:tab/>
      </w:r>
      <w:r w:rsidDel="00000000" w:rsidR="00000000" w:rsidRPr="00000000">
        <w:rPr>
          <w:rFonts w:ascii="Arial" w:cs="Arial" w:eastAsia="Arial" w:hAnsi="Arial"/>
          <w:b w:val="1"/>
          <w:sz w:val="24"/>
          <w:szCs w:val="24"/>
          <w:rtl w:val="0"/>
        </w:rPr>
        <w:t xml:space="preserve">Dictamen sobre la solicitud de modificación de la utilización de la plaza FS0030  </w:t>
      </w:r>
    </w:p>
    <w:p w:rsidR="00000000" w:rsidDel="00000000" w:rsidP="00000000" w:rsidRDefault="00000000" w:rsidRPr="00000000">
      <w:pPr>
        <w:ind w:left="1440" w:hanging="1440"/>
        <w:contextualSpacing w:val="0"/>
      </w:pPr>
      <w:r w:rsidDel="00000000" w:rsidR="00000000" w:rsidRPr="00000000">
        <w:rPr>
          <w:rtl w:val="0"/>
        </w:rPr>
      </w:r>
    </w:p>
    <w:p w:rsidR="00000000" w:rsidDel="00000000" w:rsidP="00000000" w:rsidRDefault="00000000" w:rsidRPr="00000000">
      <w:pPr>
        <w:tabs>
          <w:tab w:val="left" w:pos="2127"/>
          <w:tab w:val="left" w:pos="8640"/>
        </w:tabs>
        <w:spacing w:line="360" w:lineRule="auto"/>
        <w:ind w:right="-136"/>
        <w:contextualSpacing w:val="0"/>
        <w:jc w:val="both"/>
      </w:pPr>
      <w:r w:rsidDel="00000000" w:rsidR="00000000" w:rsidRPr="00000000">
        <w:rPr>
          <w:rFonts w:ascii="Arial" w:cs="Arial" w:eastAsia="Arial" w:hAnsi="Arial"/>
          <w:rtl w:val="0"/>
        </w:rPr>
        <w:t xml:space="preserve">En atención al oficio Vicerrectoría de Docencia ViDa-661-2014 del 03 de setiembre del 2014 y  al oficio RH-1013-2014 del 29 de julio de 2014,  donde se presenta la justificación sobre la modificación a la utilización de la plaza FS0030, la cual quedaría según el siguiente cuadro: </w:t>
      </w:r>
    </w:p>
    <w:tbl>
      <w:tblPr>
        <w:tblStyle w:val="Table5"/>
        <w:bidi w:val="0"/>
        <w:tblW w:w="8783.0" w:type="dxa"/>
        <w:jc w:val="left"/>
        <w:tblLayout w:type="fixed"/>
        <w:tblLook w:val="0400"/>
      </w:tblPr>
      <w:tblGrid>
        <w:gridCol w:w="1011"/>
        <w:gridCol w:w="1008"/>
        <w:gridCol w:w="1005"/>
        <w:gridCol w:w="866"/>
        <w:gridCol w:w="1584"/>
        <w:gridCol w:w="1152"/>
        <w:gridCol w:w="2157"/>
        <w:tblGridChange w:id="0">
          <w:tblGrid>
            <w:gridCol w:w="1011"/>
            <w:gridCol w:w="1008"/>
            <w:gridCol w:w="1005"/>
            <w:gridCol w:w="866"/>
            <w:gridCol w:w="1584"/>
            <w:gridCol w:w="1152"/>
            <w:gridCol w:w="2157"/>
          </w:tblGrid>
        </w:tblGridChange>
      </w:tblGrid>
      <w:tr>
        <w:trPr>
          <w:trHeight w:val="600" w:hRule="atLeast"/>
        </w:trPr>
        <w:tc>
          <w:tcPr>
            <w:tcBorders>
              <w:top w:color="000000" w:space="0" w:sz="4" w:val="single"/>
              <w:left w:color="000000" w:space="0" w:sz="4" w:val="single"/>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Número de plaza</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Puesto</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Categoría</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Jornada %</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Equivalencia de Tiempo Completo</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Adscrita a:</w:t>
            </w:r>
          </w:p>
        </w:tc>
        <w:tc>
          <w:tcPr>
            <w:tcBorders>
              <w:top w:color="000000" w:space="0" w:sz="4" w:val="single"/>
              <w:left w:color="000000" w:space="0" w:sz="0" w:val="nil"/>
              <w:bottom w:color="000000" w:space="0" w:sz="4" w:val="single"/>
              <w:right w:color="000000" w:space="0" w:sz="4" w:val="single"/>
            </w:tcBorders>
            <w:shd w:fill="b8cce4"/>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Justificación</w:t>
            </w:r>
          </w:p>
        </w:tc>
      </w:tr>
      <w:tr>
        <w:trPr>
          <w:trHeight w:val="6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FS0030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Profesor (a)</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23</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100%</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0,79</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both"/>
            </w:pPr>
            <w:r w:rsidDel="00000000" w:rsidR="00000000" w:rsidRPr="00000000">
              <w:rPr>
                <w:b w:val="1"/>
                <w:sz w:val="16"/>
                <w:szCs w:val="16"/>
                <w:rtl w:val="0"/>
              </w:rPr>
              <w:t xml:space="preserve">Vicerrectoría de Docencia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b w:val="1"/>
                <w:sz w:val="16"/>
                <w:szCs w:val="16"/>
                <w:rtl w:val="0"/>
              </w:rPr>
              <w:t xml:space="preserve">Para cubrir la demanda de los cursos para el II semestre del 2014</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requieren para cubrir la demanda de cursos del II semestre del 2014.</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Las plazas mencionadas, se vinculan con:</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rtl w:val="0"/>
        </w:rPr>
        <w:t xml:space="preserve">Objetivos Estratégicos</w:t>
      </w:r>
      <w:r w:rsidDel="00000000" w:rsidR="00000000" w:rsidRPr="00000000">
        <w:rPr>
          <w:rFonts w:ascii="Arial" w:cs="Arial" w:eastAsia="Arial" w:hAnsi="Arial"/>
          <w:color w:val="000000"/>
          <w:rtl w:val="0"/>
        </w:rPr>
        <w:t xml:space="preserve"> </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1. Fortalecer los programas académicos en los campos de ciencia y tecnología a nivel de pregrado, grado y posgrado.</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3. Robustecer  el vínculo de la Institución con la sociedad  en el marco del modelo del desarrollo sostenible a través de la investigación científica y tecnológica, la extensión, la educación continua y la relación con los graduados.</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11. Incrementar  el acceso a  los  recursos financieros provenientes del Fondo del Sistema.</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rtl w:val="0"/>
        </w:rPr>
        <w:t xml:space="preserve">Acciones Estratégicas:</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1.4 Incrementar la oferta  y la cobertura de programas académicos de grado y posgrado para el desarrollo y la aplicación de la ciencia y tecnología. (Acción Estratégica)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3.5 Fortalecer las acciones de extensión, transferencia tecnológica e innovación como mecanismos para promover el desarrollo económico y social del país.  (Acción Estratégica)</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3.6 Mejorar los mecanismos de difusión y proyección nacional e internacional del quehacer académico institucional.</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11.2 Mejorar la coordinación interuniversitaria para el desarrollo de proyectos y programas financiados con el Fondo del Sistema.</w:t>
      </w:r>
    </w:p>
    <w:p w:rsidR="00000000" w:rsidDel="00000000" w:rsidP="00000000" w:rsidRDefault="00000000" w:rsidRPr="00000000">
      <w:pPr>
        <w:contextualSpacing w:val="0"/>
        <w:jc w:val="both"/>
      </w:pPr>
      <w:r w:rsidDel="00000000" w:rsidR="00000000" w:rsidRPr="00000000">
        <w:rPr>
          <w:rFonts w:ascii="Arial" w:cs="Arial" w:eastAsia="Arial" w:hAnsi="Arial"/>
          <w:b w:val="1"/>
          <w:color w:val="000000"/>
          <w:rtl w:val="0"/>
        </w:rPr>
        <w:t xml:space="preserve">Objetivos Operativos</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1.2 Formar profesionales en los campos de la ciencia y la tecnología, en las áreas atendidas por el Instituto, a nivel de bachillerato, licenciatura, maestría y doctorado.</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11.2 Desarrollar iniciativas de vinculación con las universidades y la sociedad utilizando el Fondo del Sistema.</w:t>
      </w:r>
    </w:p>
    <w:p w:rsidR="00000000" w:rsidDel="00000000" w:rsidP="00000000" w:rsidRDefault="00000000" w:rsidRPr="00000000">
      <w:pPr>
        <w:contextualSpacing w:val="0"/>
        <w:jc w:val="both"/>
      </w:pPr>
      <w:r w:rsidDel="00000000" w:rsidR="00000000" w:rsidRPr="00000000">
        <w:rPr>
          <w:rFonts w:ascii="Arial" w:cs="Arial" w:eastAsia="Arial" w:hAnsi="Arial"/>
          <w:color w:val="000000"/>
          <w:rtl w:val="0"/>
        </w:rPr>
        <w:t xml:space="preserve">Las mismas se vinculan directamente con el Plan Anual Operativo  2014:</w:t>
      </w:r>
    </w:p>
    <w:tbl>
      <w:tblPr>
        <w:tblStyle w:val="Table6"/>
        <w:bidi w:val="0"/>
        <w:tblW w:w="9946.0" w:type="dxa"/>
        <w:jc w:val="left"/>
        <w:tblInd w:w="-567.0" w:type="dxa"/>
        <w:tblLayout w:type="fixed"/>
        <w:tblLook w:val="0400"/>
      </w:tblPr>
      <w:tblGrid>
        <w:gridCol w:w="1010"/>
        <w:gridCol w:w="1872"/>
        <w:gridCol w:w="1874"/>
        <w:gridCol w:w="1834"/>
        <w:gridCol w:w="376"/>
        <w:gridCol w:w="1826"/>
        <w:gridCol w:w="1154"/>
        <w:tblGridChange w:id="0">
          <w:tblGrid>
            <w:gridCol w:w="1010"/>
            <w:gridCol w:w="1872"/>
            <w:gridCol w:w="1874"/>
            <w:gridCol w:w="1834"/>
            <w:gridCol w:w="376"/>
            <w:gridCol w:w="1826"/>
            <w:gridCol w:w="1154"/>
          </w:tblGrid>
        </w:tblGridChange>
      </w:tblGrid>
      <w:tr>
        <w:trPr>
          <w:trHeight w:val="460" w:hRule="atLeast"/>
        </w:trPr>
        <w:tc>
          <w:tcPr>
            <w:tcBorders>
              <w:top w:color="000000" w:space="0" w:sz="8" w:val="single"/>
              <w:left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000000"/>
                <w:sz w:val="14"/>
                <w:szCs w:val="14"/>
                <w:rtl w:val="0"/>
              </w:rPr>
              <w:t xml:space="preserve">Perspectiva</w:t>
            </w:r>
          </w:p>
        </w:tc>
        <w:tc>
          <w:tcPr>
            <w:tcBorders>
              <w:top w:color="000000" w:space="0" w:sz="8" w:val="single"/>
              <w:left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000000"/>
                <w:sz w:val="14"/>
                <w:szCs w:val="14"/>
                <w:rtl w:val="0"/>
              </w:rPr>
              <w:t xml:space="preserve">Objetivo Estratégico</w:t>
            </w:r>
          </w:p>
        </w:tc>
        <w:tc>
          <w:tcPr>
            <w:tcBorders>
              <w:top w:color="000000" w:space="0" w:sz="8" w:val="single"/>
              <w:left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000000"/>
                <w:sz w:val="14"/>
                <w:szCs w:val="14"/>
                <w:rtl w:val="0"/>
              </w:rPr>
              <w:t xml:space="preserve">Acciones Estratégicas             Objetivo Operativo</w:t>
            </w:r>
          </w:p>
        </w:tc>
        <w:tc>
          <w:tcPr>
            <w:gridSpan w:val="2"/>
            <w:tcBorders>
              <w:top w:color="000000" w:space="0" w:sz="8" w:val="single"/>
              <w:left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000000"/>
                <w:sz w:val="14"/>
                <w:szCs w:val="14"/>
                <w:rtl w:val="0"/>
              </w:rPr>
              <w:t xml:space="preserve">Meta</w:t>
            </w:r>
          </w:p>
        </w:tc>
        <w:tc>
          <w:tcPr>
            <w:tcBorders>
              <w:top w:color="000000" w:space="0" w:sz="8" w:val="single"/>
              <w:left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000000"/>
                <w:sz w:val="14"/>
                <w:szCs w:val="14"/>
                <w:rtl w:val="0"/>
              </w:rPr>
              <w:t xml:space="preserve">Indicador</w:t>
            </w:r>
          </w:p>
        </w:tc>
        <w:tc>
          <w:tcPr>
            <w:tcBorders>
              <w:top w:color="000000" w:space="0" w:sz="8" w:val="single"/>
              <w:lef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000000"/>
                <w:sz w:val="14"/>
                <w:szCs w:val="14"/>
                <w:rtl w:val="0"/>
              </w:rPr>
              <w:t xml:space="preserve">Políticas Específicas</w:t>
            </w:r>
          </w:p>
        </w:tc>
      </w:tr>
      <w:tr>
        <w:trPr>
          <w:trHeight w:val="1180" w:hRule="atLeast"/>
        </w:trPr>
        <w:tc>
          <w:tcPr>
            <w:vMerge w:val="restart"/>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sz w:val="14"/>
                <w:szCs w:val="14"/>
                <w:rtl w:val="0"/>
              </w:rPr>
              <w:t xml:space="preserve">USUARIOS</w:t>
            </w:r>
          </w:p>
        </w:tc>
        <w:tc>
          <w:tcPr>
            <w:vMerge w:val="restart"/>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b w:val="1"/>
                <w:i w:val="1"/>
                <w:sz w:val="14"/>
                <w:szCs w:val="14"/>
                <w:rtl w:val="0"/>
              </w:rPr>
              <w:t xml:space="preserve">1. Fortalecer los programas académicos en los campos de ciencia y tecnología a nivel de pregrado, grado y posgrado.</w:t>
            </w:r>
          </w:p>
        </w:tc>
        <w:tc>
          <w:tcPr>
            <w:vMerge w:val="restart"/>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1.2 Desarrollar actividades institucionales que favorezcan el desarrollo de las habilidades sociales y competencias, de los y las estudiantes en su formación académica.  (Acción Estratégica)</w:t>
            </w:r>
          </w:p>
        </w:tc>
        <w:tc>
          <w:tcPr>
            <w:vMerge w:val="restart"/>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1.2.1: Establecer un programa de formación pedagógica del personal docente en estrategias didácticas que contemplen el abordaje de las habilidades blandas dentro de los programas académicos.</w:t>
            </w:r>
          </w:p>
        </w:tc>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538dd5"/>
                <w:sz w:val="14"/>
                <w:szCs w:val="14"/>
                <w:rtl w:val="0"/>
              </w:rPr>
              <w:t xml:space="preserve">ESTRATÉGICA</w:t>
            </w:r>
          </w:p>
        </w:tc>
        <w:tc>
          <w:tcPr>
            <w:tcBorders>
              <w:top w:color="000000" w:space="0" w:sz="0" w:val="nil"/>
              <w:left w:color="000000" w:space="0" w:sz="0" w:val="nil"/>
              <w:bottom w:color="000000" w:space="0" w:sz="0" w:val="nil"/>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1.2.1.1 Cantidad de profesores que participan en el programa de formación pedagógica.</w:t>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1.1.4</w:t>
              <w:br w:type="textWrapping"/>
              <w:t xml:space="preserve">1.6.2</w:t>
            </w:r>
          </w:p>
        </w:tc>
      </w:tr>
      <w:tr>
        <w:trPr>
          <w:trHeight w:val="420" w:hRule="atLeast"/>
        </w:trPr>
        <w:tc>
          <w:tcPr>
            <w:vMerge w:val="continue"/>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1.2.1.2 Cantidad de jornadas realizadas al año.</w:t>
            </w:r>
          </w:p>
        </w:tc>
        <w:tc>
          <w:tcPr>
            <w:tcBorders>
              <w:top w:color="000000" w:space="0" w:sz="0" w:val="nil"/>
              <w:left w:color="000000" w:space="0" w:sz="0" w:val="nil"/>
              <w:bottom w:color="000000" w:space="0" w:sz="0" w:val="nil"/>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 </w:t>
            </w:r>
          </w:p>
        </w:tc>
      </w:tr>
      <w:tr>
        <w:trPr>
          <w:trHeight w:val="240" w:hRule="atLeast"/>
        </w:trPr>
        <w:tc>
          <w:tcPr>
            <w:vMerge w:val="continue"/>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1.2 Formar profesionales en los campos de la ciencia y la tecnología, en las áreas atendidas por el Instituto, a nivel de bachillerato, licenciatura, maestría y doctorado. (Objetivo Operativo)</w:t>
            </w:r>
          </w:p>
        </w:tc>
        <w:tc>
          <w:tcPr>
            <w:vMerge w:val="restart"/>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1.2.2: Ofrecer 33 programas de grado (21 Bachilleratos y/o Licenciaturas continuas, 3 bachilleratos articulados, 9 Licenciaturas para egresados) y 12 programas de posgrado (11 Maestrías y 1 Doctorado).</w:t>
            </w:r>
          </w:p>
        </w:tc>
        <w:tc>
          <w:tcPr>
            <w:vMerge w:val="restart"/>
            <w:tcBorders>
              <w:top w:color="000000" w:space="0" w:sz="0" w:val="nil"/>
              <w:left w:color="000000" w:space="0" w:sz="8" w:val="single"/>
              <w:bottom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963634"/>
                <w:sz w:val="14"/>
                <w:szCs w:val="14"/>
                <w:rtl w:val="0"/>
              </w:rPr>
              <w:t xml:space="preserve">OPERATIVA</w:t>
            </w:r>
          </w:p>
        </w:tc>
        <w:tc>
          <w:tcPr>
            <w:vMerge w:val="restart"/>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1.2.2.1.1 Cantidad de programas ofrecidos.</w:t>
            </w:r>
          </w:p>
        </w:tc>
        <w:tc>
          <w:tcPr>
            <w:tcBorders>
              <w:top w:color="000000" w:space="0" w:sz="8" w:val="single"/>
              <w:left w:color="000000" w:space="0" w:sz="0" w:val="nil"/>
              <w:bottom w:color="000000" w:space="0" w:sz="0" w:val="nil"/>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1.1.1</w:t>
              <w:br w:type="textWrapping"/>
              <w:t xml:space="preserve">1.1.2</w:t>
              <w:br w:type="textWrapping"/>
              <w:t xml:space="preserve">1.1.3</w:t>
              <w:br w:type="textWrapping"/>
              <w:t xml:space="preserve">1.1.5</w:t>
              <w:br w:type="textWrapping"/>
              <w:t xml:space="preserve">3.1.1</w:t>
              <w:br w:type="textWrapping"/>
              <w:t xml:space="preserve">3.2.2</w:t>
              <w:br w:type="textWrapping"/>
              <w:t xml:space="preserve">3.2.3</w:t>
              <w:br w:type="textWrapping"/>
              <w:t xml:space="preserve">3.3.1</w:t>
            </w:r>
          </w:p>
        </w:tc>
      </w:tr>
      <w:tr>
        <w:trPr>
          <w:trHeight w:val="40" w:hRule="atLeast"/>
        </w:trPr>
        <w:tc>
          <w:tcPr>
            <w:vMerge w:val="continue"/>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pPr>
              <w:contextualSpacing w:val="0"/>
            </w:pPr>
            <w:r w:rsidDel="00000000" w:rsidR="00000000" w:rsidRPr="00000000">
              <w:rPr>
                <w:rtl w:val="0"/>
              </w:rPr>
            </w:r>
          </w:p>
        </w:tc>
      </w:tr>
      <w:tr>
        <w:trPr>
          <w:trHeight w:val="40" w:hRule="atLeast"/>
        </w:trPr>
        <w:tc>
          <w:tcPr>
            <w:vMerge w:val="continue"/>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 </w:t>
            </w:r>
          </w:p>
        </w:tc>
      </w:tr>
      <w:tr>
        <w:trPr>
          <w:trHeight w:val="220" w:hRule="atLeast"/>
        </w:trPr>
        <w:tc>
          <w:tcPr>
            <w:vMerge w:val="continue"/>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8"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tcBorders>
          </w:tcPr>
          <w:p w:rsidR="00000000" w:rsidDel="00000000" w:rsidP="00000000" w:rsidRDefault="00000000" w:rsidRPr="00000000">
            <w:pPr>
              <w:contextualSpacing w:val="0"/>
            </w:pPr>
            <w:r w:rsidDel="00000000" w:rsidR="00000000" w:rsidRPr="00000000">
              <w:rPr>
                <w:rtl w:val="0"/>
              </w:rPr>
            </w:r>
          </w:p>
        </w:tc>
      </w:tr>
      <w:tr>
        <w:trPr>
          <w:trHeight w:val="1280" w:hRule="atLeast"/>
        </w:trPr>
        <w:tc>
          <w:tcPr>
            <w:vMerge w:val="continue"/>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contextualSpacing w:val="0"/>
            </w:pPr>
            <w:r w:rsidDel="00000000" w:rsidR="00000000" w:rsidRPr="00000000">
              <w:rPr>
                <w:rtl w:val="0"/>
              </w:rPr>
            </w:r>
          </w:p>
        </w:tc>
        <w:tc>
          <w:tcPr>
            <w:vMerge w:val="restart"/>
            <w:tcBorders>
              <w:top w:color="000000" w:space="0" w:sz="4" w:val="single"/>
              <w:left w:color="000000" w:space="0" w:sz="0" w:val="nil"/>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b w:val="1"/>
                <w:i w:val="1"/>
                <w:sz w:val="14"/>
                <w:szCs w:val="14"/>
                <w:rtl w:val="0"/>
              </w:rPr>
              <w:t xml:space="preserve">3. Robustecer  el vínculo de la Institución con la sociedad  en el marco del modelo del desarrollo sostenible a través de la investigación científica y tecnológica, la extensión, la educación continua y la relación con los graduados.</w:t>
            </w:r>
          </w:p>
          <w:p w:rsidR="00000000" w:rsidDel="00000000" w:rsidP="00000000" w:rsidRDefault="00000000" w:rsidRPr="00000000">
            <w:pPr>
              <w:contextualSpacing w:val="0"/>
            </w:pPr>
            <w:r w:rsidDel="00000000" w:rsidR="00000000" w:rsidRPr="00000000">
              <w:rPr>
                <w:rFonts w:ascii="Libre Baskerville" w:cs="Libre Baskerville" w:eastAsia="Libre Baskerville" w:hAnsi="Libre Baskerville"/>
                <w:i w:val="1"/>
                <w:color w:val="000000"/>
                <w:sz w:val="14"/>
                <w:szCs w:val="14"/>
                <w:rtl w:val="0"/>
              </w:rPr>
              <w:t xml:space="preserve"> </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3.5 Fortalecer las acciones de extensión, transferencia tecnológica e innovación como mecanismos para promover el desarrollo económico y social del país.  (Acción Estratégica)</w:t>
            </w:r>
          </w:p>
        </w:tc>
        <w:tc>
          <w:tcPr>
            <w:tcBorders>
              <w:top w:color="000000" w:space="0" w:sz="4" w:val="single"/>
              <w:left w:color="000000" w:space="0" w:sz="0" w:val="nil"/>
              <w:bottom w:color="000000" w:space="0" w:sz="0" w:val="nil"/>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3.2.1: Desarrollar 105 actividades de extensión dirigidas a los distintos sectores de la sociedad.</w:t>
            </w:r>
          </w:p>
        </w:tc>
        <w:tc>
          <w:tcPr>
            <w:tcBorders>
              <w:top w:color="000000" w:space="0" w:sz="4" w:val="single"/>
              <w:left w:color="000000" w:space="0" w:sz="0" w:val="nil"/>
              <w:bottom w:color="000000" w:space="0" w:sz="0" w:val="nil"/>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538dd5"/>
                <w:sz w:val="14"/>
                <w:szCs w:val="14"/>
                <w:rtl w:val="0"/>
              </w:rPr>
              <w:t xml:space="preserve">ESTRATÉGICA</w:t>
            </w:r>
          </w:p>
        </w:tc>
        <w:tc>
          <w:tcPr>
            <w:tcBorders>
              <w:top w:color="000000" w:space="0" w:sz="4" w:val="single"/>
              <w:left w:color="000000" w:space="0" w:sz="0" w:val="nil"/>
              <w:bottom w:color="000000" w:space="0" w:sz="0" w:val="nil"/>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3.2.1.1 Cantidad de actividades de extensión dirigidas a los distintos sectores de la sociedad.</w:t>
            </w:r>
          </w:p>
        </w:tc>
        <w:tc>
          <w:tcPr>
            <w:tcBorders>
              <w:top w:color="000000" w:space="0" w:sz="4" w:val="single"/>
              <w:left w:color="000000" w:space="0" w:sz="0" w:val="nil"/>
              <w:bottom w:color="000000" w:space="0" w:sz="8" w:val="single"/>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2.1.1</w:t>
              <w:br w:type="textWrapping"/>
              <w:t xml:space="preserve">2.1.2</w:t>
              <w:br w:type="textWrapping"/>
              <w:t xml:space="preserve">2.1.4</w:t>
              <w:br w:type="textWrapping"/>
              <w:t xml:space="preserve">2.1.5</w:t>
              <w:br w:type="textWrapping"/>
              <w:t xml:space="preserve">2.1.6</w:t>
              <w:br w:type="textWrapping"/>
              <w:t xml:space="preserve">2.1.7</w:t>
            </w:r>
          </w:p>
        </w:tc>
      </w:tr>
      <w:tr>
        <w:trPr>
          <w:trHeight w:val="960" w:hRule="atLeast"/>
        </w:trPr>
        <w:tc>
          <w:tcPr>
            <w:vMerge w:val="continue"/>
            <w:tcBorders>
              <w:top w:color="000000" w:space="0" w:sz="0" w:val="nil"/>
              <w:left w:color="000000" w:space="0" w:sz="0" w:val="nil"/>
              <w:bottom w:color="000000" w:space="0" w:sz="0" w:val="nil"/>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0" w:val="nil"/>
              <w:right w:color="000000" w:space="0" w:sz="8"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8" w:val="single"/>
              <w:left w:color="000000" w:space="0" w:sz="0" w:val="nil"/>
              <w:bottom w:color="000000" w:space="0" w:sz="4"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3.6 Mejorar los mecanismos de difusión y proyección nacional e internacional del quehacer académico institucional.  (Acción Estratégica)</w:t>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3.2.2: Contar con un plan de divulgación articulado de las actividades docentes, de investigación y extensión de la Institución.</w:t>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538dd5"/>
                <w:sz w:val="14"/>
                <w:szCs w:val="14"/>
                <w:rtl w:val="0"/>
              </w:rPr>
              <w:t xml:space="preserve">ESTRATÉGICA</w:t>
            </w:r>
          </w:p>
        </w:tc>
        <w:tc>
          <w:tcPr>
            <w:tcBorders>
              <w:top w:color="000000" w:space="0" w:sz="8" w:val="single"/>
              <w:left w:color="000000" w:space="0" w:sz="0" w:val="nil"/>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3.2.2.1 Plan de divulgación articulado. (37)</w:t>
            </w:r>
          </w:p>
        </w:tc>
        <w:tc>
          <w:tcPr>
            <w:tcBorders>
              <w:top w:color="000000" w:space="0" w:sz="0" w:val="nil"/>
              <w:left w:color="000000" w:space="0" w:sz="0" w:val="nil"/>
              <w:bottom w:color="000000" w:space="0" w:sz="8" w:val="single"/>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1.4.1</w:t>
              <w:br w:type="textWrapping"/>
              <w:t xml:space="preserve">1.4.2</w:t>
              <w:br w:type="textWrapping"/>
              <w:t xml:space="preserve">1.4.3</w:t>
              <w:br w:type="textWrapping"/>
              <w:t xml:space="preserve">1.4.4</w:t>
              <w:br w:type="textWrapping"/>
              <w:t xml:space="preserve">2.3.5</w:t>
              <w:br w:type="textWrapping"/>
              <w:t xml:space="preserve">2.3.6</w:t>
            </w:r>
          </w:p>
        </w:tc>
      </w:tr>
      <w:tr>
        <w:trPr>
          <w:trHeight w:val="240" w:hRule="atLeast"/>
        </w:trPr>
        <w:tc>
          <w:tcPr>
            <w:vMerge w:val="restart"/>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sz w:val="14"/>
                <w:szCs w:val="14"/>
                <w:rtl w:val="0"/>
              </w:rPr>
              <w:t xml:space="preserve">FINANZAS</w:t>
            </w:r>
          </w:p>
        </w:tc>
        <w:tc>
          <w:tcPr>
            <w:vMerge w:val="restart"/>
            <w:tcBorders>
              <w:top w:color="000000" w:space="0" w:sz="4" w:val="single"/>
              <w:left w:color="000000" w:space="0" w:sz="8" w:val="single"/>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b w:val="1"/>
                <w:i w:val="1"/>
                <w:sz w:val="14"/>
                <w:szCs w:val="14"/>
                <w:rtl w:val="0"/>
              </w:rPr>
              <w:t xml:space="preserve">11. Incrementar  el acceso a  los  recursos financieros provenientes del Fondo del Sistema.</w:t>
            </w:r>
          </w:p>
        </w:tc>
        <w:tc>
          <w:tcPr>
            <w:vMerge w:val="restart"/>
            <w:tcBorders>
              <w:top w:color="000000" w:space="0" w:sz="4" w:val="single"/>
              <w:left w:color="000000" w:space="0" w:sz="8" w:val="single"/>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11.2 Desarrollar iniciativas de vinculación con las universidades y la sociedad utilizando el Fondo del Sistema. (Objetivo Operativo)</w:t>
            </w:r>
          </w:p>
        </w:tc>
        <w:tc>
          <w:tcPr>
            <w:vMerge w:val="restart"/>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11.2.1:   Desarrollar 6  iniciativas de vinculación  con las universidades y la sociedad utilizando el Fondo del Sistema.</w:t>
            </w:r>
          </w:p>
        </w:tc>
        <w:tc>
          <w:tcPr>
            <w:vMerge w:val="restart"/>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contextualSpacing w:val="0"/>
              <w:jc w:val="center"/>
            </w:pPr>
            <w:r w:rsidDel="00000000" w:rsidR="00000000" w:rsidRPr="00000000">
              <w:rPr>
                <w:rFonts w:ascii="Tahoma" w:cs="Tahoma" w:eastAsia="Tahoma" w:hAnsi="Tahoma"/>
                <w:b w:val="1"/>
                <w:color w:val="963634"/>
                <w:sz w:val="14"/>
                <w:szCs w:val="14"/>
                <w:rtl w:val="0"/>
              </w:rPr>
              <w:t xml:space="preserve">OPERATIVA</w:t>
            </w:r>
          </w:p>
        </w:tc>
        <w:tc>
          <w:tcPr>
            <w:vMerge w:val="restart"/>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jc w:val="both"/>
            </w:pPr>
            <w:r w:rsidDel="00000000" w:rsidR="00000000" w:rsidRPr="00000000">
              <w:rPr>
                <w:rFonts w:ascii="Tahoma" w:cs="Tahoma" w:eastAsia="Tahoma" w:hAnsi="Tahoma"/>
                <w:sz w:val="14"/>
                <w:szCs w:val="14"/>
                <w:rtl w:val="0"/>
              </w:rPr>
              <w:t xml:space="preserve">11.2.1.1 Cantidad de iniciativas con Fondos del Sistema por desarrollar. (6)</w:t>
            </w:r>
          </w:p>
        </w:tc>
        <w:tc>
          <w:tcPr>
            <w:tcBorders>
              <w:top w:color="000000" w:space="0" w:sz="0" w:val="nil"/>
              <w:left w:color="000000" w:space="0" w:sz="0" w:val="nil"/>
              <w:bottom w:color="000000" w:space="0" w:sz="0" w:val="nil"/>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1.2.3</w:t>
            </w:r>
          </w:p>
        </w:tc>
      </w:tr>
      <w:tr>
        <w:trPr>
          <w:trHeight w:val="800" w:hRule="atLeast"/>
        </w:trPr>
        <w:tc>
          <w:tcPr>
            <w:vMerge w:val="continue"/>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8" w:val="single"/>
            </w:tcBorders>
          </w:tcPr>
          <w:p w:rsidR="00000000" w:rsidDel="00000000" w:rsidP="00000000" w:rsidRDefault="00000000" w:rsidRPr="00000000">
            <w:pPr>
              <w:contextualSpacing w:val="0"/>
              <w:jc w:val="center"/>
            </w:pPr>
            <w:r w:rsidDel="00000000" w:rsidR="00000000" w:rsidRPr="00000000">
              <w:rPr>
                <w:rFonts w:ascii="Tahoma" w:cs="Tahoma" w:eastAsia="Tahoma" w:hAnsi="Tahoma"/>
                <w:sz w:val="14"/>
                <w:szCs w:val="14"/>
                <w:rtl w:val="0"/>
              </w:rPr>
              <w:t xml:space="preserve">2.2.1</w:t>
            </w:r>
          </w:p>
        </w:tc>
      </w:tr>
    </w:tbl>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Fuente: Oficina de Planificación Institucional. PAO 2014</w:t>
      </w:r>
    </w:p>
    <w:p w:rsidR="00000000" w:rsidDel="00000000" w:rsidP="00000000" w:rsidRDefault="00000000" w:rsidRPr="00000000">
      <w:pPr>
        <w:tabs>
          <w:tab w:val="left" w:pos="2127"/>
          <w:tab w:val="left" w:pos="8640"/>
        </w:tabs>
        <w:spacing w:line="360" w:lineRule="auto"/>
        <w:ind w:right="-136"/>
        <w:contextualSpacing w:val="0"/>
        <w:jc w:val="both"/>
      </w:pPr>
      <w:r w:rsidDel="00000000" w:rsidR="00000000" w:rsidRPr="00000000">
        <w:rPr>
          <w:rFonts w:ascii="Arial" w:cs="Arial" w:eastAsia="Arial" w:hAnsi="Arial"/>
          <w:rtl w:val="0"/>
        </w:rPr>
        <w:t xml:space="preserve">Según el oficio RH-1013-2014,  recibido el 29 de julio de 2014,  en ese momento se indica que  utilizar la plaza que se especifica FS0030, para el II semestre del año en curso, no se presentaría ningún impacto presupuestario, dado que esta fue presupuestada en la categoría salarial 23 y con la clase de puesto de Profesor (a). Es importante reiterar que a pesar de que no existe impacto a nivel presupuestario, es conveniente advertir que esta plaza fue creada para un fin específico, el cual consiste en atender los requerimientos del Programa de Becas, en cuanto a la asignación de </w:t>
      </w:r>
      <w:r w:rsidDel="00000000" w:rsidR="00000000" w:rsidRPr="00000000">
        <w:rPr>
          <w:rFonts w:ascii="Arial" w:cs="Arial" w:eastAsia="Arial" w:hAnsi="Arial"/>
          <w:sz w:val="32"/>
          <w:szCs w:val="32"/>
          <w:rtl w:val="0"/>
        </w:rPr>
        <w:t xml:space="preserve">¼ </w:t>
      </w:r>
      <w:r w:rsidDel="00000000" w:rsidR="00000000" w:rsidRPr="00000000">
        <w:rPr>
          <w:rFonts w:ascii="Arial" w:cs="Arial" w:eastAsia="Arial" w:hAnsi="Arial"/>
          <w:rtl w:val="0"/>
        </w:rPr>
        <w:t xml:space="preserve">de tiempo para realizar estudios de posgrado.</w:t>
      </w:r>
    </w:p>
    <w:p w:rsidR="00000000" w:rsidDel="00000000" w:rsidP="00000000" w:rsidRDefault="00000000" w:rsidRPr="00000000">
      <w:pPr>
        <w:tabs>
          <w:tab w:val="left" w:pos="2127"/>
          <w:tab w:val="left" w:pos="8640"/>
        </w:tabs>
        <w:ind w:right="-136"/>
        <w:contextualSpacing w:val="0"/>
        <w:jc w:val="both"/>
      </w:pPr>
      <w:r w:rsidDel="00000000" w:rsidR="00000000" w:rsidRPr="00000000">
        <w:rPr>
          <w:rFonts w:ascii="Arial" w:cs="Arial" w:eastAsia="Arial" w:hAnsi="Arial"/>
          <w:rtl w:val="0"/>
        </w:rPr>
        <w:t xml:space="preserve">Dado lo anterior, se emite criterio favorable sobre:</w:t>
      </w:r>
    </w:p>
    <w:p w:rsidR="00000000" w:rsidDel="00000000" w:rsidP="00000000" w:rsidRDefault="00000000" w:rsidRPr="00000000">
      <w:pPr>
        <w:tabs>
          <w:tab w:val="left" w:pos="2127"/>
          <w:tab w:val="left" w:pos="8640"/>
        </w:tabs>
        <w:spacing w:line="360" w:lineRule="auto"/>
        <w:ind w:right="-136"/>
        <w:contextualSpacing w:val="0"/>
        <w:jc w:val="both"/>
      </w:pPr>
      <w:r w:rsidDel="00000000" w:rsidR="00000000" w:rsidRPr="00000000">
        <w:rPr>
          <w:rFonts w:ascii="Arial" w:cs="Arial" w:eastAsia="Arial" w:hAnsi="Arial"/>
          <w:rtl w:val="0"/>
        </w:rPr>
        <w:t xml:space="preserve">La modificación a la utilización de la plaza financiada con el Fondo del Sistema FS030,  ya que no modifica la planificación estratégica ni la planificación operativa, según el periodo mencionado.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TFM/eqa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Cc: </w:t>
        <w:tab/>
      </w:r>
      <w:r w:rsidDel="00000000" w:rsidR="00000000" w:rsidRPr="00000000">
        <w:rPr>
          <w:rFonts w:ascii="Arial" w:cs="Arial" w:eastAsia="Arial" w:hAnsi="Arial"/>
          <w:sz w:val="16"/>
          <w:szCs w:val="16"/>
          <w:rtl w:val="0"/>
        </w:rPr>
        <w:t xml:space="preserve">Ing. Luis Paulino Méndez Badilla. Vicerrector de Docencia</w:t>
      </w:r>
    </w:p>
    <w:p w:rsidR="00000000" w:rsidDel="00000000" w:rsidP="00000000" w:rsidRDefault="00000000" w:rsidRPr="00000000">
      <w:pPr>
        <w:ind w:firstLine="708"/>
        <w:contextualSpacing w:val="0"/>
        <w:jc w:val="both"/>
      </w:pPr>
      <w:r w:rsidDel="00000000" w:rsidR="00000000" w:rsidRPr="00000000">
        <w:rPr>
          <w:rFonts w:ascii="Arial" w:cs="Arial" w:eastAsia="Arial" w:hAnsi="Arial"/>
          <w:sz w:val="16"/>
          <w:szCs w:val="16"/>
          <w:rtl w:val="0"/>
        </w:rPr>
        <w:t xml:space="preserve">M.B.A Harold Blanco Leitón, Director Ejecutivo. Departamento de Recursos Humanos</w:t>
      </w:r>
    </w:p>
    <w:p w:rsidR="00000000" w:rsidDel="00000000" w:rsidP="00000000" w:rsidRDefault="00000000" w:rsidRPr="00000000">
      <w:pPr>
        <w:ind w:firstLine="708"/>
        <w:contextualSpacing w:val="0"/>
        <w:jc w:val="both"/>
      </w:pPr>
      <w:r w:rsidDel="00000000" w:rsidR="00000000" w:rsidRPr="00000000">
        <w:rPr>
          <w:rFonts w:ascii="Arial" w:cs="Arial" w:eastAsia="Arial" w:hAnsi="Arial"/>
          <w:sz w:val="16"/>
          <w:szCs w:val="16"/>
          <w:rtl w:val="0"/>
        </w:rPr>
        <w:t xml:space="preserve">Licda. Bertalía Sánchez, Secretaría del Consejo Institucional</w:t>
      </w:r>
    </w:p>
    <w:p w:rsidR="00000000" w:rsidDel="00000000" w:rsidP="00000000" w:rsidRDefault="00000000" w:rsidRPr="00000000">
      <w:pPr>
        <w:ind w:firstLine="708"/>
        <w:contextualSpacing w:val="0"/>
        <w:jc w:val="both"/>
      </w:pPr>
      <w:r w:rsidDel="00000000" w:rsidR="00000000" w:rsidRPr="00000000">
        <w:rPr>
          <w:rFonts w:ascii="Arial" w:cs="Arial" w:eastAsia="Arial" w:hAnsi="Arial"/>
          <w:sz w:val="16"/>
          <w:szCs w:val="16"/>
          <w:rtl w:val="0"/>
        </w:rPr>
        <w:t xml:space="preserve">Archivo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rtl w:val="0"/>
        </w:rPr>
        <w:t xml:space="preserve">ANEXO 2</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Fonts w:ascii="Arimo" w:cs="Arimo" w:eastAsia="Arimo" w:hAnsi="Arimo"/>
          <w:color w:val="808080"/>
          <w:rtl w:val="0"/>
        </w:rPr>
        <w:t xml:space="preserve">PB-937-2014</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Fonts w:ascii="Arimo" w:cs="Arimo" w:eastAsia="Arimo" w:hAnsi="Arimo"/>
          <w:color w:val="808080"/>
          <w:sz w:val="48"/>
          <w:szCs w:val="48"/>
          <w:rtl w:val="0"/>
        </w:rPr>
        <w:t xml:space="preserve">Memorando</w:t>
      </w:r>
      <w:r w:rsidDel="00000000" w:rsidR="00000000" w:rsidRPr="00000000">
        <w:rPr>
          <w:rFonts w:ascii="Arial" w:cs="Arial" w:eastAsia="Arial" w:hAnsi="Arial"/>
          <w:b w:val="1"/>
          <w:color w:val="808080"/>
          <w:sz w:val="48"/>
          <w:szCs w:val="48"/>
          <w:rtl w:val="0"/>
        </w:rPr>
        <w:t xml:space="preserve"> </w:t>
      </w: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Fonts w:ascii="Tahoma" w:cs="Tahoma" w:eastAsia="Tahoma" w:hAnsi="Tahoma"/>
          <w:b w:val="1"/>
          <w:sz w:val="22"/>
          <w:szCs w:val="22"/>
          <w:rtl w:val="0"/>
        </w:rPr>
        <w:t xml:space="preserve">Para:</w:t>
        <w:tab/>
        <w:tab/>
        <w:t xml:space="preserve">MBA. Tatiana Fernández Martí, Directora</w:t>
      </w:r>
    </w:p>
    <w:p w:rsidR="00000000" w:rsidDel="00000000" w:rsidP="00000000" w:rsidRDefault="00000000" w:rsidRPr="00000000">
      <w:pPr>
        <w:ind w:right="284"/>
        <w:contextualSpacing w:val="0"/>
        <w:jc w:val="both"/>
      </w:pPr>
      <w:r w:rsidDel="00000000" w:rsidR="00000000" w:rsidRPr="00000000">
        <w:rPr>
          <w:rFonts w:ascii="Tahoma" w:cs="Tahoma" w:eastAsia="Tahoma" w:hAnsi="Tahoma"/>
          <w:b w:val="1"/>
          <w:sz w:val="22"/>
          <w:szCs w:val="22"/>
          <w:rtl w:val="0"/>
        </w:rPr>
        <w:tab/>
        <w:tab/>
        <w:t xml:space="preserve">Oficina de Planificación</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Fonts w:ascii="Tahoma" w:cs="Tahoma" w:eastAsia="Tahoma" w:hAnsi="Tahoma"/>
          <w:b w:val="1"/>
          <w:sz w:val="22"/>
          <w:szCs w:val="22"/>
          <w:rtl w:val="0"/>
        </w:rPr>
        <w:t xml:space="preserve">De:</w:t>
        <w:tab/>
        <w:tab/>
        <w:t xml:space="preserve">Bach.  Sonia Guzmán Arrieta, Secretaria Ejecutiva a.i.  </w:t>
      </w:r>
    </w:p>
    <w:p w:rsidR="00000000" w:rsidDel="00000000" w:rsidP="00000000" w:rsidRDefault="00000000" w:rsidRPr="00000000">
      <w:pPr>
        <w:ind w:right="284"/>
        <w:contextualSpacing w:val="0"/>
        <w:jc w:val="both"/>
      </w:pPr>
      <w:r w:rsidDel="00000000" w:rsidR="00000000" w:rsidRPr="00000000">
        <w:rPr>
          <w:rFonts w:ascii="Tahoma" w:cs="Tahoma" w:eastAsia="Tahoma" w:hAnsi="Tahoma"/>
          <w:b w:val="1"/>
          <w:sz w:val="22"/>
          <w:szCs w:val="22"/>
          <w:rtl w:val="0"/>
        </w:rPr>
        <w:tab/>
        <w:tab/>
        <w:t xml:space="preserve">Comité de Becas</w:t>
      </w:r>
    </w:p>
    <w:p w:rsidR="00000000" w:rsidDel="00000000" w:rsidP="00000000" w:rsidRDefault="00000000" w:rsidRPr="00000000">
      <w:pPr>
        <w:ind w:right="284"/>
        <w:contextualSpacing w:val="0"/>
        <w:jc w:val="both"/>
      </w:pPr>
      <w:r w:rsidDel="00000000" w:rsidR="00000000" w:rsidRPr="00000000">
        <w:rPr>
          <w:rFonts w:ascii="Tahoma" w:cs="Tahoma" w:eastAsia="Tahoma" w:hAnsi="Tahoma"/>
          <w:b w:val="1"/>
          <w:sz w:val="22"/>
          <w:szCs w:val="22"/>
          <w:rtl w:val="0"/>
        </w:rPr>
        <w:tab/>
        <w:tab/>
        <w:t xml:space="preserve">Departamento de Recursos Humanos</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Fonts w:ascii="Tahoma" w:cs="Tahoma" w:eastAsia="Tahoma" w:hAnsi="Tahoma"/>
          <w:b w:val="1"/>
          <w:sz w:val="22"/>
          <w:szCs w:val="22"/>
          <w:rtl w:val="0"/>
        </w:rPr>
        <w:t xml:space="preserve">Fecha:</w:t>
        <w:tab/>
        <w:t xml:space="preserve">09 de setiembre de 2014</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tabs>
          <w:tab w:val="left" w:pos="8505"/>
        </w:tabs>
        <w:ind w:right="284"/>
        <w:contextualSpacing w:val="0"/>
        <w:jc w:val="both"/>
      </w:pPr>
      <w:r w:rsidDel="00000000" w:rsidR="00000000" w:rsidRPr="00000000">
        <w:rPr>
          <w:rFonts w:ascii="Tahoma" w:cs="Tahoma" w:eastAsia="Tahoma" w:hAnsi="Tahoma"/>
          <w:b w:val="1"/>
          <w:sz w:val="22"/>
          <w:szCs w:val="22"/>
          <w:rtl w:val="0"/>
        </w:rPr>
        <w:t xml:space="preserve">Asunto:         Su atención</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pPr>
      <w:r w:rsidDel="00000000" w:rsidR="00000000" w:rsidRPr="00000000">
        <w:rPr>
          <w:rtl w:val="0"/>
        </w:rPr>
      </w:r>
    </w:p>
    <w:p w:rsidR="00000000" w:rsidDel="00000000" w:rsidP="00000000" w:rsidRDefault="00000000" w:rsidRPr="00000000">
      <w:pPr>
        <w:ind w:right="59"/>
        <w:contextualSpacing w:val="0"/>
        <w:jc w:val="both"/>
      </w:pPr>
      <w:r w:rsidDel="00000000" w:rsidR="00000000" w:rsidRPr="00000000">
        <w:rPr>
          <w:rFonts w:ascii="Tahoma" w:cs="Tahoma" w:eastAsia="Tahoma" w:hAnsi="Tahoma"/>
          <w:sz w:val="22"/>
          <w:szCs w:val="22"/>
          <w:rtl w:val="0"/>
        </w:rPr>
        <w:t xml:space="preserve">Por este medio se informa que el Comité de Becas aprobó el día 5 de setiembre de 2014, el uso </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Fonts w:ascii="Tahoma" w:cs="Tahoma" w:eastAsia="Tahoma" w:hAnsi="Tahoma"/>
          <w:sz w:val="22"/>
          <w:szCs w:val="22"/>
          <w:rtl w:val="0"/>
        </w:rPr>
        <w:t xml:space="preserve">Ceder las plazas remanentes correspondientes al Programa de Becas de Postgrado para satisfacer la demanda del curso, plazas según detalle adjunto:</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Fonts w:ascii="Tahoma" w:cs="Tahoma" w:eastAsia="Tahoma" w:hAnsi="Tahoma"/>
          <w:sz w:val="22"/>
          <w:szCs w:val="22"/>
          <w:rtl w:val="0"/>
        </w:rPr>
        <w:t xml:space="preserve">FS0031</w:t>
      </w:r>
    </w:p>
    <w:p w:rsidR="00000000" w:rsidDel="00000000" w:rsidP="00000000" w:rsidRDefault="00000000" w:rsidRPr="00000000">
      <w:pPr>
        <w:ind w:right="284"/>
        <w:contextualSpacing w:val="0"/>
        <w:jc w:val="both"/>
      </w:pPr>
      <w:r w:rsidDel="00000000" w:rsidR="00000000" w:rsidRPr="00000000">
        <w:rPr>
          <w:rFonts w:ascii="Tahoma" w:cs="Tahoma" w:eastAsia="Tahoma" w:hAnsi="Tahoma"/>
          <w:sz w:val="22"/>
          <w:szCs w:val="22"/>
          <w:rtl w:val="0"/>
        </w:rPr>
        <w:t xml:space="preserve">FS0032</w:t>
      </w:r>
    </w:p>
    <w:p w:rsidR="00000000" w:rsidDel="00000000" w:rsidP="00000000" w:rsidRDefault="00000000" w:rsidRPr="00000000">
      <w:pPr>
        <w:ind w:right="284"/>
        <w:contextualSpacing w:val="0"/>
        <w:jc w:val="both"/>
      </w:pPr>
      <w:r w:rsidDel="00000000" w:rsidR="00000000" w:rsidRPr="00000000">
        <w:rPr>
          <w:rFonts w:ascii="Tahoma" w:cs="Tahoma" w:eastAsia="Tahoma" w:hAnsi="Tahoma"/>
          <w:sz w:val="22"/>
          <w:szCs w:val="22"/>
          <w:rtl w:val="0"/>
        </w:rPr>
        <w:t xml:space="preserve">FS0033</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tabs>
          <w:tab w:val="left" w:pos="9540"/>
        </w:tabs>
        <w:ind w:right="-234"/>
        <w:contextualSpacing w:val="0"/>
        <w:jc w:val="both"/>
      </w:pPr>
      <w:r w:rsidDel="00000000" w:rsidR="00000000" w:rsidRPr="00000000">
        <w:rPr>
          <w:rtl w:val="0"/>
        </w:rPr>
      </w:r>
    </w:p>
    <w:p w:rsidR="00000000" w:rsidDel="00000000" w:rsidP="00000000" w:rsidRDefault="00000000" w:rsidRPr="00000000">
      <w:pPr>
        <w:tabs>
          <w:tab w:val="left" w:pos="9540"/>
        </w:tabs>
        <w:ind w:right="-234"/>
        <w:contextualSpacing w:val="0"/>
        <w:jc w:val="both"/>
      </w:pPr>
      <w:r w:rsidDel="00000000" w:rsidR="00000000" w:rsidRPr="00000000">
        <w:rPr>
          <w:rFonts w:ascii="Arial" w:cs="Arial" w:eastAsia="Arial" w:hAnsi="Arial"/>
          <w:sz w:val="22"/>
          <w:szCs w:val="22"/>
          <w:rtl w:val="0"/>
        </w:rPr>
        <w:t xml:space="preserve">Agradezco de antemano su atención.</w:t>
      </w:r>
    </w:p>
    <w:p w:rsidR="00000000" w:rsidDel="00000000" w:rsidP="00000000" w:rsidRDefault="00000000" w:rsidRPr="00000000">
      <w:pPr>
        <w:tabs>
          <w:tab w:val="left" w:pos="9540"/>
        </w:tabs>
        <w:ind w:right="-234"/>
        <w:contextualSpacing w:val="0"/>
        <w:jc w:val="both"/>
      </w:pPr>
      <w:r w:rsidDel="00000000" w:rsidR="00000000" w:rsidRPr="00000000">
        <w:rPr>
          <w:rtl w:val="0"/>
        </w:rPr>
      </w:r>
    </w:p>
    <w:p w:rsidR="00000000" w:rsidDel="00000000" w:rsidP="00000000" w:rsidRDefault="00000000" w:rsidRPr="00000000">
      <w:pPr>
        <w:tabs>
          <w:tab w:val="left" w:pos="9540"/>
        </w:tabs>
        <w:ind w:right="-234"/>
        <w:contextualSpacing w:val="0"/>
        <w:jc w:val="both"/>
      </w:pPr>
      <w:r w:rsidDel="00000000" w:rsidR="00000000" w:rsidRPr="00000000">
        <w:rPr>
          <w:rFonts w:ascii="Arial" w:cs="Arial" w:eastAsia="Arial" w:hAnsi="Arial"/>
          <w:sz w:val="22"/>
          <w:szCs w:val="22"/>
          <w:rtl w:val="0"/>
        </w:rPr>
        <w:t xml:space="preserve">Cordialmente.</w:t>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ind w:right="284"/>
        <w:contextualSpacing w:val="0"/>
        <w:jc w:val="both"/>
      </w:pPr>
      <w:r w:rsidDel="00000000" w:rsidR="00000000" w:rsidRPr="00000000">
        <w:rPr>
          <w:rtl w:val="0"/>
        </w:rPr>
      </w:r>
    </w:p>
    <w:p w:rsidR="00000000" w:rsidDel="00000000" w:rsidP="00000000" w:rsidRDefault="00000000" w:rsidRPr="00000000">
      <w:pPr>
        <w:tabs>
          <w:tab w:val="left" w:pos="284"/>
        </w:tabs>
        <w:spacing w:line="480" w:lineRule="auto"/>
        <w:ind w:right="284"/>
        <w:contextualSpacing w:val="0"/>
        <w:jc w:val="both"/>
      </w:pPr>
      <w:r w:rsidDel="00000000" w:rsidR="00000000" w:rsidRPr="00000000">
        <w:rPr>
          <w:rFonts w:ascii="Tahoma" w:cs="Tahoma" w:eastAsia="Tahoma" w:hAnsi="Tahoma"/>
          <w:sz w:val="16"/>
          <w:szCs w:val="16"/>
          <w:rtl w:val="0"/>
        </w:rPr>
        <w:t xml:space="preserve">C: </w:t>
        <w:tab/>
        <w:tab/>
        <w:t xml:space="preserve">Licda. Bertalía Sánchez Salas, Directora Ejecutiva Consejo Institucional</w:t>
      </w:r>
    </w:p>
    <w:p w:rsidR="00000000" w:rsidDel="00000000" w:rsidP="00000000" w:rsidRDefault="00000000" w:rsidRPr="00000000">
      <w:pPr>
        <w:tabs>
          <w:tab w:val="left" w:pos="284"/>
        </w:tabs>
        <w:spacing w:line="480" w:lineRule="auto"/>
        <w:ind w:right="284"/>
        <w:contextualSpacing w:val="0"/>
        <w:jc w:val="both"/>
      </w:pPr>
      <w:r w:rsidDel="00000000" w:rsidR="00000000" w:rsidRPr="00000000">
        <w:rPr>
          <w:rFonts w:ascii="Tahoma" w:cs="Tahoma" w:eastAsia="Tahoma" w:hAnsi="Tahoma"/>
          <w:sz w:val="16"/>
          <w:szCs w:val="16"/>
          <w:rtl w:val="0"/>
        </w:rPr>
        <w:t xml:space="preserve">               Miembros del Consejo Institucional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5" w:type="default"/>
      <w:footerReference r:id="rId6" w:type="default"/>
      <w:pgSz w:h="15842" w:w="12242"/>
      <w:pgMar w:bottom="1135" w:top="1418" w:left="1701" w:right="175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Aria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Libre Baskerville">
    <w:embedRegular w:fontKey="{00000000-0000-0000-0000-000000000000}" r:id="rId7" w:subsetted="0"/>
    <w:embedBold w:fontKey="{00000000-0000-0000-0000-000000000000}" r:id="rId8" w:subsetted="0"/>
    <w:embe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jc w:val="center"/>
    </w:pPr>
    <w:fldSimple w:instr="PAGE" w:fldLock="0" w:dirty="0">
      <w:r w:rsidDel="00000000" w:rsidR="00000000" w:rsidRPr="00000000">
        <w:rPr>
          <w:rFonts w:ascii="Times New Roman" w:cs="Times New Roman" w:eastAsia="Times New Roman" w:hAnsi="Times New Roman"/>
          <w:b w:val="0"/>
          <w:sz w:val="20"/>
          <w:szCs w:val="20"/>
        </w:rPr>
      </w:r>
    </w:fldSimple>
    <w:r w:rsidDel="00000000" w:rsidR="00000000" w:rsidRPr="00000000">
      <w:rPr>
        <w:rtl w:val="0"/>
      </w:rPr>
    </w:r>
  </w: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419"/>
        <w:tab w:val="right" w:pos="8838"/>
      </w:tabs>
      <w:spacing w:before="709" w:lineRule="auto"/>
      <w:contextualSpacing w:val="0"/>
    </w:pPr>
    <w:r w:rsidDel="00000000" w:rsidR="00000000" w:rsidRPr="00000000">
      <w:drawing>
        <wp:inline distB="0" distT="0" distL="114300" distR="114300">
          <wp:extent cx="1574800" cy="584200"/>
          <wp:effectExtent b="0" l="0" r="0" t="0"/>
          <wp:docPr descr="Secretaria del Consejo" id="1" name="image01.png"/>
          <a:graphic>
            <a:graphicData uri="http://schemas.openxmlformats.org/drawingml/2006/picture">
              <pic:pic>
                <pic:nvPicPr>
                  <pic:cNvPr descr="Secretaria del Consejo" id="0" name="image01.png"/>
                  <pic:cNvPicPr preferRelativeResize="0"/>
                </pic:nvPicPr>
                <pic:blipFill>
                  <a:blip r:embed="rId1"/>
                  <a:srcRect b="0" l="0" r="0" t="0"/>
                  <a:stretch>
                    <a:fillRect/>
                  </a:stretch>
                </pic:blipFill>
                <pic:spPr>
                  <a:xfrm>
                    <a:off x="0" y="0"/>
                    <a:ext cx="1574800" cy="584200"/>
                  </a:xfrm>
                  <a:prstGeom prst="rect"/>
                  <a:ln/>
                </pic:spPr>
              </pic:pic>
            </a:graphicData>
          </a:graphic>
        </wp:inline>
      </w:drawing>
    </w:r>
    <w:r w:rsidDel="00000000" w:rsidR="00000000" w:rsidRPr="00000000">
      <w:rPr>
        <w:rtl w:val="0"/>
      </w:rPr>
    </w:r>
  </w:p>
  <w:p w:rsidR="00000000" w:rsidDel="00000000" w:rsidP="00000000" w:rsidRDefault="00000000" w:rsidRPr="00000000">
    <w:pPr>
      <w:ind w:right="-40"/>
      <w:contextualSpacing w:val="0"/>
    </w:pPr>
    <w:r w:rsidDel="00000000" w:rsidR="00000000" w:rsidRPr="00000000">
      <w:rPr>
        <w:rFonts w:ascii="Arial" w:cs="Arial" w:eastAsia="Arial" w:hAnsi="Arial"/>
        <w:b w:val="1"/>
        <w:i w:val="1"/>
        <w:sz w:val="18"/>
        <w:szCs w:val="18"/>
        <w:rtl w:val="0"/>
      </w:rPr>
      <w:t xml:space="preserve">COMUNICACIÓN DE AC4ERDO</w:t>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rtl w:val="0"/>
      </w:rPr>
      <w:t xml:space="preserve">Sesión Ordinaria No. 2886, Artículo  10  del 24 de setiembre  de 2014</w:t>
    </w:r>
  </w:p>
  <w:p w:rsidR="00000000" w:rsidDel="00000000" w:rsidP="00000000" w:rsidRDefault="00000000" w:rsidRPr="00000000">
    <w:pPr>
      <w:tabs>
        <w:tab w:val="center" w:pos="4419"/>
        <w:tab w:val="right" w:pos="8838"/>
      </w:tabs>
      <w:contextualSpacing w:val="0"/>
    </w:pPr>
    <w:r w:rsidDel="00000000" w:rsidR="00000000" w:rsidRPr="00000000">
      <w:rPr>
        <w:rFonts w:ascii="Arial" w:cs="Arial" w:eastAsia="Arial" w:hAnsi="Arial"/>
        <w:i w:val="1"/>
        <w:sz w:val="18"/>
        <w:szCs w:val="18"/>
        <w:rtl w:val="0"/>
      </w:rPr>
      <w:t xml:space="preserve">Página </w:t>
    </w:r>
    <w:fldSimple w:instr="PAGE" w:fldLock="0" w:dirty="0">
      <w:r w:rsidDel="00000000" w:rsidR="00000000" w:rsidRPr="00000000">
        <w:rPr>
          <w:rFonts w:ascii="Arial" w:cs="Arial" w:eastAsia="Arial" w:hAnsi="Arial"/>
          <w:i w:val="1"/>
          <w:sz w:val="18"/>
          <w:szCs w:val="18"/>
        </w:rPr>
      </w:r>
    </w:fldSimple>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720" w:firstLine="360"/>
      </w:pPr>
      <w:rPr>
        <w:b w:val="1"/>
        <w:strike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2">
    <w:lvl w:ilvl="0">
      <w:start w:val="1"/>
      <w:numFmt w:val="decimal"/>
      <w:lvlText w:val="%1."/>
      <w:lvlJc w:val="left"/>
      <w:pPr>
        <w:ind w:left="720" w:firstLine="360"/>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jc w:val="both"/>
    </w:pPr>
    <w:rPr>
      <w:rFonts w:ascii="Cambria" w:cs="Cambria" w:eastAsia="Cambria" w:hAnsi="Cambria"/>
      <w:b w:val="1"/>
      <w:sz w:val="32"/>
      <w:szCs w:val="32"/>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60" w:line="240" w:lineRule="auto"/>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60" w:before="240" w:lin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0" w:before="40" w:line="240" w:lineRule="auto"/>
    </w:pPr>
    <w:rPr>
      <w:rFonts w:ascii="Cambria" w:cs="Cambria" w:eastAsia="Cambria" w:hAnsi="Cambria"/>
      <w:b w:val="0"/>
      <w:color w:val="366091"/>
      <w:sz w:val="20"/>
      <w:szCs w:val="20"/>
    </w:rPr>
  </w:style>
  <w:style w:type="paragraph" w:styleId="Heading6">
    <w:name w:val="heading 6"/>
    <w:basedOn w:val="Normal"/>
    <w:next w:val="Normal"/>
    <w:pPr>
      <w:keepNext w:val="1"/>
      <w:keepLines w:val="1"/>
      <w:spacing w:after="60" w:before="240" w:line="240" w:lineRule="auto"/>
    </w:pPr>
    <w:rPr>
      <w:rFonts w:ascii="Times New Roman" w:cs="Times New Roman" w:eastAsia="Times New Roman" w:hAnsi="Times New Roman"/>
      <w:b w:val="1"/>
      <w:i w:val="1"/>
      <w:sz w:val="22"/>
      <w:szCs w:val="2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eader" Target="header1.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LibreBaskervill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LibreBaskerville-regular.ttf"/><Relationship Id="rId8" Type="http://schemas.openxmlformats.org/officeDocument/2006/relationships/font" Target="fonts/LibreBaskerville-bold.ttf"/></Relationships>
</file>

<file path=word/_rels/header1.xml.rels><?xml version="1.0" encoding="UTF-8" standalone="yes"?><Relationships xmlns="http://schemas.openxmlformats.org/package/2006/relationships"><Relationship Id="rId1" Type="http://schemas.openxmlformats.org/officeDocument/2006/relationships/image" Target="media/image01.png"/></Relationships>
</file>