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SCI-864-2014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448.0" w:type="dxa"/>
              <w:jc w:val="left"/>
              <w:tblLayout w:type="fixed"/>
              <w:tblLook w:val="0000"/>
            </w:tblPr>
            <w:tblGrid>
              <w:gridCol w:w="34"/>
              <w:gridCol w:w="9352"/>
              <w:gridCol w:w="62"/>
              <w:tblGridChange w:id="0">
                <w:tblGrid>
                  <w:gridCol w:w="34"/>
                  <w:gridCol w:w="9352"/>
                  <w:gridCol w:w="62"/>
                </w:tblGrid>
              </w:tblGridChange>
            </w:tblGrid>
            <w:tr>
              <w:tc>
                <w:tcPr>
                  <w:gridSpan w:val="3"/>
                </w:tcPr>
                <w:p w:rsidR="00000000" w:rsidDel="00000000" w:rsidP="00000000" w:rsidRDefault="00000000" w:rsidRPr="00000000">
                  <w:pPr>
                    <w:tabs>
                      <w:tab w:val="left" w:pos="2228"/>
                    </w:tabs>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tabs>
                      <w:tab w:val="left" w:pos="2228"/>
                    </w:tabs>
                    <w:contextualSpacing w:val="0"/>
                    <w:jc w:val="both"/>
                  </w:pPr>
                  <w:r w:rsidDel="00000000" w:rsidR="00000000" w:rsidRPr="00000000">
                    <w:rPr>
                      <w:rFonts w:ascii="Arial" w:cs="Arial" w:eastAsia="Arial" w:hAnsi="Arial"/>
                      <w:sz w:val="22"/>
                      <w:szCs w:val="22"/>
                      <w:vertAlign w:val="baseline"/>
                      <w:rtl w:val="0"/>
                    </w:rPr>
                    <w:t xml:space="preserve">Dr. Dagoberto Arias Aguilar, Director de la Editorial Tecnológica de Costa Rica</w:t>
                  </w:r>
                  <w:r w:rsidDel="00000000" w:rsidR="00000000" w:rsidRPr="00000000">
                    <w:rPr>
                      <w:rtl w:val="0"/>
                    </w:rPr>
                  </w:r>
                </w:p>
              </w:tc>
            </w:tr>
            <w:tr>
              <w:tc>
                <w:tcPr>
                  <w:gridSpan w:val="3"/>
                </w:tcPr>
                <w:p w:rsidR="00000000" w:rsidDel="00000000" w:rsidP="00000000" w:rsidRDefault="00000000" w:rsidRPr="00000000">
                  <w:pPr>
                    <w:tabs>
                      <w:tab w:val="left" w:pos="2228"/>
                    </w:tabs>
                    <w:ind w:left="18" w:firstLine="0"/>
                    <w:contextualSpacing w:val="0"/>
                    <w:jc w:val="both"/>
                  </w:pPr>
                  <w:r w:rsidDel="00000000" w:rsidR="00000000" w:rsidRPr="00000000">
                    <w:rPr>
                      <w:rFonts w:ascii="Arial" w:cs="Arial" w:eastAsia="Arial" w:hAnsi="Arial"/>
                      <w:sz w:val="22"/>
                      <w:szCs w:val="22"/>
                      <w:vertAlign w:val="baseline"/>
                      <w:rtl w:val="0"/>
                    </w:rPr>
                    <w:t xml:space="preserve">Ing. Jorge Chaves Arce, Integrante del Consejo Institucional </w:t>
                  </w:r>
                  <w:r w:rsidDel="00000000" w:rsidR="00000000" w:rsidRPr="00000000">
                    <w:rPr>
                      <w:rtl w:val="0"/>
                    </w:rPr>
                  </w:r>
                </w:p>
                <w:p w:rsidR="00000000" w:rsidDel="00000000" w:rsidP="00000000" w:rsidRDefault="00000000" w:rsidRPr="00000000">
                  <w:pPr>
                    <w:tabs>
                      <w:tab w:val="left" w:pos="2228"/>
                    </w:tabs>
                    <w:ind w:left="18"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318"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tabs>
                <w:tab w:val="left" w:pos="2228"/>
              </w:tabs>
              <w:ind w:left="176" w:hanging="142"/>
              <w:contextualSpacing w:val="0"/>
              <w:jc w:val="both"/>
            </w:pPr>
            <w:r w:rsidDel="00000000" w:rsidR="00000000" w:rsidRPr="00000000">
              <w:rPr>
                <w:rFonts w:ascii="Arial" w:cs="Arial" w:eastAsia="Arial" w:hAnsi="Arial"/>
                <w:sz w:val="22"/>
                <w:szCs w:val="22"/>
                <w:vertAlign w:val="baseline"/>
                <w:rtl w:val="0"/>
              </w:rPr>
              <w:t xml:space="preserve"> 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 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 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31 de octubre del 2014</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2892, Artículo 7, del 31 de octubre de 2014.  </w:t>
            </w:r>
            <w:r w:rsidDel="00000000" w:rsidR="00000000" w:rsidRPr="00000000">
              <w:rPr>
                <w:rFonts w:ascii="Arial" w:cs="Arial" w:eastAsia="Arial" w:hAnsi="Arial"/>
                <w:b w:val="1"/>
                <w:vertAlign w:val="baseline"/>
                <w:rtl w:val="0"/>
              </w:rPr>
              <w:t xml:space="preserve">Designación de un Representante del Consejo Institucional, para que participe en la Comisión Ad Hoc, que seleccionará un representante de la Vicerrectoría de Investigación y Extensión, de la Vicerrectoría de Administración y de la Comunidad Nacional, ante el Consejo Editorial, para el periodo comprendido del 16 de noviembre de 2014 al 15 de noviembre de 2016</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Organización de la Editorial Tecnológica, en su Artículo 7, establece: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76" w:right="1276" w:hanging="283"/>
        <w:contextualSpacing w:val="0"/>
        <w:jc w:val="both"/>
      </w:pPr>
      <w:r w:rsidDel="00000000" w:rsidR="00000000" w:rsidRPr="00000000">
        <w:rPr>
          <w:rFonts w:ascii="Arial" w:cs="Arial" w:eastAsia="Arial" w:hAnsi="Arial"/>
          <w:i w:val="1"/>
          <w:sz w:val="22"/>
          <w:szCs w:val="22"/>
          <w:vertAlign w:val="baseline"/>
          <w:rtl w:val="0"/>
        </w:rPr>
        <w:t xml:space="preserve">“El Consejo Editorial estará integrado por los siguientes miembros:</w:t>
      </w:r>
      <w:r w:rsidDel="00000000" w:rsidR="00000000" w:rsidRPr="00000000">
        <w:rPr>
          <w:rtl w:val="0"/>
        </w:rPr>
      </w:r>
    </w:p>
    <w:p w:rsidR="00000000" w:rsidDel="00000000" w:rsidP="00000000" w:rsidRDefault="00000000" w:rsidRPr="00000000">
      <w:pPr>
        <w:ind w:left="1276" w:right="1276" w:hanging="283"/>
        <w:contextualSpacing w:val="0"/>
        <w:jc w:val="both"/>
      </w:pPr>
      <w:r w:rsidDel="00000000" w:rsidR="00000000" w:rsidRPr="00000000">
        <w:rPr>
          <w:rtl w:val="0"/>
        </w:rPr>
      </w:r>
    </w:p>
    <w:p w:rsidR="00000000" w:rsidDel="00000000" w:rsidP="00000000" w:rsidRDefault="00000000" w:rsidRPr="00000000">
      <w:pPr>
        <w:ind w:left="1276" w:right="1276" w:hanging="283"/>
        <w:contextualSpacing w:val="0"/>
        <w:jc w:val="both"/>
      </w:pPr>
      <w:r w:rsidDel="00000000" w:rsidR="00000000" w:rsidRPr="00000000">
        <w:rPr>
          <w:rFonts w:ascii="Arial" w:cs="Arial" w:eastAsia="Arial" w:hAnsi="Arial"/>
          <w:i w:val="1"/>
          <w:sz w:val="22"/>
          <w:szCs w:val="22"/>
          <w:vertAlign w:val="baseline"/>
          <w:rtl w:val="0"/>
        </w:rPr>
        <w:t xml:space="preserve">a.</w:t>
        <w:tab/>
        <w:t xml:space="preserve">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r w:rsidDel="00000000" w:rsidR="00000000" w:rsidRPr="00000000">
        <w:rPr>
          <w:rtl w:val="0"/>
        </w:rPr>
      </w:r>
    </w:p>
    <w:p w:rsidR="00000000" w:rsidDel="00000000" w:rsidP="00000000" w:rsidRDefault="00000000" w:rsidRPr="00000000">
      <w:pPr>
        <w:ind w:left="1276" w:right="1276" w:hanging="283"/>
        <w:contextualSpacing w:val="0"/>
        <w:jc w:val="both"/>
      </w:pPr>
      <w:r w:rsidDel="00000000" w:rsidR="00000000" w:rsidRPr="00000000">
        <w:rPr>
          <w:rFonts w:ascii="Arial" w:cs="Arial" w:eastAsia="Arial" w:hAnsi="Arial"/>
          <w:i w:val="1"/>
          <w:sz w:val="22"/>
          <w:szCs w:val="22"/>
          <w:vertAlign w:val="baseline"/>
          <w:rtl w:val="0"/>
        </w:rPr>
        <w:t xml:space="preserve">b.</w:t>
        <w:tab/>
        <w:t xml:space="preserve">Un estudiante del Instituto, nombrado por el mecanismo y para el período que defina el Estatuto de la Federación de Estudiantes del Instituto Tecnológico de Costa Rica.</w:t>
      </w:r>
      <w:r w:rsidDel="00000000" w:rsidR="00000000" w:rsidRPr="00000000">
        <w:rPr>
          <w:rtl w:val="0"/>
        </w:rPr>
      </w:r>
    </w:p>
    <w:p w:rsidR="00000000" w:rsidDel="00000000" w:rsidP="00000000" w:rsidRDefault="00000000" w:rsidRPr="00000000">
      <w:pPr>
        <w:ind w:left="1276" w:right="1276" w:hanging="283"/>
        <w:contextualSpacing w:val="0"/>
        <w:jc w:val="both"/>
      </w:pPr>
      <w:r w:rsidDel="00000000" w:rsidR="00000000" w:rsidRPr="00000000">
        <w:rPr>
          <w:rFonts w:ascii="Arial" w:cs="Arial" w:eastAsia="Arial" w:hAnsi="Arial"/>
          <w:i w:val="1"/>
          <w:sz w:val="22"/>
          <w:szCs w:val="22"/>
          <w:vertAlign w:val="baseline"/>
          <w:rtl w:val="0"/>
        </w:rPr>
        <w:t xml:space="preserve">c.</w:t>
        <w:tab/>
        <w:t xml:space="preserve">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r w:rsidDel="00000000" w:rsidR="00000000" w:rsidRPr="00000000">
        <w:rPr>
          <w:rtl w:val="0"/>
        </w:rPr>
      </w:r>
    </w:p>
    <w:p w:rsidR="00000000" w:rsidDel="00000000" w:rsidP="00000000" w:rsidRDefault="00000000" w:rsidRPr="00000000">
      <w:pPr>
        <w:ind w:left="1276" w:right="1276" w:hanging="283"/>
        <w:contextualSpacing w:val="0"/>
        <w:jc w:val="both"/>
      </w:pPr>
      <w:r w:rsidDel="00000000" w:rsidR="00000000" w:rsidRPr="00000000">
        <w:rPr>
          <w:rFonts w:ascii="Arial" w:cs="Arial" w:eastAsia="Arial" w:hAnsi="Arial"/>
          <w:i w:val="1"/>
          <w:sz w:val="22"/>
          <w:szCs w:val="22"/>
          <w:vertAlign w:val="baseline"/>
          <w:rtl w:val="0"/>
        </w:rPr>
        <w:t xml:space="preserve">d.</w:t>
        <w:tab/>
        <w:t xml:space="preserve">La Comisión ad hoc a que hace mención en los incisos a) y c) estará integrada por un miembro del Consejo Institucional, el Vicerrector de Investigación y Extensión y el Director de la Editorial”.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ET-502-2014, con fecha de recibido 23 de octubre de 2014, suscrito por el Dr. Dagoberto Arias Aguilar, Director de la Editorial Tecnológica de Costa Rica, dirigido al Dr. Julio C. Calvo Alvarado, Presidente del Consejo Institucional, en el cual solicita designar a un miembro del Consejo Institucional para que participe en la Comisión ad hoc, que seleccionará a la persona representante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la Vicerrectoría de Investigación y Extensión, de la Vicerrectoría de Administración y de la Comunidad Nacional ante el Consejo Editorial, para el periodo comprendido del 16 de noviembre de 2014 al 15 de noviembre de 2016. (Anexo 1)</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Designar al  Ing. Jorge Chaves Arce, como miembro del Consejo Institucional, para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vertAlign w:val="baseline"/>
          <w:rtl w:val="0"/>
        </w:rPr>
        <w:t xml:space="preserve">conformar la Comisión Ad-hoc, que seleccionará un representante de la Vicerrectoría de Investigación y Extensión, de la Vicerrectoría de Administración y de la Comunidad Nacional, ante el Consejo Editorial, para el periodo comprendido del 16 de noviembre de 2014 al 15 de noviembre de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Designación – Representante CI – Comisión Ad hoc – Consejo Editorial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Sede Interuniversitaria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4" w:hanging="284"/>
        <w:contextualSpacing w:val="0"/>
      </w:pPr>
      <w:r w:rsidDel="00000000" w:rsidR="00000000" w:rsidRPr="00000000">
        <w:drawing>
          <wp:inline distB="0" distT="0" distL="114300" distR="114300">
            <wp:extent cx="6391275" cy="1000125"/>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6391275" cy="1000125"/>
                    </a:xfrm>
                    <a:prstGeom prst="rect"/>
                    <a:ln/>
                  </pic:spPr>
                </pic:pic>
              </a:graphicData>
            </a:graphic>
          </wp:inline>
        </w:drawing>
      </w:r>
      <w:r w:rsidDel="00000000" w:rsidR="00000000" w:rsidRPr="00000000">
        <w:rPr>
          <w:rFonts w:ascii="Arial" w:cs="Arial" w:eastAsia="Arial" w:hAnsi="Arial"/>
          <w:b w:val="1"/>
          <w:vertAlign w:val="baseline"/>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Fonts w:ascii="Arial" w:cs="Arial" w:eastAsia="Arial" w:hAnsi="Arial"/>
          <w:b w:val="1"/>
          <w:color w:val="7f7f7f"/>
          <w:sz w:val="20"/>
          <w:szCs w:val="20"/>
          <w:vertAlign w:val="baseline"/>
          <w:rtl w:val="0"/>
        </w:rPr>
        <w:t xml:space="preserve">ET 502-2014</w:t>
      </w:r>
      <w:r w:rsidDel="00000000" w:rsidR="00000000" w:rsidRPr="00000000">
        <w:rPr>
          <w:rtl w:val="0"/>
        </w:rPr>
      </w:r>
    </w:p>
    <w:p w:rsidR="00000000" w:rsidDel="00000000" w:rsidP="00000000" w:rsidRDefault="00000000" w:rsidRPr="00000000">
      <w:pPr>
        <w:ind w:right="-18"/>
        <w:contextualSpacing w:val="0"/>
      </w:pPr>
      <w:r w:rsidDel="00000000" w:rsidR="00000000" w:rsidRPr="00000000">
        <w:rPr>
          <w:rFonts w:ascii="Arial" w:cs="Arial" w:eastAsia="Arial" w:hAnsi="Arial"/>
          <w:b w:val="1"/>
          <w:color w:val="7f7f7f"/>
          <w:sz w:val="48"/>
          <w:szCs w:val="48"/>
          <w:vertAlign w:val="baseline"/>
          <w:rtl w:val="0"/>
        </w:rPr>
        <w:t xml:space="preserve">Memorando</w:t>
      </w: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Para: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20"/>
          <w:szCs w:val="20"/>
          <w:vertAlign w:val="baseline"/>
          <w:rtl w:val="0"/>
        </w:rPr>
        <w:t xml:space="preserve">           Dr. Julio Calvo Alvarado. Presidente</w:t>
      </w: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sz w:val="20"/>
          <w:szCs w:val="20"/>
          <w:vertAlign w:val="baseline"/>
          <w:rtl w:val="0"/>
        </w:rPr>
        <w:tab/>
        <w:t xml:space="preserve">Consejo Institucional</w:t>
      </w:r>
      <w:r w:rsidDel="00000000" w:rsidR="00000000" w:rsidRPr="00000000">
        <w:rPr>
          <w:rtl w:val="0"/>
        </w:rPr>
      </w:r>
    </w:p>
    <w:p w:rsidR="00000000" w:rsidDel="00000000" w:rsidP="00000000" w:rsidRDefault="00000000" w:rsidRPr="00000000">
      <w:pPr>
        <w:ind w:left="1080" w:right="-18" w:firstLine="0"/>
        <w:contextualSpacing w:val="0"/>
      </w:pP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b w:val="1"/>
          <w:sz w:val="18"/>
          <w:szCs w:val="18"/>
          <w:vertAlign w:val="baseline"/>
          <w:rtl w:val="0"/>
        </w:rPr>
        <w:t xml:space="preserve">De: </w:t>
      </w:r>
      <w:r w:rsidDel="00000000" w:rsidR="00000000" w:rsidRPr="00000000">
        <w:rPr>
          <w:rFonts w:ascii="Arial" w:cs="Arial" w:eastAsia="Arial" w:hAnsi="Arial"/>
          <w:b w:val="1"/>
          <w:sz w:val="20"/>
          <w:szCs w:val="20"/>
          <w:vertAlign w:val="baseline"/>
          <w:rtl w:val="0"/>
        </w:rPr>
        <w:t xml:space="preserve"> </w:t>
        <w:tab/>
      </w:r>
      <w:r w:rsidDel="00000000" w:rsidR="00000000" w:rsidRPr="00000000">
        <w:rPr>
          <w:rFonts w:ascii="Arial" w:cs="Arial" w:eastAsia="Arial" w:hAnsi="Arial"/>
          <w:sz w:val="20"/>
          <w:szCs w:val="20"/>
          <w:vertAlign w:val="baseline"/>
          <w:rtl w:val="0"/>
        </w:rPr>
        <w:t xml:space="preserve">Dr. Dagoberto Arias Aguilar. Director</w:t>
      </w:r>
      <w:r w:rsidDel="00000000" w:rsidR="00000000" w:rsidRPr="00000000">
        <w:rPr>
          <w:rtl w:val="0"/>
        </w:rPr>
      </w:r>
    </w:p>
    <w:p w:rsidR="00000000" w:rsidDel="00000000" w:rsidP="00000000" w:rsidRDefault="00000000" w:rsidRPr="00000000">
      <w:pPr>
        <w:ind w:left="360" w:right="-18" w:firstLine="720"/>
        <w:contextualSpacing w:val="0"/>
      </w:pPr>
      <w:r w:rsidDel="00000000" w:rsidR="00000000" w:rsidRPr="00000000">
        <w:rPr>
          <w:rFonts w:ascii="Arial" w:cs="Arial" w:eastAsia="Arial" w:hAnsi="Arial"/>
          <w:sz w:val="20"/>
          <w:szCs w:val="20"/>
          <w:vertAlign w:val="baseline"/>
          <w:rtl w:val="0"/>
        </w:rPr>
        <w:t xml:space="preserve">Editorial Tecnológica de Costa Rica</w:t>
      </w:r>
      <w:r w:rsidDel="00000000" w:rsidR="00000000" w:rsidRPr="00000000">
        <w:rPr>
          <w:rtl w:val="0"/>
        </w:rPr>
      </w:r>
    </w:p>
    <w:p w:rsidR="00000000" w:rsidDel="00000000" w:rsidP="00000000" w:rsidRDefault="00000000" w:rsidRPr="00000000">
      <w:pPr>
        <w:ind w:left="360" w:right="-18" w:firstLine="720"/>
        <w:contextualSpacing w:val="0"/>
      </w:pP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b w:val="1"/>
          <w:sz w:val="18"/>
          <w:szCs w:val="18"/>
          <w:vertAlign w:val="baseline"/>
          <w:rtl w:val="0"/>
        </w:rPr>
        <w:t xml:space="preserve">Fecha: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tab/>
        <w:t xml:space="preserve">22 de octubre del 2014</w:t>
      </w: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tl w:val="0"/>
        </w:rPr>
      </w:r>
    </w:p>
    <w:p w:rsidR="00000000" w:rsidDel="00000000" w:rsidP="00000000" w:rsidRDefault="00000000" w:rsidRPr="00000000">
      <w:pPr>
        <w:tabs>
          <w:tab w:val="left" w:pos="3250"/>
        </w:tabs>
        <w:contextualSpacing w:val="0"/>
      </w:pPr>
      <w:r w:rsidDel="00000000" w:rsidR="00000000" w:rsidRPr="00000000">
        <w:rPr>
          <w:rFonts w:ascii="Arial" w:cs="Arial" w:eastAsia="Arial" w:hAnsi="Arial"/>
          <w:b w:val="1"/>
          <w:sz w:val="18"/>
          <w:szCs w:val="18"/>
          <w:vertAlign w:val="baseline"/>
          <w:rtl w:val="0"/>
        </w:rPr>
        <w:t xml:space="preserve">Asunto:</w:t>
      </w:r>
      <w:r w:rsidDel="00000000" w:rsidR="00000000" w:rsidRPr="00000000">
        <w:rPr>
          <w:rFonts w:ascii="Arial" w:cs="Arial" w:eastAsia="Arial" w:hAnsi="Arial"/>
          <w:b w:val="1"/>
          <w:sz w:val="20"/>
          <w:szCs w:val="20"/>
          <w:vertAlign w:val="baseline"/>
          <w:rtl w:val="0"/>
        </w:rPr>
        <w:t xml:space="preserve">       Comisión </w:t>
      </w:r>
      <w:r w:rsidDel="00000000" w:rsidR="00000000" w:rsidRPr="00000000">
        <w:rPr>
          <w:rFonts w:ascii="Arial" w:cs="Arial" w:eastAsia="Arial" w:hAnsi="Arial"/>
          <w:b w:val="1"/>
          <w:i w:val="1"/>
          <w:sz w:val="20"/>
          <w:szCs w:val="20"/>
          <w:vertAlign w:val="baseline"/>
          <w:rtl w:val="0"/>
        </w:rPr>
        <w:t xml:space="preserve">ad hoc</w:t>
      </w:r>
      <w:r w:rsidDel="00000000" w:rsidR="00000000" w:rsidRPr="00000000">
        <w:rPr>
          <w:rFonts w:ascii="Arial" w:cs="Arial" w:eastAsia="Arial" w:hAnsi="Arial"/>
          <w:b w:val="1"/>
          <w:sz w:val="20"/>
          <w:szCs w:val="20"/>
          <w:vertAlign w:val="baseline"/>
          <w:rtl w:val="0"/>
        </w:rPr>
        <w:t xml:space="preserve"> para nombramiento de representantes ante Consejo Editorial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De conformidad con lo establecido en el artículo Nº7, Reglamento de Organización de la Editorial Tecnológica de Costa Rica, le solicito designar a un miembro del Consejo Institucional que participará en la Comisión </w:t>
      </w:r>
      <w:r w:rsidDel="00000000" w:rsidR="00000000" w:rsidRPr="00000000">
        <w:rPr>
          <w:rFonts w:ascii="Arial" w:cs="Arial" w:eastAsia="Arial" w:hAnsi="Arial"/>
          <w:i w:val="1"/>
          <w:sz w:val="22"/>
          <w:szCs w:val="22"/>
          <w:vertAlign w:val="baseline"/>
          <w:rtl w:val="0"/>
        </w:rPr>
        <w:t xml:space="preserve">ad hoc</w:t>
      </w:r>
      <w:r w:rsidDel="00000000" w:rsidR="00000000" w:rsidRPr="00000000">
        <w:rPr>
          <w:rFonts w:ascii="Arial" w:cs="Arial" w:eastAsia="Arial" w:hAnsi="Arial"/>
          <w:sz w:val="22"/>
          <w:szCs w:val="22"/>
          <w:vertAlign w:val="baseline"/>
          <w:rtl w:val="0"/>
        </w:rPr>
        <w:t xml:space="preserve">, que seleccionará a la persona representante de la Vicerrectoría de Investigación y Extensión, a la Vicerrectoría de Administración y de la Comunidad Nacional ante el Consejo Editorial para el periodo comprendido entre el 16 de noviembre del 2014 y el 15 noviembre del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right" w:pos="6096"/>
          <w:tab w:val="right" w:pos="8080"/>
        </w:tabs>
        <w:contextualSpacing w:val="0"/>
        <w:jc w:val="both"/>
      </w:pPr>
      <w:r w:rsidDel="00000000" w:rsidR="00000000" w:rsidRPr="00000000">
        <w:rPr>
          <w:rFonts w:ascii="Arial" w:cs="Arial" w:eastAsia="Arial" w:hAnsi="Arial"/>
          <w:sz w:val="22"/>
          <w:szCs w:val="22"/>
          <w:vertAlign w:val="baseline"/>
          <w:rtl w:val="0"/>
        </w:rPr>
        <w:t xml:space="preserve">Agradezco  su colaboración.</w:t>
      </w:r>
      <w:r w:rsidDel="00000000" w:rsidR="00000000" w:rsidRPr="00000000">
        <w:rPr>
          <w:rtl w:val="0"/>
        </w:rPr>
      </w:r>
    </w:p>
    <w:p w:rsidR="00000000" w:rsidDel="00000000" w:rsidP="00000000" w:rsidRDefault="00000000" w:rsidRPr="00000000">
      <w:pPr>
        <w:spacing w:line="360" w:lineRule="auto"/>
        <w:ind w:left="1776" w:right="-374" w:firstLine="0"/>
        <w:contextualSpacing w:val="0"/>
      </w:pPr>
      <w:r w:rsidDel="00000000" w:rsidR="00000000" w:rsidRPr="00000000">
        <w:rPr>
          <w:rtl w:val="0"/>
        </w:rPr>
      </w:r>
    </w:p>
    <w:p w:rsidR="00000000" w:rsidDel="00000000" w:rsidP="00000000" w:rsidRDefault="00000000" w:rsidRPr="00000000">
      <w:pPr>
        <w:tabs>
          <w:tab w:val="right" w:pos="5387"/>
          <w:tab w:val="right" w:pos="8080"/>
        </w:tabs>
        <w:spacing w:after="120" w:lineRule="auto"/>
        <w:contextualSpacing w:val="0"/>
      </w:pPr>
      <w:r w:rsidDel="00000000" w:rsidR="00000000" w:rsidRPr="00000000">
        <w:rPr>
          <w:rtl w:val="0"/>
        </w:rPr>
      </w:r>
    </w:p>
    <w:p w:rsidR="00000000" w:rsidDel="00000000" w:rsidP="00000000" w:rsidRDefault="00000000" w:rsidRPr="00000000">
      <w:pPr>
        <w:tabs>
          <w:tab w:val="right" w:pos="6096"/>
          <w:tab w:val="right" w:pos="8080"/>
        </w:tabs>
        <w:contextualSpacing w:val="0"/>
      </w:pPr>
      <w:r w:rsidDel="00000000" w:rsidR="00000000" w:rsidRPr="00000000">
        <w:rPr>
          <w:rtl w:val="0"/>
        </w:rPr>
      </w:r>
    </w:p>
    <w:p w:rsidR="00000000" w:rsidDel="00000000" w:rsidP="00000000" w:rsidRDefault="00000000" w:rsidRPr="00000000">
      <w:pPr>
        <w:tabs>
          <w:tab w:val="right" w:pos="6096"/>
          <w:tab w:val="right" w:pos="8080"/>
        </w:tabs>
        <w:contextualSpacing w:val="0"/>
      </w:pPr>
      <w:r w:rsidDel="00000000" w:rsidR="00000000" w:rsidRPr="00000000">
        <w:rPr>
          <w:rFonts w:ascii="Arial" w:cs="Arial" w:eastAsia="Arial" w:hAnsi="Arial"/>
          <w:sz w:val="16"/>
          <w:szCs w:val="16"/>
          <w:vertAlign w:val="baseline"/>
          <w:rtl w:val="0"/>
        </w:rPr>
        <w:t xml:space="preserve">DAA/MEMR</w:t>
      </w: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tl w:val="0"/>
        </w:rPr>
      </w:r>
    </w:p>
    <w:p w:rsidR="00000000" w:rsidDel="00000000" w:rsidP="00000000" w:rsidRDefault="00000000" w:rsidRPr="00000000">
      <w:pPr>
        <w:numPr>
          <w:ilvl w:val="0"/>
          <w:numId w:val="3"/>
        </w:numPr>
        <w:ind w:left="705" w:right="476" w:hanging="705"/>
        <w:jc w:val="both"/>
        <w:rPr/>
      </w:pPr>
      <w:r w:rsidDel="00000000" w:rsidR="00000000" w:rsidRPr="00000000">
        <w:rPr>
          <w:rFonts w:ascii="Arial" w:cs="Arial" w:eastAsia="Arial" w:hAnsi="Arial"/>
          <w:sz w:val="20"/>
          <w:szCs w:val="20"/>
          <w:vertAlign w:val="baseline"/>
          <w:rtl w:val="0"/>
        </w:rPr>
        <w:t xml:space="preserve">Dr. Julio Calvo Alvarado. Rector</w:t>
      </w:r>
      <w:r w:rsidDel="00000000" w:rsidR="00000000" w:rsidRPr="00000000">
        <w:rPr>
          <w:rtl w:val="0"/>
        </w:rPr>
      </w:r>
    </w:p>
    <w:p w:rsidR="00000000" w:rsidDel="00000000" w:rsidP="00000000" w:rsidRDefault="00000000" w:rsidRPr="00000000">
      <w:pPr>
        <w:tabs>
          <w:tab w:val="right" w:pos="6096"/>
          <w:tab w:val="right" w:pos="8080"/>
        </w:tabs>
        <w:contextualSpacing w:val="0"/>
      </w:pPr>
      <w:r w:rsidDel="00000000" w:rsidR="00000000" w:rsidRPr="00000000">
        <w:rPr>
          <w:rtl w:val="0"/>
        </w:rPr>
      </w:r>
    </w:p>
    <w:p w:rsidR="00000000" w:rsidDel="00000000" w:rsidP="00000000" w:rsidRDefault="00000000" w:rsidRPr="00000000">
      <w:pPr>
        <w:keepNext w:val="1"/>
        <w:keepLines w:val="1"/>
        <w:spacing w:before="40" w:lineRule="auto"/>
        <w:contextualSpacing w:val="0"/>
      </w:pPr>
      <w:r w:rsidDel="00000000" w:rsidR="00000000" w:rsidRPr="00000000">
        <w:rPr>
          <w:rFonts w:ascii="Arial" w:cs="Arial" w:eastAsia="Arial" w:hAnsi="Arial"/>
          <w:b w:val="1"/>
          <w:color w:val="2e74b5"/>
          <w:sz w:val="20"/>
          <w:szCs w:val="20"/>
          <w:vertAlign w:val="baseline"/>
          <w:rtl w:val="0"/>
        </w:rPr>
        <w:tab/>
        <w:t xml:space="preserve">  Ing. Milton Villarreal Castro. Ph.D. Vicerrector</w:t>
      </w:r>
      <w:r w:rsidDel="00000000" w:rsidR="00000000" w:rsidRPr="00000000">
        <w:rPr>
          <w:rtl w:val="0"/>
        </w:rPr>
      </w:r>
    </w:p>
    <w:p w:rsidR="00000000" w:rsidDel="00000000" w:rsidP="00000000" w:rsidRDefault="00000000" w:rsidRPr="00000000">
      <w:pPr>
        <w:tabs>
          <w:tab w:val="right" w:pos="6096"/>
          <w:tab w:val="right" w:pos="8080"/>
        </w:tabs>
        <w:contextualSpacing w:val="0"/>
      </w:pPr>
      <w:r w:rsidDel="00000000" w:rsidR="00000000" w:rsidRPr="00000000">
        <w:rPr>
          <w:rFonts w:ascii="Arial" w:cs="Arial" w:eastAsia="Arial" w:hAnsi="Arial"/>
          <w:sz w:val="20"/>
          <w:szCs w:val="20"/>
          <w:vertAlign w:val="baseline"/>
          <w:rtl w:val="0"/>
        </w:rPr>
        <w:t xml:space="preserve">            Vicerrectoría de Investigación y Extensión</w:t>
      </w:r>
      <w:r w:rsidDel="00000000" w:rsidR="00000000" w:rsidRPr="00000000">
        <w:rPr>
          <w:rtl w:val="0"/>
        </w:rPr>
      </w:r>
    </w:p>
    <w:p w:rsidR="00000000" w:rsidDel="00000000" w:rsidP="00000000" w:rsidRDefault="00000000" w:rsidRPr="00000000">
      <w:pPr>
        <w:tabs>
          <w:tab w:val="right" w:pos="6096"/>
          <w:tab w:val="right" w:pos="80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Consejo de la Editorial Tecnológica de Costa Rica</w:t>
      </w:r>
      <w:r w:rsidDel="00000000" w:rsidR="00000000" w:rsidRPr="00000000">
        <w:rPr>
          <w:rtl w:val="0"/>
        </w:rPr>
      </w:r>
    </w:p>
    <w:sectPr>
      <w:headerReference r:id="rId6" w:type="default"/>
      <w:headerReference r:id="rId7"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2892, Artículo 7,  del 31 de octubre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9"/>
      <w:numFmt w:val="bullet"/>
      <w:lvlText w:val="•"/>
      <w:lvlJc w:val="left"/>
      <w:pPr>
        <w:ind w:left="975" w:firstLine="270"/>
      </w:pPr>
      <w:rPr>
        <w:rFonts w:ascii="Arial" w:cs="Arial" w:eastAsia="Arial" w:hAnsi="Arial"/>
        <w:b w:val="1"/>
        <w:sz w:val="40"/>
        <w:szCs w:val="40"/>
        <w:vertAlign w:val="baseline"/>
      </w:rPr>
    </w:lvl>
    <w:lvl w:ilvl="1">
      <w:start w:val="1"/>
      <w:numFmt w:val="decimal"/>
      <w:lvlText w:val="%2."/>
      <w:lvlJc w:val="left"/>
      <w:pPr>
        <w:ind w:left="1710" w:firstLine="1350"/>
      </w:pPr>
      <w:rPr>
        <w:vertAlign w:val="baseline"/>
      </w:rPr>
    </w:lvl>
    <w:lvl w:ilvl="2">
      <w:start w:val="1"/>
      <w:numFmt w:val="decimal"/>
      <w:lvlText w:val="%3."/>
      <w:lvlJc w:val="left"/>
      <w:pPr>
        <w:ind w:left="2430" w:firstLine="2070"/>
      </w:pPr>
      <w:rPr>
        <w:vertAlign w:val="baseline"/>
      </w:rPr>
    </w:lvl>
    <w:lvl w:ilvl="3">
      <w:start w:val="1"/>
      <w:numFmt w:val="decimal"/>
      <w:lvlText w:val="%4."/>
      <w:lvlJc w:val="left"/>
      <w:pPr>
        <w:ind w:left="3150" w:firstLine="2790"/>
      </w:pPr>
      <w:rPr>
        <w:vertAlign w:val="baseline"/>
      </w:rPr>
    </w:lvl>
    <w:lvl w:ilvl="4">
      <w:start w:val="1"/>
      <w:numFmt w:val="decimal"/>
      <w:lvlText w:val="%5."/>
      <w:lvlJc w:val="left"/>
      <w:pPr>
        <w:ind w:left="3870" w:firstLine="3510"/>
      </w:pPr>
      <w:rPr>
        <w:vertAlign w:val="baseline"/>
      </w:rPr>
    </w:lvl>
    <w:lvl w:ilvl="5">
      <w:start w:val="1"/>
      <w:numFmt w:val="decimal"/>
      <w:lvlText w:val="%6."/>
      <w:lvlJc w:val="left"/>
      <w:pPr>
        <w:ind w:left="4590" w:firstLine="4230"/>
      </w:pPr>
      <w:rPr>
        <w:vertAlign w:val="baseline"/>
      </w:rPr>
    </w:lvl>
    <w:lvl w:ilvl="6">
      <w:start w:val="1"/>
      <w:numFmt w:val="decimal"/>
      <w:lvlText w:val="%7."/>
      <w:lvlJc w:val="left"/>
      <w:pPr>
        <w:ind w:left="5310" w:firstLine="4950"/>
      </w:pPr>
      <w:rPr>
        <w:vertAlign w:val="baseline"/>
      </w:rPr>
    </w:lvl>
    <w:lvl w:ilvl="7">
      <w:start w:val="1"/>
      <w:numFmt w:val="decimal"/>
      <w:lvlText w:val="%8."/>
      <w:lvlJc w:val="left"/>
      <w:pPr>
        <w:ind w:left="6030" w:firstLine="5670"/>
      </w:pPr>
      <w:rPr>
        <w:vertAlign w:val="baseline"/>
      </w:rPr>
    </w:lvl>
    <w:lvl w:ilvl="8">
      <w:start w:val="1"/>
      <w:numFmt w:val="decimal"/>
      <w:lvlText w:val="%9."/>
      <w:lvlJc w:val="left"/>
      <w:pPr>
        <w:ind w:left="6750" w:firstLine="639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