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SCI-028-2015</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Ing. Luis Paulino Méndez, Vicerrector de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Lic. Roy D’Avanzo, Director Departamento Financiero Contable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MBA. Harold Blanco Leitón, Director del Departamento de Recursos Humanos</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28 de enero de 2015</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2901, Artículo 7, del 28 de enero de 2015.  </w:t>
            </w:r>
            <w:r w:rsidDel="00000000" w:rsidR="00000000" w:rsidRPr="00000000">
              <w:rPr>
                <w:rFonts w:ascii="Arial" w:cs="Arial" w:eastAsia="Arial" w:hAnsi="Arial"/>
                <w:b w:val="1"/>
                <w:vertAlign w:val="baseline"/>
                <w:rtl w:val="0"/>
              </w:rPr>
              <w:t xml:space="preserve">Autorización de permiso con goce de salario; salida del país, pago de impuestos de salida y seguro médico, al Dr.  Julio C.  Calvo Alvarado, para que participe en la inauguración de los edificios de la Facultad de Maestrías y estudios de posgrado de la Universidad Tecnológica de El Salvador (UTEC), por realizarse en San Salvador, 6 y 7 de febrero de 2015</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070"/>
        </w:tabs>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La Secretaría del Consejo Institucional recibe oficio R-037-2015, con fecha de recibido 26 de enero de 2015, suscrito por el Dr.  Julio Calvo, Rector, dirigido a la Licda.  Bertalía Sánchez, Directora Ejecutiva de la Secretaría del Consejo Institucional, en el cual solicita someter a consideración y aprobación por parte de las personas miembros del Consejo Institucional, permiso con goce de salario y pago de impuestos de salida y el seguro médico; para viajar a San Salvador y participar en la inauguración de los edificios de la Facultad de Maestrías y estudios de posgrado de la Universidad Tecnológica de El Salvador (UTEC), por realizarse en San Salvador durante los días 06 al 07 de febrero del  año en curso.  Señala que los gastos serán cubiertos por la UTEC, sin embargo requiere que le autoricen el impuesto de salida y el seguro médico, los cuales serán cubiertos con el presupuesto de operación de la Rectoría. (Ver Anexos 1-2)</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Asimismo, informa que el M.Sc. Luis Paulino Méndez Badilla, Vicerrector de Docencia, fungirá como Rector Interino, durante los días 06 y 07 de febrero del 2015.</w:t>
      </w:r>
    </w:p>
    <w:p w:rsidR="00000000" w:rsidDel="00000000" w:rsidP="00000000" w:rsidRDefault="00000000" w:rsidRPr="00000000">
      <w:pPr>
        <w:ind w:left="35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tabs>
          <w:tab w:val="left" w:pos="426"/>
        </w:tabs>
        <w:spacing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Autorizar el permiso con goce de salario al Dr.  Julio César Calvo Alvarado, Rector, para que participe en la inauguración de los edificios de la Facultad de Maestrías y estudios de posgrado de la Universidad Tecnológica de El Salvador (UTEC), por realizarse en San Salvador, del 06 al 07 de febrero del  año en curso</w:t>
      </w:r>
    </w:p>
    <w:p w:rsidR="00000000" w:rsidDel="00000000" w:rsidP="00000000" w:rsidRDefault="00000000" w:rsidRPr="00000000">
      <w:pPr>
        <w:spacing w:after="0" w:before="0" w:line="240" w:lineRule="auto"/>
        <w:ind w:left="360" w:right="-91"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Autorizar el pago de impuestos de salida y el seguro médico al Dr.  Julio César Calvo Alvarado, Rector, tomados del presupuesto operativo de la Rectoría,</w:t>
      </w:r>
      <w:r w:rsidDel="00000000" w:rsidR="00000000" w:rsidRPr="00000000">
        <w:rPr>
          <w:rFonts w:ascii="Arial" w:cs="Arial" w:eastAsia="Arial" w:hAnsi="Arial"/>
          <w:b w:val="0"/>
          <w:color w:val="ff0000"/>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para que asista a la inauguración de los edificios de la Facultad de Maestrías y estudios de posgrado de la Universidad Tecnológica de El Salvador (UTEC), por realizarse en San Salvador, por un monto de $90 (noventa dólares).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8789"/>
        </w:tabs>
        <w:spacing w:after="0" w:before="0" w:lineRule="auto"/>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PALABRAS CLAVE:  </w:t>
      </w:r>
      <w:r w:rsidDel="00000000" w:rsidR="00000000" w:rsidRPr="00000000">
        <w:rPr>
          <w:rFonts w:ascii="Arial" w:cs="Arial" w:eastAsia="Arial" w:hAnsi="Arial"/>
          <w:b w:val="1"/>
          <w:sz w:val="16"/>
          <w:szCs w:val="16"/>
          <w:vertAlign w:val="baseline"/>
          <w:rtl w:val="0"/>
        </w:rPr>
        <w:t xml:space="preserve">Autorización - Pago de impuestos de salida-seguro médico-San Salvador-2015</w:t>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BSS/cmpm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Vicerrectoría Administración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Interuniversitaria Alajuela</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2901, Artículo 7, del 28  de enero de 2015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