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SCI-030-2015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175" w:hanging="141"/>
              <w:contextualSpacing w:val="0"/>
              <w:jc w:val="both"/>
            </w:pPr>
            <w:r w:rsidDel="00000000" w:rsidR="00000000" w:rsidRPr="00000000">
              <w:rPr>
                <w:rFonts w:ascii="Arial" w:cs="Arial" w:eastAsia="Arial" w:hAnsi="Arial"/>
                <w:sz w:val="22"/>
                <w:szCs w:val="22"/>
                <w:vertAlign w:val="baseline"/>
                <w:rtl w:val="0"/>
              </w:rPr>
              <w:t xml:space="preserve">M.A.E. William Vives, Vicerrector Administración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Harold Blanco Leitón, Director Departamento Recursos Humanos</w:t>
            </w:r>
            <w:r w:rsidDel="00000000" w:rsidR="00000000" w:rsidRPr="00000000">
              <w:rPr>
                <w:rtl w:val="0"/>
              </w:rPr>
            </w:r>
          </w:p>
          <w:p w:rsidR="00000000" w:rsidDel="00000000" w:rsidP="00000000" w:rsidRDefault="00000000" w:rsidRPr="00000000">
            <w:pPr>
              <w:ind w:left="175" w:hanging="141"/>
              <w:contextualSpacing w:val="0"/>
              <w:jc w:val="both"/>
            </w:pPr>
            <w:r w:rsidDel="00000000" w:rsidR="00000000" w:rsidRPr="00000000">
              <w:rPr>
                <w:rFonts w:ascii="Arial" w:cs="Arial" w:eastAsia="Arial" w:hAnsi="Arial"/>
                <w:sz w:val="22"/>
                <w:szCs w:val="22"/>
                <w:vertAlign w:val="baseline"/>
                <w:rtl w:val="0"/>
              </w:rPr>
              <w:t xml:space="preserve">MBA. Ana Rosa Ruiz, Coordinadora Oficina de Equidad de Género</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28 de enero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2901, Artículo 9, del 28 de enero de 2015.  Modificación de la Plaza CT0233 de Profesional en Salud a Profesional en Asesoría Estudiantil; aprobada en la Sesión Ordinaria No. 2887, Artículo 11, del 01 de octubre del 2014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tabs>
          <w:tab w:val="left" w:pos="3070"/>
        </w:tabs>
        <w:spacing w:after="0" w:lineRule="auto"/>
        <w:contextualSpacing w:val="0"/>
        <w:jc w:val="both"/>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en Sesión Ordinaria No.  2887, Artículo 11, del 01 de octubre de 2014, tomó el acuerdo denominado: “Derogatoria del acuerdo del Consejo Institucional Sesión No. 2886 Artículo 11 del 24 de setiembre del 2014 “Creación de Plazas 2015, Fondos FEES”  y adopción de nuevo acuerdo “Creación de Plazas 2015, Fondos FEES”, en su línea No.  01, aprobó la plaza CT0233, con las siguientes características:</w:t>
      </w:r>
      <w:r w:rsidDel="00000000" w:rsidR="00000000" w:rsidRPr="00000000">
        <w:rPr>
          <w:rtl w:val="0"/>
        </w:rPr>
      </w:r>
    </w:p>
    <w:p w:rsidR="00000000" w:rsidDel="00000000" w:rsidP="00000000" w:rsidRDefault="00000000" w:rsidRPr="00000000">
      <w:pPr>
        <w:tabs>
          <w:tab w:val="left" w:pos="8789"/>
        </w:tabs>
        <w:spacing w:after="0" w:before="0" w:line="240" w:lineRule="auto"/>
        <w:ind w:left="720" w:firstLine="0"/>
        <w:contextualSpacing w:val="0"/>
        <w:jc w:val="both"/>
      </w:pPr>
      <w:r w:rsidDel="00000000" w:rsidR="00000000" w:rsidRPr="00000000">
        <w:rPr>
          <w:rtl w:val="0"/>
        </w:rPr>
      </w:r>
    </w:p>
    <w:tbl>
      <w:tblPr>
        <w:tblStyle w:val="Table2"/>
        <w:bidi w:val="0"/>
        <w:tblW w:w="8943.0" w:type="dxa"/>
        <w:jc w:val="left"/>
        <w:tblInd w:w="709.0" w:type="dxa"/>
        <w:tblLayout w:type="fixed"/>
        <w:tblLook w:val="0000"/>
      </w:tblPr>
      <w:tblGrid>
        <w:gridCol w:w="414"/>
        <w:gridCol w:w="392"/>
        <w:gridCol w:w="867"/>
        <w:gridCol w:w="1239"/>
        <w:gridCol w:w="469"/>
        <w:gridCol w:w="665"/>
        <w:gridCol w:w="474"/>
        <w:gridCol w:w="585"/>
        <w:gridCol w:w="1266"/>
        <w:gridCol w:w="928"/>
        <w:gridCol w:w="1644"/>
        <w:tblGridChange w:id="0">
          <w:tblGrid>
            <w:gridCol w:w="414"/>
            <w:gridCol w:w="392"/>
            <w:gridCol w:w="867"/>
            <w:gridCol w:w="1239"/>
            <w:gridCol w:w="469"/>
            <w:gridCol w:w="665"/>
            <w:gridCol w:w="474"/>
            <w:gridCol w:w="585"/>
            <w:gridCol w:w="1266"/>
            <w:gridCol w:w="928"/>
            <w:gridCol w:w="1644"/>
          </w:tblGrid>
        </w:tblGridChange>
      </w:tblGrid>
      <w:tr>
        <w:trPr>
          <w:trHeight w:val="960" w:hRule="atLeast"/>
        </w:trPr>
        <w:tc>
          <w:tcPr>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Nuevo</w:t>
              <w:br w:type="textWrapping"/>
              <w:t xml:space="preserve">Num 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Observaciones</w:t>
            </w:r>
            <w:r w:rsidDel="00000000" w:rsidR="00000000" w:rsidRPr="00000000">
              <w:rPr>
                <w:rtl w:val="0"/>
              </w:rPr>
            </w:r>
          </w:p>
        </w:tc>
      </w:tr>
      <w:tr>
        <w:trPr>
          <w:trHeight w:val="300" w:hRule="atLeast"/>
        </w:trPr>
        <w:tc>
          <w:tcPr>
            <w:gridSpan w:val="11"/>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44546a"/>
                <w:sz w:val="18"/>
                <w:szCs w:val="18"/>
                <w:vertAlign w:val="baseline"/>
                <w:rtl w:val="0"/>
              </w:rPr>
              <w:t xml:space="preserve">Programa 1: Administración</w:t>
            </w:r>
            <w:r w:rsidDel="00000000" w:rsidR="00000000" w:rsidRPr="00000000">
              <w:rPr>
                <w:rtl w:val="0"/>
              </w:rPr>
            </w:r>
          </w:p>
        </w:tc>
      </w:tr>
      <w:tr>
        <w:trPr>
          <w:trHeight w:val="300" w:hRule="atLeast"/>
        </w:trPr>
        <w:tc>
          <w:tcPr>
            <w:gridSpan w:val="11"/>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44546a"/>
                <w:sz w:val="18"/>
                <w:szCs w:val="18"/>
                <w:vertAlign w:val="baseline"/>
                <w:rtl w:val="0"/>
              </w:rPr>
              <w:t xml:space="preserve">Subprograma 1.1: Dirección Superior</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CT0233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vertAlign w:val="baseline"/>
                <w:rtl w:val="0"/>
              </w:rPr>
              <w:t xml:space="preserve">Profesional en Salud (Especialidad en Psicología)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 Oficina de Equidad de Género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Para atender las sedes</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recibió el oficio Oficina de Equidad de Género-359-2014, con fecha de recibido 19 de diciembre de 2014, suscrito por la M.Sc. Ana Rosa Ruíz, Coordinadora de la Oficina de Equidad de Género, dirigido a la MAE. Tatiana Fernández, Directora Oficina de Planificación, con copia al Ing.  Alexander Valerín Castro, Coordinador de la Comisión de Planificación y Administración, en el cual remite solicitud de cambio de puesto a la plaza CT0233 asignada a la Oficina de Equidad de Género para el 2015. (Anexo 1)</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recibió el oficio OPI-023-2015, con fecha de recibido 21 de enero de 2015, suscrito por la MAU.  Tatiana Fernández Martín, Directora de la Oficina de Planificación, dirigido al Ing.  Alexander Valerín Castro, Coordinador de la Comisión de Planificación y Administración, en el cual se remite criterio  favorable sobre solicitud de modificación de las plazas CT0233, adscrita a la Oficina de Equidad de Género, ya que no modifica la planificación estratégica ni la planificación operativa; sin embargo, es necesario acatar la disposición sobre el contenido presupuestario. (Anexo 2)</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Reunión No.  606-2015, del 22 de enero de 2015, conoció en el punto de correspondencia los oficios supra citados, y una vez discutidos se dispuso elevar propuesta ante el pleno.</w:t>
      </w:r>
      <w:r w:rsidDel="00000000" w:rsidR="00000000" w:rsidRPr="00000000">
        <w:rPr>
          <w:rtl w:val="0"/>
        </w:rPr>
      </w:r>
    </w:p>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Modificar  la plaza CT0233 de Profesional en Salud a Profesional en Asesoría Estudiantil, aprobada en la Sesión Ordinaria No. 2887, Artículo 1, del 01 de octubre del 2014, en los siguientes términos:</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tbl>
      <w:tblPr>
        <w:tblStyle w:val="Table3"/>
        <w:bidi w:val="0"/>
        <w:tblW w:w="9295.0" w:type="dxa"/>
        <w:jc w:val="left"/>
        <w:tblInd w:w="426.0" w:type="dxa"/>
        <w:tblLayout w:type="fixed"/>
        <w:tblLook w:val="0000"/>
      </w:tblPr>
      <w:tblGrid>
        <w:gridCol w:w="415"/>
        <w:gridCol w:w="392"/>
        <w:gridCol w:w="870"/>
        <w:gridCol w:w="1299"/>
        <w:gridCol w:w="467"/>
        <w:gridCol w:w="697"/>
        <w:gridCol w:w="474"/>
        <w:gridCol w:w="788"/>
        <w:gridCol w:w="1266"/>
        <w:gridCol w:w="930"/>
        <w:gridCol w:w="1697"/>
        <w:tblGridChange w:id="0">
          <w:tblGrid>
            <w:gridCol w:w="415"/>
            <w:gridCol w:w="392"/>
            <w:gridCol w:w="870"/>
            <w:gridCol w:w="1299"/>
            <w:gridCol w:w="467"/>
            <w:gridCol w:w="697"/>
            <w:gridCol w:w="474"/>
            <w:gridCol w:w="788"/>
            <w:gridCol w:w="1266"/>
            <w:gridCol w:w="930"/>
            <w:gridCol w:w="1697"/>
          </w:tblGrid>
        </w:tblGridChange>
      </w:tblGrid>
      <w:tr>
        <w:trPr>
          <w:trHeight w:val="1040" w:hRule="atLeast"/>
        </w:trPr>
        <w:tc>
          <w:tcPr>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Nuevo</w:t>
              <w:br w:type="textWrapping"/>
              <w:t xml:space="preserve">Num 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Observaciones</w:t>
            </w:r>
            <w:r w:rsidDel="00000000" w:rsidR="00000000" w:rsidRPr="00000000">
              <w:rPr>
                <w:rtl w:val="0"/>
              </w:rPr>
            </w:r>
          </w:p>
        </w:tc>
      </w:tr>
      <w:tr>
        <w:trPr>
          <w:trHeight w:val="300" w:hRule="atLeast"/>
        </w:trPr>
        <w:tc>
          <w:tcPr>
            <w:gridSpan w:val="11"/>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44546a"/>
                <w:sz w:val="18"/>
                <w:szCs w:val="18"/>
                <w:vertAlign w:val="baseline"/>
                <w:rtl w:val="0"/>
              </w:rPr>
              <w:t xml:space="preserve">Programa 1: Administración</w:t>
            </w:r>
            <w:r w:rsidDel="00000000" w:rsidR="00000000" w:rsidRPr="00000000">
              <w:rPr>
                <w:rtl w:val="0"/>
              </w:rPr>
            </w:r>
          </w:p>
        </w:tc>
      </w:tr>
      <w:tr>
        <w:trPr>
          <w:trHeight w:val="300" w:hRule="atLeast"/>
        </w:trPr>
        <w:tc>
          <w:tcPr>
            <w:gridSpan w:val="11"/>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44546a"/>
                <w:sz w:val="18"/>
                <w:szCs w:val="18"/>
                <w:vertAlign w:val="baseline"/>
                <w:rtl w:val="0"/>
              </w:rPr>
              <w:t xml:space="preserve">Subprograma 1.1: Dirección Superior</w:t>
            </w:r>
            <w:r w:rsidDel="00000000" w:rsidR="00000000" w:rsidRPr="00000000">
              <w:rPr>
                <w:rtl w:val="0"/>
              </w:rPr>
            </w:r>
          </w:p>
        </w:tc>
      </w:tr>
      <w:tr>
        <w:trPr>
          <w:trHeight w:val="8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CT0233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vertAlign w:val="baseline"/>
                <w:rtl w:val="0"/>
              </w:rPr>
              <w:t xml:space="preserve">Profesional en </w:t>
            </w:r>
            <w:r w:rsidDel="00000000" w:rsidR="00000000" w:rsidRPr="00000000">
              <w:rPr>
                <w:rFonts w:ascii="Arial" w:cs="Arial" w:eastAsia="Arial" w:hAnsi="Arial"/>
                <w:b w:val="1"/>
                <w:color w:val="000000"/>
                <w:sz w:val="16"/>
                <w:szCs w:val="16"/>
                <w:vertAlign w:val="baseline"/>
                <w:rtl w:val="0"/>
              </w:rPr>
              <w:t xml:space="preserve">Asesoría Estudiantil</w:t>
            </w:r>
            <w:r w:rsidDel="00000000" w:rsidR="00000000" w:rsidRPr="00000000">
              <w:rPr>
                <w:rFonts w:ascii="Arial" w:cs="Arial" w:eastAsia="Arial" w:hAnsi="Arial"/>
                <w:color w:val="000000"/>
                <w:sz w:val="16"/>
                <w:szCs w:val="16"/>
                <w:vertAlign w:val="baseline"/>
                <w:rtl w:val="0"/>
              </w:rPr>
              <w:t xml:space="preserve"> (Especialidad en Psicología)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 Oficina de Equidad de Género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Para atender las sedes</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Recordar a la Administración que la modificación de cualquiera de las condiciones con las que se aprueban las plazas en este acuerdo, sólo puede hacerse por parte del Consejo Institucional.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Modificación -  plaza -  CT0233-Profesional-Asesoría Estudiantil</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4"/>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 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Interuniversitaria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2901, Artículo 9, del 28 de enero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