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SCI-128-2015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Sr. Luis Alberto Márquez Castro, Primer Secretario,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Departamento Secretaría del Directorio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Asamblea Legislativa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4 de marzo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2908, Artículo 12, del 4 de marzo de 2015.  Pronunciamiento del Consejo Institucional sobre el Proyecto de “Ley de Creación del Consejo Nacional de Discapacidad” (Originalmente denominado: Reforma Integral a la Ley de Creación del Consejo Nacional de Rehabilitación y Educación Especial, No. 5347 del 3 de setiembre de 1973 y sus Reformas), Expediente No. 18.547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SD-74-14-15, con fecha de recibido 10 de febrero de 2015, mediante correo electrónico, suscrito por la señor Luis Alberto Márquez Castro, Primer Secretario, Departamento Secretaría del Directorio,  Asamblea Legislativa, dirigido al Dr.  Julio Calvo, Rector, en el cual solicita criterio sobre el Proyecto de “Ley de Creación del Consejo Nacional de Discapacidad” (Originalmente denominado: Reforma Integral a la Ley de Creación del Consejo Nacional de Rehabilitación y Educación Especial, No. 5347 del 3 de setiembre de 1973 y sus Reformas), Expediente No. 18.547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en la Sesión No. 2905, del 18 de febrero de 2015, y se dispone remitirlo en consulta a la  Escuela de Diseño Industrial y a la Comisión Institucional de Equiparación de Oportunidades para personas con discapacidad. (Anexo 2 )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2"/>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SD-74-2015, del 10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al Instituto Tecnológico de Costa Rica sobre el texto del Proyecto de “Ley de Creación del Consejo Nacional de Rehabilitación y Educación Especial, No. 5347 del 3 de setiembre de 1973 y sus Reformas), Expediente No. 18.547”.</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3"/>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190"/>
        <w:tblGridChange w:id="0">
          <w:tblGrid>
            <w:gridCol w:w="2089"/>
            <w:gridCol w:w="719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SCI-88-2015, del 18 de febrero del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 la Dra. Claudia Madrizova, Coordinadora Comisión Institucional de Equiparación de Oportunidades para personas con discapacidad y a la Escuela de Diseño Industrial, de proyecto</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“Ley de Creación del Consejo Nacional de Discapacidad” (Originalmente denominado: Reforma Integral a la Ley de Creación del Consejo Nacional de Rehabilitación y Educación Especial, No. 5347 del 3 de setiembre de 1973 y sus Reformas), Expediente No. 18.547</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4"/>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VIESA-179-2015, del 25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Pronunciamiento de la Dra. Claudia Madrizova, Coordinadora Comisión Institucional de Equiparación de Oportunidades para personas con discapacidad, de proyecto</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“Ley de Creación del Consejo Nacional de Discapacidad” (Originalmente denominado: Reforma Integral a la Ley de Creación del Consejo Nacional de Rehabilitación y Educación Especial, No. 5347 del 3 de setiembre de 1973 y sus Reformas), Expediente No. 18.547;  se emiten observaciones generales y específicas al mismo y apoyan el proyecto de ley, ya que no afecta el marco normativo de la Institución, ni le impone cargas o funciones ajenas a sus competencias.</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4</w:t>
      </w:r>
    </w:p>
    <w:p w:rsidR="00000000" w:rsidDel="00000000" w:rsidP="00000000" w:rsidRDefault="00000000" w:rsidRPr="00000000">
      <w:pPr>
        <w:contextualSpacing w:val="0"/>
        <w:jc w:val="both"/>
      </w:pPr>
      <w:r w:rsidDel="00000000" w:rsidR="00000000" w:rsidRPr="00000000">
        <w:rPr>
          <w:rtl w:val="0"/>
        </w:rPr>
      </w:r>
    </w:p>
    <w:tbl>
      <w:tblPr>
        <w:tblStyle w:val="Table5"/>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rPr>
          <w:trHeight w:val="38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DI-049, del 25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Pronunciamiento de la Escuela de Diseño Industrial, de proyecto</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“Ley de Creación del Consejo Nacional de Discapacidad” (Originalmente denominado: Reforma Integral a la Ley de Creación del Consejo Nacional de Rehabilitación y Educación Especial, No. 5347 del 3 de setiembre de 1973 y sus Reformas), Expediente No. 18.547;  entre otras consideraciones señala que la ley incluye el componente de la formación universitaria como medio para informar y sensibilizar a la población ante el tema de la discapacidad y recomienda avalar el Proyecto.</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el Proyecto de “Ley de Creación del Consejo Nacional de Discapacidad” (Originalmente denominado: Reforma Integral a la Ley de Creación del Consejo Nacional de Rehabilitación y Educación Especial, No. 5347 del 3 de setiembre de 1973 y sus Reformas), Expediente No. 18.547.</w:t>
      </w: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Primera Secretaría del Directorio, de la Asamblea Legislativa; tomar en consideración las observaciones y recomendaciones emitidas por los entes técnicos de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Pronunciamiento Proyecto-Creación del Consejo Nacional de Discapacidad” Exp. No. 18.547</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114300" distR="114300">
            <wp:extent cx="972185" cy="62865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3"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4"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9" w:type="default"/>
      <w:headerReference r:id="rId10"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2908, Artículo 12, del 4 de marzo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02.png"/><Relationship Id="rId6" Type="http://schemas.openxmlformats.org/officeDocument/2006/relationships/image" Target="media/image04.png"/><Relationship Id="rId7" Type="http://schemas.openxmlformats.org/officeDocument/2006/relationships/image" Target="media/image03.png"/><Relationship Id="rId8"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s>
</file>