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SCI-125-2015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65.0" w:type="dxa"/>
        <w:jc w:val="left"/>
        <w:tblLayout w:type="fixed"/>
        <w:tblLook w:val="0000"/>
      </w:tblPr>
      <w:tblGrid>
        <w:gridCol w:w="1418"/>
        <w:gridCol w:w="8647"/>
        <w:tblGridChange w:id="0">
          <w:tblGrid>
            <w:gridCol w:w="1418"/>
            <w:gridCol w:w="8647"/>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MAE. William Vives, Vicerrector de Administración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MAU. Tatiana Fernández Martín, Directora Oficina de Planificación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Harold Blanco Leitón, Director Departamento de Recursos Humanos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Máster Jaime Gutiérrez Alfaro, Coordinador de la Sede Interuniversitaria Alajuela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4 de marzo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2908, Artículo 9, del 4 de marzo de 2015.  Modificación de la plaza CTA022 de Técnico Académico Administrativo a Técnico en Administración, adscrita a la Vicerrectoría de Docencia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Sesión Ordinaria No. 2887 Artículo 14 del 01 de octubre de 2014, aprobó la “Creación, Renovación y Reconversión de plazas con Fondos del Sistema para el año 2015”, para la Vicerrectoría de Docencia, en su línea No. 4 aprobó la plaza CTA022 con las siguientes características:</w:t>
      </w:r>
      <w:r w:rsidDel="00000000" w:rsidR="00000000" w:rsidRPr="00000000">
        <w:rPr>
          <w:rtl w:val="0"/>
        </w:rPr>
      </w:r>
    </w:p>
    <w:tbl>
      <w:tblPr>
        <w:tblStyle w:val="Table2"/>
        <w:bidi w:val="0"/>
        <w:tblW w:w="10923.0" w:type="dxa"/>
        <w:jc w:val="left"/>
        <w:tblInd w:w="45.0" w:type="dxa"/>
        <w:tblLayout w:type="fixed"/>
        <w:tblLook w:val="0000"/>
      </w:tblPr>
      <w:tblGrid>
        <w:gridCol w:w="263"/>
        <w:gridCol w:w="464"/>
        <w:gridCol w:w="933"/>
        <w:gridCol w:w="1088"/>
        <w:gridCol w:w="1396"/>
        <w:gridCol w:w="465"/>
        <w:gridCol w:w="620"/>
        <w:gridCol w:w="465"/>
        <w:gridCol w:w="620"/>
        <w:gridCol w:w="1400"/>
        <w:gridCol w:w="1081"/>
        <w:gridCol w:w="1086"/>
        <w:gridCol w:w="1042"/>
        <w:tblGridChange w:id="0">
          <w:tblGrid>
            <w:gridCol w:w="263"/>
            <w:gridCol w:w="464"/>
            <w:gridCol w:w="933"/>
            <w:gridCol w:w="1088"/>
            <w:gridCol w:w="1396"/>
            <w:gridCol w:w="465"/>
            <w:gridCol w:w="620"/>
            <w:gridCol w:w="465"/>
            <w:gridCol w:w="620"/>
            <w:gridCol w:w="1400"/>
            <w:gridCol w:w="1081"/>
            <w:gridCol w:w="1086"/>
            <w:gridCol w:w="1042"/>
          </w:tblGrid>
        </w:tblGridChange>
      </w:tblGrid>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r>
        <w:trPr>
          <w:trHeight w:val="104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Cód. plaza Actual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CTA022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CTA022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Técnico Académico (a) Administrativo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Dirección ViDa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 Asistencia a los laboratorios Alajuela.</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recibió el oficio OPI-073-2015, con fecha de recibido 26 de febrero de 2015, suscrito por la MAU. Tatiana Fernández Martín, Directora Oficina de Planificación Institucional, dirigido al Ing.  Alexander Valerín Castro, Coordinador de la Comisión de Planificación y Administración, en el cual remite solicitud de dictamen sobre la modificación de la plaza CTA022 de la Vicerrectoría de Docencia, para el cambio del puesto de Técnico Académico Administrativo, categoría 14, jornada 50% y 12 meses, a Técnico en Administración, categoría 16, jornada 50% y 10 meses.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No.  612-2015, del 26 de febrero de 2015, conoció en el punto de correspondencia el oficio supra citado; discutió ampliamente y dispuso elevar propuesta al pleno.</w:t>
      </w:r>
      <w:r w:rsidDel="00000000" w:rsidR="00000000" w:rsidRPr="00000000">
        <w:rPr>
          <w:rtl w:val="0"/>
        </w:rPr>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7" w:hanging="426"/>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Modificar la plaza CTA022,  de Técnico Académico Administrativo, a Técnico en Administración, de la Vicerrectoría de Docencia para que se lea:</w:t>
      </w:r>
    </w:p>
    <w:tbl>
      <w:tblPr>
        <w:tblStyle w:val="Table3"/>
        <w:bidi w:val="0"/>
        <w:tblW w:w="10296.0" w:type="dxa"/>
        <w:jc w:val="left"/>
        <w:tblInd w:w="45.0" w:type="dxa"/>
        <w:tblLayout w:type="fixed"/>
        <w:tblLook w:val="0000"/>
      </w:tblPr>
      <w:tblGrid>
        <w:gridCol w:w="267"/>
        <w:gridCol w:w="463"/>
        <w:gridCol w:w="933"/>
        <w:gridCol w:w="931"/>
        <w:gridCol w:w="1396"/>
        <w:gridCol w:w="463"/>
        <w:gridCol w:w="778"/>
        <w:gridCol w:w="463"/>
        <w:gridCol w:w="1396"/>
        <w:gridCol w:w="1079"/>
        <w:gridCol w:w="1159"/>
        <w:gridCol w:w="968"/>
        <w:tblGridChange w:id="0">
          <w:tblGrid>
            <w:gridCol w:w="267"/>
            <w:gridCol w:w="463"/>
            <w:gridCol w:w="933"/>
            <w:gridCol w:w="931"/>
            <w:gridCol w:w="1396"/>
            <w:gridCol w:w="463"/>
            <w:gridCol w:w="778"/>
            <w:gridCol w:w="463"/>
            <w:gridCol w:w="1396"/>
            <w:gridCol w:w="1079"/>
            <w:gridCol w:w="1159"/>
            <w:gridCol w:w="968"/>
          </w:tblGrid>
        </w:tblGridChange>
      </w:tblGrid>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r>
        <w:trPr>
          <w:trHeight w:val="104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Cód. plaza Actual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Periodo (meses)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bottom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CTA022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CTA022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Técnico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Dirección ViDA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 Asistencia a coordinación académica TEC en SIUA</w:t>
            </w:r>
            <w:r w:rsidDel="00000000" w:rsidR="00000000" w:rsidRPr="00000000">
              <w:rPr>
                <w:rtl w:val="0"/>
              </w:rPr>
            </w:r>
          </w:p>
        </w:tc>
      </w:tr>
    </w:tbl>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left="426" w:right="-91" w:firstLine="0"/>
        <w:contextualSpacing w:val="0"/>
        <w:jc w:val="both"/>
      </w:pPr>
      <w:r w:rsidDel="00000000" w:rsidR="00000000" w:rsidRPr="00000000">
        <w:rPr>
          <w:rFonts w:ascii="Arial" w:cs="Arial" w:eastAsia="Arial" w:hAnsi="Arial"/>
          <w:vertAlign w:val="baseline"/>
          <w:rtl w:val="0"/>
        </w:rPr>
        <w:t xml:space="preserve">Rige a partir del 1° de marzo del 2015.</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7" w:hanging="426"/>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Recordar a la Administración que la modificación de cualquiera de las condiciones con las que se aprueban las plazas en este acuerdo, sólo puede hacerse por parte del Consejo Institucional.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91" w:hanging="426"/>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Modificación-plaza-CTA022--Técnico en Administración ViDa</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drawing>
          <wp:inline distB="0" distT="0" distL="114300" distR="114300">
            <wp:extent cx="972185" cy="62865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3"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2"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972185" cy="628650"/>
                    </a:xfrm>
                    <a:prstGeom prst="rect"/>
                    <a:ln/>
                  </pic:spPr>
                </pic:pic>
              </a:graphicData>
            </a:graphic>
          </wp:inline>
        </w:drawing>
      </w:r>
      <w:r w:rsidDel="00000000" w:rsidR="00000000" w:rsidRPr="00000000">
        <w:drawing>
          <wp:inline distB="0" distT="0" distL="114300" distR="114300">
            <wp:extent cx="972185" cy="628650"/>
            <wp:effectExtent b="0" l="0" r="0" t="0"/>
            <wp:docPr id="4" name="image05.png"/>
            <a:graphic>
              <a:graphicData uri="http://schemas.openxmlformats.org/drawingml/2006/picture">
                <pic:pic>
                  <pic:nvPicPr>
                    <pic:cNvPr id="0" name="image05.png"/>
                    <pic:cNvPicPr preferRelativeResize="0"/>
                  </pic:nvPicPr>
                  <pic:blipFill>
                    <a:blip r:embed="rId8"/>
                    <a:srcRect b="0" l="0" r="0" t="0"/>
                    <a:stretch>
                      <a:fillRect/>
                    </a:stretch>
                  </pic:blipFill>
                  <pic:spPr>
                    <a:xfrm>
                      <a:off x="0" y="0"/>
                      <a:ext cx="972185" cy="628650"/>
                    </a:xfrm>
                    <a:prstGeom prst="rect"/>
                    <a:ln/>
                  </pic:spPr>
                </pic:pic>
              </a:graphicData>
            </a:graphic>
          </wp:inline>
        </w:drawing>
      </w:r>
      <w:r w:rsidDel="00000000" w:rsidR="00000000" w:rsidRPr="00000000">
        <w:rPr>
          <w:rtl w:val="0"/>
        </w:rPr>
      </w:r>
    </w:p>
    <w:sectPr>
      <w:headerReference r:id="rId9" w:type="default"/>
      <w:headerReference r:id="rId10"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5"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2908, Artículo 9, del 4 de marzo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6" name="image07.png"/>
          <a:graphic>
            <a:graphicData uri="http://schemas.openxmlformats.org/drawingml/2006/picture">
              <pic:pic>
                <pic:nvPicPr>
                  <pic:cNvPr id="0" name="image07.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image" Target="media/image02.png"/><Relationship Id="rId6" Type="http://schemas.openxmlformats.org/officeDocument/2006/relationships/image" Target="media/image04.png"/><Relationship Id="rId7" Type="http://schemas.openxmlformats.org/officeDocument/2006/relationships/image" Target="media/image03.png"/><Relationship Id="rId8" Type="http://schemas.openxmlformats.org/officeDocument/2006/relationships/image" Target="media/image05.png"/></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07.png"/></Relationships>
</file>