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SCI-204-2016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Manuel Corrales Umaña, Gerente Área Servicios Sociales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Contraloría General de la República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Kattia Calderón, Vicerrectora a.i.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Paola Vega, Vicerrectora de Investigación y Extensión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de Vida Estudiantil y Servicios Académicos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Roxana Jiménez, Directora Centro Académico de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Roy D’Avanzo, Director del Departamento Financiero Contable</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de la Oficina de Planificación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20 de abril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2967, Artículo 7 del 20 de abril de 2016.  Modificación Presupuestaria 01-2016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tl w:val="0"/>
        </w:rPr>
      </w:r>
    </w:p>
    <w:p w:rsidR="00000000" w:rsidDel="00000000" w:rsidP="00000000" w:rsidRDefault="00000000" w:rsidRPr="00000000">
      <w:pPr>
        <w:numPr>
          <w:ilvl w:val="0"/>
          <w:numId w:val="2"/>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2849, Artículo 8, del 28 de noviembre de 2013, aprobó la Reforma Integral Reglamento para la aplicación de Modificaciones Presupuestarias en el ITCR.</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Extraordinaria  No.  2944, Artículo 3, del 23 de octubre de 2015, aprobó  el Presupuesto Ordinario 2016 y Vinculación con el Plan Anual Operativo 2016.</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2964, Artículo 11, del 30 de marzo de 2016, modificó las metas del  acuerdo de la Sesión Extraordinaria No. 2944, Artículo 3, del 23 de octubre de 2015  “Presupuesto Ordinario 2016 y Vinculación con el Plan Anual Operativo 2016, de los siguientes Programas: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spacing w:line="360" w:lineRule="auto"/>
        <w:ind w:left="1134" w:hanging="708"/>
        <w:contextualSpacing w:val="0"/>
        <w:jc w:val="both"/>
      </w:pPr>
      <w:r w:rsidDel="00000000" w:rsidR="00000000" w:rsidRPr="00000000">
        <w:rPr>
          <w:rFonts w:ascii="Arial" w:cs="Arial" w:eastAsia="Arial" w:hAnsi="Arial"/>
          <w:b w:val="1"/>
          <w:i w:val="1"/>
          <w:sz w:val="22"/>
          <w:szCs w:val="22"/>
          <w:vertAlign w:val="baseline"/>
          <w:rtl w:val="0"/>
        </w:rPr>
        <w:t xml:space="preserve">“a.1.</w:t>
        <w:tab/>
        <w:t xml:space="preserve">Programa 1: Administración</w:t>
      </w:r>
      <w:r w:rsidDel="00000000" w:rsidR="00000000" w:rsidRPr="00000000">
        <w:rPr>
          <w:rtl w:val="0"/>
        </w:rPr>
      </w:r>
    </w:p>
    <w:p w:rsidR="00000000" w:rsidDel="00000000" w:rsidP="00000000" w:rsidRDefault="00000000" w:rsidRPr="00000000">
      <w:pPr>
        <w:spacing w:line="360" w:lineRule="auto"/>
        <w:ind w:left="1134" w:firstLine="0"/>
        <w:contextualSpacing w:val="0"/>
        <w:jc w:val="both"/>
      </w:pPr>
      <w:r w:rsidDel="00000000" w:rsidR="00000000" w:rsidRPr="00000000">
        <w:rPr>
          <w:rFonts w:ascii="Arial" w:cs="Arial" w:eastAsia="Arial" w:hAnsi="Arial"/>
          <w:i w:val="1"/>
          <w:sz w:val="22"/>
          <w:szCs w:val="22"/>
          <w:u w:val="single"/>
          <w:vertAlign w:val="baseline"/>
          <w:rtl w:val="0"/>
        </w:rPr>
        <w:t xml:space="preserve">Sub-Programa 1.1: Dirección Superior</w:t>
      </w:r>
      <w:r w:rsidDel="00000000" w:rsidR="00000000" w:rsidRPr="00000000">
        <w:rPr>
          <w:rtl w:val="0"/>
        </w:rPr>
      </w:r>
    </w:p>
    <w:p w:rsidR="00000000" w:rsidDel="00000000" w:rsidP="00000000" w:rsidRDefault="00000000" w:rsidRPr="00000000">
      <w:pPr>
        <w:spacing w:line="360" w:lineRule="auto"/>
        <w:ind w:left="1134" w:firstLine="0"/>
        <w:contextualSpacing w:val="0"/>
        <w:jc w:val="both"/>
      </w:pPr>
      <w:r w:rsidDel="00000000" w:rsidR="00000000" w:rsidRPr="00000000">
        <w:rPr>
          <w:rFonts w:ascii="Arial" w:cs="Arial" w:eastAsia="Arial" w:hAnsi="Arial"/>
          <w:i w:val="1"/>
          <w:sz w:val="22"/>
          <w:szCs w:val="22"/>
          <w:u w:val="single"/>
          <w:vertAlign w:val="baseline"/>
          <w:rtl w:val="0"/>
        </w:rPr>
        <w:t xml:space="preserve">Sub-Programa 1.4: Centro Académico de Limón</w:t>
      </w:r>
      <w:r w:rsidDel="00000000" w:rsidR="00000000" w:rsidRPr="00000000">
        <w:rPr>
          <w:rtl w:val="0"/>
        </w:rPr>
      </w:r>
    </w:p>
    <w:p w:rsidR="00000000" w:rsidDel="00000000" w:rsidP="00000000" w:rsidRDefault="00000000" w:rsidRPr="00000000">
      <w:pPr>
        <w:spacing w:line="360" w:lineRule="auto"/>
        <w:ind w:left="1134" w:firstLine="0"/>
        <w:contextualSpacing w:val="0"/>
        <w:jc w:val="both"/>
      </w:pPr>
      <w:r w:rsidDel="00000000" w:rsidR="00000000" w:rsidRPr="00000000">
        <w:rPr>
          <w:rFonts w:ascii="Arial" w:cs="Arial" w:eastAsia="Arial" w:hAnsi="Arial"/>
          <w:i w:val="1"/>
          <w:sz w:val="22"/>
          <w:szCs w:val="22"/>
          <w:u w:val="single"/>
          <w:vertAlign w:val="baseline"/>
          <w:rtl w:val="0"/>
        </w:rPr>
        <w:t xml:space="preserve">Sub-Programa 1.5: Centro Académico de Alajuela</w:t>
      </w:r>
      <w:r w:rsidDel="00000000" w:rsidR="00000000" w:rsidRPr="00000000">
        <w:rPr>
          <w:rtl w:val="0"/>
        </w:rPr>
      </w:r>
    </w:p>
    <w:p w:rsidR="00000000" w:rsidDel="00000000" w:rsidP="00000000" w:rsidRDefault="00000000" w:rsidRPr="00000000">
      <w:pPr>
        <w:spacing w:line="360" w:lineRule="auto"/>
        <w:ind w:left="426" w:firstLine="0"/>
        <w:contextualSpacing w:val="0"/>
        <w:jc w:val="both"/>
      </w:pPr>
      <w:r w:rsidDel="00000000" w:rsidR="00000000" w:rsidRPr="00000000">
        <w:rPr>
          <w:rFonts w:ascii="Arial" w:cs="Arial" w:eastAsia="Arial" w:hAnsi="Arial"/>
          <w:b w:val="1"/>
          <w:i w:val="1"/>
          <w:sz w:val="22"/>
          <w:szCs w:val="22"/>
          <w:vertAlign w:val="baseline"/>
          <w:rtl w:val="0"/>
        </w:rPr>
        <w:t xml:space="preserve">a.2.  Programa 4: Investigación y Extensión…”</w:t>
      </w:r>
      <w:r w:rsidDel="00000000" w:rsidR="00000000" w:rsidRPr="00000000">
        <w:rPr>
          <w:rtl w:val="0"/>
        </w:rPr>
      </w:r>
    </w:p>
    <w:p w:rsidR="00000000" w:rsidDel="00000000" w:rsidP="00000000" w:rsidRDefault="00000000" w:rsidRPr="00000000">
      <w:pPr>
        <w:spacing w:line="360" w:lineRule="auto"/>
        <w:ind w:left="993" w:firstLine="0"/>
        <w:contextualSpacing w:val="0"/>
        <w:jc w:val="both"/>
      </w:pP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Fonts w:ascii="Arial" w:cs="Arial" w:eastAsia="Arial" w:hAnsi="Arial"/>
          <w:vertAlign w:val="baseline"/>
          <w:rtl w:val="0"/>
        </w:rPr>
        <w:t xml:space="preserve">Asimismo, se aprobaron las solicitudes de modificación presupuestaria que afectan al Centro Académico de Limón trasladándolo del Programa de Docencia al Programa de Administración, como se resume en el siguiente cuadro: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3792.9999999999995"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7"/>
        <w:gridCol w:w="2476"/>
        <w:tblGridChange w:id="0">
          <w:tblGrid>
            <w:gridCol w:w="1317"/>
            <w:gridCol w:w="2476"/>
          </w:tblGrid>
        </w:tblGridChange>
      </w:tblGrid>
      <w:tr>
        <w:trPr>
          <w:trHeight w:val="300" w:hRule="atLeast"/>
        </w:trPr>
        <w:tc>
          <w:tcPr>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Solicitud de modificación</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Monto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(colones)</w:t>
            </w:r>
            <w:r w:rsidDel="00000000" w:rsidR="00000000" w:rsidRPr="00000000">
              <w:rPr>
                <w:rtl w:val="0"/>
              </w:rPr>
            </w:r>
          </w:p>
        </w:tc>
      </w:tr>
      <w:tr>
        <w:trPr>
          <w:trHeight w:val="300" w:hRule="atLeast"/>
        </w:trPr>
        <w:tc>
          <w:tcPr>
            <w:shd w:fill="ffffff"/>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1818</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1,439,188,223.21 </w:t>
            </w:r>
            <w:r w:rsidDel="00000000" w:rsidR="00000000" w:rsidRPr="00000000">
              <w:rPr>
                <w:rtl w:val="0"/>
              </w:rPr>
            </w:r>
          </w:p>
        </w:tc>
      </w:tr>
      <w:tr>
        <w:trPr>
          <w:trHeight w:val="300" w:hRule="atLeast"/>
        </w:trPr>
        <w:tc>
          <w:tcPr>
            <w:shd w:fill="ffffff"/>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1839</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5,000,000.00 </w:t>
            </w:r>
            <w:r w:rsidDel="00000000" w:rsidR="00000000" w:rsidRPr="00000000">
              <w:rPr>
                <w:rtl w:val="0"/>
              </w:rPr>
            </w:r>
          </w:p>
        </w:tc>
      </w:tr>
      <w:tr>
        <w:trPr>
          <w:trHeight w:val="300" w:hRule="atLeast"/>
        </w:trPr>
        <w:tc>
          <w:tcPr>
            <w:shd w:fill="ffffff"/>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1879</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145,000,000.00 </w:t>
            </w:r>
            <w:r w:rsidDel="00000000" w:rsidR="00000000" w:rsidRPr="00000000">
              <w:rPr>
                <w:rtl w:val="0"/>
              </w:rPr>
            </w:r>
          </w:p>
        </w:tc>
      </w:tr>
      <w:tr>
        <w:trPr>
          <w:trHeight w:val="300" w:hRule="atLeast"/>
        </w:trPr>
        <w:tc>
          <w:tcPr>
            <w:shd w:fill="ffffff"/>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1916</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28,994,960.24 </w:t>
            </w:r>
            <w:r w:rsidDel="00000000" w:rsidR="00000000" w:rsidRPr="00000000">
              <w:rPr>
                <w:rtl w:val="0"/>
              </w:rPr>
            </w:r>
          </w:p>
        </w:tc>
      </w:tr>
      <w:tr>
        <w:trPr>
          <w:trHeight w:val="300" w:hRule="atLeast"/>
        </w:trPr>
        <w:tc>
          <w:tcPr>
            <w:shd w:fill="ffffff"/>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1970</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500,000.00 </w:t>
            </w:r>
            <w:r w:rsidDel="00000000" w:rsidR="00000000" w:rsidRPr="00000000">
              <w:rPr>
                <w:rtl w:val="0"/>
              </w:rPr>
            </w:r>
          </w:p>
        </w:tc>
      </w:tr>
      <w:tr>
        <w:trPr>
          <w:trHeight w:val="300" w:hRule="atLeast"/>
        </w:trPr>
        <w:tc>
          <w:tcPr>
            <w:shd w:fill="ffffff"/>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1982</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497,542.34 </w:t>
            </w:r>
            <w:r w:rsidDel="00000000" w:rsidR="00000000" w:rsidRPr="00000000">
              <w:rPr>
                <w:rtl w:val="0"/>
              </w:rPr>
            </w:r>
          </w:p>
        </w:tc>
      </w:tr>
      <w:tr>
        <w:trPr>
          <w:trHeight w:val="300" w:hRule="atLeast"/>
        </w:trPr>
        <w:tc>
          <w:tcPr>
            <w:shd w:fill="ffffff"/>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2002</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11,500,000.00 </w:t>
            </w:r>
            <w:r w:rsidDel="00000000" w:rsidR="00000000" w:rsidRPr="00000000">
              <w:rPr>
                <w:rtl w:val="0"/>
              </w:rPr>
            </w:r>
          </w:p>
        </w:tc>
      </w:tr>
    </w:tbl>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R-338-2016, con fecha de recibido 14 de abril de 2016, suscrito por el Dr.  Julio C.  Calvo Alvarado, Rector, dirigido al Dr. Bernal Martínez Gutiérrez, Coordinador de la Comisión de Planificación y Administración, en el cual remite la Modificación Presupuestaria No.  01-2016, conocida y avalada por el Consejo de Rectoría, en la Sesión  No. 13-2016, Artículo 2, del 12 de abril del 2016.  En el mismo oficio adjunta el dictamen  de la Oficina de Planificación Institucional, mediante el oficio OPI-184-2016, sobre la citada Modificación Presupuestaria. (Anexo 1 y 2)</w:t>
      </w:r>
      <w:r w:rsidDel="00000000" w:rsidR="00000000" w:rsidRPr="00000000">
        <w:rPr>
          <w:rtl w:val="0"/>
        </w:rPr>
      </w:r>
    </w:p>
    <w:p w:rsidR="00000000" w:rsidDel="00000000" w:rsidP="00000000" w:rsidRDefault="00000000" w:rsidRPr="00000000">
      <w:pPr>
        <w:ind w:left="360" w:right="-91" w:firstLine="0"/>
        <w:contextualSpacing w:val="0"/>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671-2016, celebrada el 18  de abril de 2016, conoce la nota supra citada, revisa el documento presupuestario, en forma conjunta con los responsables: Licda. Kathya Calderón, Vicerrectora de Administración a.i,  el Lic. Johnny Masís, Coordinador de la Unidad de Presupuesto del  Departamento Financiero Contable, la MAU. Tatiana Fernández, Directora de la Oficina de Planificación, el MBA. José Antonio Sánchez y el Lic. Sergio Picado, de la Oficina de Planificación; el Lic. Isidro Álvarez y la Dra. Deyanira Meza, de la Auditoría Interna.  De acuerdo a lo expuesto y aclaradas las dudas, se dispone elevar la propuesta al pleno del Consejo Institucional, para dar por conocida la Modificación Presupuestaria No. 01-2016.</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360" w:right="-91" w:firstLine="0"/>
        <w:contextualSpacing w:val="0"/>
      </w:pPr>
      <w:r w:rsidDel="00000000" w:rsidR="00000000" w:rsidRPr="00000000">
        <w:rPr>
          <w:rtl w:val="0"/>
        </w:rPr>
      </w:r>
    </w:p>
    <w:p w:rsidR="00000000" w:rsidDel="00000000" w:rsidP="00000000" w:rsidRDefault="00000000" w:rsidRPr="00000000">
      <w:pPr>
        <w:numPr>
          <w:ilvl w:val="0"/>
          <w:numId w:val="3"/>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conocida la Modificación Presupuestaria No.01-2016 al Presupuesto 2016, con los documentos numerados de la No. 1818 a la No. 2100, por un monto de ¢10,974,908.08 miles, según el documento adjunto, remitido mediante oficio R-338-2016.  </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3"/>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Palabras clave: Modificación – Presupuestaria  – 01 -  2016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3"/>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drawing>
          <wp:inline distB="0" distT="0" distL="114300" distR="114300">
            <wp:extent cx="960755" cy="6248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4"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9" w:type="default"/>
      <w:headerReference r:id="rId10"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9.png"/>
          <a:graphic>
            <a:graphicData uri="http://schemas.openxmlformats.org/drawingml/2006/picture">
              <pic:pic>
                <pic:nvPicPr>
                  <pic:cNvPr id="0" name="image09.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2967, Artículo 7, del 20 de abril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4"/>
      <w:numFmt w:val="decimal"/>
      <w:lvlText w:val="%1.%2"/>
      <w:lvlJc w:val="left"/>
      <w:pPr>
        <w:ind w:left="1080" w:firstLine="708"/>
      </w:pPr>
      <w:rPr>
        <w:vertAlign w:val="baseline"/>
      </w:rPr>
    </w:lvl>
    <w:lvl w:ilvl="2">
      <w:start w:val="1"/>
      <w:numFmt w:val="decimal"/>
      <w:lvlText w:val="%1.%2.%3"/>
      <w:lvlJc w:val="left"/>
      <w:pPr>
        <w:ind w:left="1776" w:firstLine="1056"/>
      </w:pPr>
      <w:rPr>
        <w:vertAlign w:val="baseline"/>
      </w:rPr>
    </w:lvl>
    <w:lvl w:ilvl="3">
      <w:start w:val="1"/>
      <w:numFmt w:val="decimal"/>
      <w:lvlText w:val="%1.%2.%3.%4"/>
      <w:lvlJc w:val="left"/>
      <w:pPr>
        <w:ind w:left="2124" w:firstLine="1404"/>
      </w:pPr>
      <w:rPr>
        <w:vertAlign w:val="baseline"/>
      </w:rPr>
    </w:lvl>
    <w:lvl w:ilvl="4">
      <w:start w:val="1"/>
      <w:numFmt w:val="decimal"/>
      <w:lvlText w:val="%1.%2.%3.%4.%5"/>
      <w:lvlJc w:val="left"/>
      <w:pPr>
        <w:ind w:left="2832" w:firstLine="1752"/>
      </w:pPr>
      <w:rPr>
        <w:vertAlign w:val="baseline"/>
      </w:rPr>
    </w:lvl>
    <w:lvl w:ilvl="5">
      <w:start w:val="1"/>
      <w:numFmt w:val="decimal"/>
      <w:lvlText w:val="%1.%2.%3.%4.%5.%6"/>
      <w:lvlJc w:val="left"/>
      <w:pPr>
        <w:ind w:left="3180" w:firstLine="2100"/>
      </w:pPr>
      <w:rPr>
        <w:vertAlign w:val="baseline"/>
      </w:rPr>
    </w:lvl>
    <w:lvl w:ilvl="6">
      <w:start w:val="1"/>
      <w:numFmt w:val="decimal"/>
      <w:lvlText w:val="%1.%2.%3.%4.%5.%6.%7"/>
      <w:lvlJc w:val="left"/>
      <w:pPr>
        <w:ind w:left="3888" w:firstLine="2448"/>
      </w:pPr>
      <w:rPr>
        <w:vertAlign w:val="baseline"/>
      </w:rPr>
    </w:lvl>
    <w:lvl w:ilvl="7">
      <w:start w:val="1"/>
      <w:numFmt w:val="decimal"/>
      <w:lvlText w:val="%1.%2.%3.%4.%5.%6.%7.%8"/>
      <w:lvlJc w:val="left"/>
      <w:pPr>
        <w:ind w:left="4236" w:firstLine="2796"/>
      </w:pPr>
      <w:rPr>
        <w:vertAlign w:val="baseline"/>
      </w:rPr>
    </w:lvl>
    <w:lvl w:ilvl="8">
      <w:start w:val="1"/>
      <w:numFmt w:val="decimal"/>
      <w:lvlText w:val="%1.%2.%3.%4.%5.%6.%7.%8.%9"/>
      <w:lvlJc w:val="left"/>
      <w:pPr>
        <w:ind w:left="4944" w:firstLine="3144"/>
      </w:pPr>
      <w:rPr>
        <w:vertAlign w:val="baseline"/>
      </w:rPr>
    </w:lvl>
  </w:abstractNum>
  <w:abstractNum w:abstractNumId="2">
    <w:lvl w:ilvl="0">
      <w:start w:val="1"/>
      <w:numFmt w:val="decimal"/>
      <w:lvlText w:val="%1."/>
      <w:lvlJc w:val="left"/>
      <w:pPr>
        <w:ind w:left="720" w:firstLine="360"/>
      </w:pPr>
      <w:rPr>
        <w:b w:val="1"/>
        <w:vertAlign w:val="baseline"/>
      </w:rPr>
    </w:lvl>
    <w:lvl w:ilvl="1">
      <w:start w:val="4"/>
      <w:numFmt w:val="decimal"/>
      <w:lvlText w:val="%1.%2"/>
      <w:lvlJc w:val="left"/>
      <w:pPr>
        <w:ind w:left="1080" w:firstLine="708"/>
      </w:pPr>
      <w:rPr>
        <w:vertAlign w:val="baseline"/>
      </w:rPr>
    </w:lvl>
    <w:lvl w:ilvl="2">
      <w:start w:val="1"/>
      <w:numFmt w:val="decimal"/>
      <w:lvlText w:val="%1.%2.%3"/>
      <w:lvlJc w:val="left"/>
      <w:pPr>
        <w:ind w:left="1776" w:firstLine="1056"/>
      </w:pPr>
      <w:rPr>
        <w:vertAlign w:val="baseline"/>
      </w:rPr>
    </w:lvl>
    <w:lvl w:ilvl="3">
      <w:start w:val="1"/>
      <w:numFmt w:val="decimal"/>
      <w:lvlText w:val="%1.%2.%3.%4"/>
      <w:lvlJc w:val="left"/>
      <w:pPr>
        <w:ind w:left="2124" w:firstLine="1404"/>
      </w:pPr>
      <w:rPr>
        <w:vertAlign w:val="baseline"/>
      </w:rPr>
    </w:lvl>
    <w:lvl w:ilvl="4">
      <w:start w:val="1"/>
      <w:numFmt w:val="decimal"/>
      <w:lvlText w:val="%1.%2.%3.%4.%5"/>
      <w:lvlJc w:val="left"/>
      <w:pPr>
        <w:ind w:left="2832" w:firstLine="1752"/>
      </w:pPr>
      <w:rPr>
        <w:vertAlign w:val="baseline"/>
      </w:rPr>
    </w:lvl>
    <w:lvl w:ilvl="5">
      <w:start w:val="1"/>
      <w:numFmt w:val="decimal"/>
      <w:lvlText w:val="%1.%2.%3.%4.%5.%6"/>
      <w:lvlJc w:val="left"/>
      <w:pPr>
        <w:ind w:left="3180" w:firstLine="2100"/>
      </w:pPr>
      <w:rPr>
        <w:vertAlign w:val="baseline"/>
      </w:rPr>
    </w:lvl>
    <w:lvl w:ilvl="6">
      <w:start w:val="1"/>
      <w:numFmt w:val="decimal"/>
      <w:lvlText w:val="%1.%2.%3.%4.%5.%6.%7"/>
      <w:lvlJc w:val="left"/>
      <w:pPr>
        <w:ind w:left="3888" w:firstLine="2448"/>
      </w:pPr>
      <w:rPr>
        <w:vertAlign w:val="baseline"/>
      </w:rPr>
    </w:lvl>
    <w:lvl w:ilvl="7">
      <w:start w:val="1"/>
      <w:numFmt w:val="decimal"/>
      <w:lvlText w:val="%1.%2.%3.%4.%5.%6.%7.%8"/>
      <w:lvlJc w:val="left"/>
      <w:pPr>
        <w:ind w:left="4236" w:firstLine="2796"/>
      </w:pPr>
      <w:rPr>
        <w:vertAlign w:val="baseline"/>
      </w:rPr>
    </w:lvl>
    <w:lvl w:ilvl="8">
      <w:start w:val="1"/>
      <w:numFmt w:val="decimal"/>
      <w:lvlText w:val="%1.%2.%3.%4.%5.%6.%7.%8.%9"/>
      <w:lvlJc w:val="left"/>
      <w:pPr>
        <w:ind w:left="4944" w:firstLine="3144"/>
      </w:pPr>
      <w:rPr>
        <w:vertAlign w:val="baseline"/>
      </w:rPr>
    </w:lvl>
  </w:abstractNum>
  <w:abstractNum w:abstractNumId="3">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01.png"/><Relationship Id="rId6" Type="http://schemas.openxmlformats.org/officeDocument/2006/relationships/image" Target="media/image06.png"/><Relationship Id="rId7" Type="http://schemas.openxmlformats.org/officeDocument/2006/relationships/image" Target="media/image03.png"/><Relationship Id="rId8"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