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CE3700">
        <w:rPr>
          <w:rFonts w:ascii="Arial" w:hAnsi="Arial" w:cs="Arial"/>
          <w:b/>
          <w:bCs/>
          <w:iCs/>
          <w:sz w:val="26"/>
          <w:szCs w:val="22"/>
          <w:lang w:val="es-CR"/>
        </w:rPr>
        <w:t>780</w:t>
      </w:r>
      <w:r w:rsidRPr="00D958BC">
        <w:rPr>
          <w:rFonts w:ascii="Arial" w:hAnsi="Arial" w:cs="Arial"/>
          <w:b/>
          <w:bCs/>
          <w:iCs/>
          <w:sz w:val="26"/>
          <w:szCs w:val="22"/>
          <w:lang w:val="es-CR"/>
        </w:rPr>
        <w:t>-2016</w:t>
      </w:r>
    </w:p>
    <w:p w:rsidR="007742A1" w:rsidRPr="00D958BC" w:rsidRDefault="007742A1" w:rsidP="007742A1">
      <w:pPr>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C25B79" w:rsidP="003B5F3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MBA</w:t>
            </w:r>
            <w:r w:rsidR="0090700F">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Humberto Villalta</w:t>
            </w:r>
            <w:r w:rsidR="0090700F">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r w:rsidR="003B5F32" w:rsidRPr="003B5F32">
              <w:rPr>
                <w:rFonts w:ascii="Arial" w:eastAsia="Cambria" w:hAnsi="Arial" w:cs="Arial"/>
                <w:sz w:val="22"/>
                <w:szCs w:val="22"/>
                <w:lang w:val="es-ES_tradnl" w:eastAsia="en-US"/>
              </w:rPr>
              <w:t xml:space="preserve"> </w:t>
            </w:r>
          </w:p>
          <w:p w:rsidR="00753E5F" w:rsidRDefault="00CE3700" w:rsidP="00753E5F">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MBA. Humberto Villalta, Vicerrector de Administración </w:t>
            </w:r>
          </w:p>
          <w:p w:rsidR="00F35D35" w:rsidRPr="00753E5F" w:rsidRDefault="00F35D35" w:rsidP="00753E5F">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 Florencio Prendas, Director Departamento Servicios Generales </w:t>
            </w:r>
          </w:p>
          <w:p w:rsidR="00753E5F" w:rsidRDefault="00753E5F" w:rsidP="00753E5F">
            <w:pPr>
              <w:jc w:val="both"/>
              <w:rPr>
                <w:rFonts w:ascii="Arial" w:eastAsia="Cambria" w:hAnsi="Arial" w:cs="Arial"/>
                <w:sz w:val="22"/>
                <w:szCs w:val="22"/>
                <w:lang w:val="es-ES_tradnl" w:eastAsia="en-US"/>
              </w:rPr>
            </w:pPr>
            <w:r w:rsidRPr="00753E5F">
              <w:rPr>
                <w:rFonts w:ascii="Arial" w:eastAsia="Cambria" w:hAnsi="Arial" w:cs="Arial"/>
                <w:sz w:val="22"/>
                <w:szCs w:val="22"/>
                <w:lang w:val="es-ES_tradnl" w:eastAsia="en-US"/>
              </w:rPr>
              <w:t>Licda. Kathya Calderón, Directora Departamento de Aprovisionamiento</w:t>
            </w:r>
          </w:p>
          <w:p w:rsidR="00753E5F" w:rsidRPr="00753E5F" w:rsidRDefault="00753E5F" w:rsidP="00753E5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 Henry Alfaro, Presidente FEITEC </w:t>
            </w:r>
          </w:p>
          <w:p w:rsidR="003B5F32" w:rsidRPr="00577426" w:rsidRDefault="003B5F32" w:rsidP="00C25B79">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C25B79" w:rsidP="00C25B79">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7742A1" w:rsidRPr="00D958BC">
              <w:rPr>
                <w:rFonts w:ascii="Arial" w:eastAsia="Cambria" w:hAnsi="Arial" w:cs="Arial"/>
                <w:b/>
                <w:sz w:val="22"/>
                <w:szCs w:val="22"/>
                <w:lang w:val="es-ES_tradnl" w:eastAsia="en-US"/>
              </w:rPr>
              <w:t xml:space="preserve"> de </w:t>
            </w:r>
            <w:r>
              <w:rPr>
                <w:rFonts w:ascii="Arial" w:eastAsia="Cambria" w:hAnsi="Arial" w:cs="Arial"/>
                <w:b/>
                <w:sz w:val="22"/>
                <w:szCs w:val="22"/>
                <w:lang w:val="es-ES_tradnl" w:eastAsia="en-US"/>
              </w:rPr>
              <w:t>dic</w:t>
            </w:r>
            <w:r w:rsidR="000F2A0F">
              <w:rPr>
                <w:rFonts w:ascii="Arial" w:eastAsia="Cambria" w:hAnsi="Arial" w:cs="Arial"/>
                <w:b/>
                <w:sz w:val="22"/>
                <w:szCs w:val="22"/>
                <w:lang w:val="es-ES_tradnl" w:eastAsia="en-US"/>
              </w:rPr>
              <w:t>iem</w:t>
            </w:r>
            <w:r w:rsidR="007742A1" w:rsidRPr="00D958BC">
              <w:rPr>
                <w:rFonts w:ascii="Arial" w:eastAsia="Cambria" w:hAnsi="Arial" w:cs="Arial"/>
                <w:b/>
                <w:sz w:val="22"/>
                <w:szCs w:val="22"/>
                <w:lang w:val="es-ES_tradnl" w:eastAsia="en-US"/>
              </w:rPr>
              <w:t>bre de 2016</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7742A1" w:rsidRDefault="007742A1" w:rsidP="00352E01">
            <w:pPr>
              <w:ind w:left="67"/>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C25B79">
              <w:rPr>
                <w:rFonts w:ascii="Arial" w:eastAsia="Calibri" w:hAnsi="Arial" w:cs="Arial"/>
                <w:b/>
                <w:sz w:val="22"/>
                <w:szCs w:val="22"/>
              </w:rPr>
              <w:t>3004</w:t>
            </w:r>
            <w:r w:rsidRPr="00D958BC">
              <w:rPr>
                <w:rFonts w:ascii="Arial" w:eastAsia="Calibri" w:hAnsi="Arial" w:cs="Arial"/>
                <w:b/>
                <w:sz w:val="22"/>
                <w:szCs w:val="22"/>
              </w:rPr>
              <w:t>, Artículo</w:t>
            </w:r>
            <w:r w:rsidR="0088064F">
              <w:rPr>
                <w:rFonts w:ascii="Arial" w:eastAsia="Calibri" w:hAnsi="Arial" w:cs="Arial"/>
                <w:b/>
                <w:sz w:val="22"/>
                <w:szCs w:val="22"/>
              </w:rPr>
              <w:t xml:space="preserve"> </w:t>
            </w:r>
            <w:r w:rsidR="00C25B79">
              <w:rPr>
                <w:rFonts w:ascii="Arial" w:eastAsia="Calibri" w:hAnsi="Arial" w:cs="Arial"/>
                <w:b/>
                <w:sz w:val="22"/>
                <w:szCs w:val="22"/>
              </w:rPr>
              <w:t>14,</w:t>
            </w:r>
            <w:r w:rsidRPr="00D958BC">
              <w:rPr>
                <w:rFonts w:ascii="Arial" w:eastAsia="Calibri" w:hAnsi="Arial" w:cs="Arial"/>
                <w:b/>
                <w:sz w:val="22"/>
                <w:szCs w:val="22"/>
              </w:rPr>
              <w:t xml:space="preserve"> del </w:t>
            </w:r>
            <w:r w:rsidR="00C25B79">
              <w:rPr>
                <w:rFonts w:ascii="Arial" w:eastAsia="Calibri" w:hAnsi="Arial" w:cs="Arial"/>
                <w:b/>
                <w:sz w:val="22"/>
                <w:szCs w:val="22"/>
              </w:rPr>
              <w:t>14</w:t>
            </w:r>
            <w:r w:rsidRPr="00D958BC">
              <w:rPr>
                <w:rFonts w:ascii="Arial" w:eastAsia="Calibri" w:hAnsi="Arial" w:cs="Arial"/>
                <w:b/>
                <w:sz w:val="22"/>
                <w:szCs w:val="22"/>
              </w:rPr>
              <w:t xml:space="preserve"> de </w:t>
            </w:r>
            <w:r w:rsidR="00C25B79">
              <w:rPr>
                <w:rFonts w:ascii="Arial" w:eastAsia="Calibri" w:hAnsi="Arial" w:cs="Arial"/>
                <w:b/>
                <w:sz w:val="22"/>
                <w:szCs w:val="22"/>
              </w:rPr>
              <w:t>dic</w:t>
            </w:r>
            <w:r w:rsidR="000F2A0F">
              <w:rPr>
                <w:rFonts w:ascii="Arial" w:eastAsia="Calibri" w:hAnsi="Arial" w:cs="Arial"/>
                <w:b/>
                <w:sz w:val="22"/>
                <w:szCs w:val="22"/>
              </w:rPr>
              <w:t>iem</w:t>
            </w:r>
            <w:r w:rsidRPr="00D958BC">
              <w:rPr>
                <w:rFonts w:ascii="Arial" w:eastAsia="Calibri" w:hAnsi="Arial" w:cs="Arial"/>
                <w:b/>
                <w:sz w:val="22"/>
                <w:szCs w:val="22"/>
              </w:rPr>
              <w:t xml:space="preserve">bre de 2016.   </w:t>
            </w:r>
            <w:r w:rsidR="00C25B79">
              <w:rPr>
                <w:rFonts w:ascii="Arial" w:eastAsia="Calibri" w:hAnsi="Arial" w:cs="Arial"/>
                <w:b/>
                <w:sz w:val="22"/>
                <w:szCs w:val="22"/>
              </w:rPr>
              <w:t>Revisión y análisis del tema transporte de público de la ruta Cartago-TEC y viceversa</w:t>
            </w:r>
          </w:p>
          <w:p w:rsidR="00352E01" w:rsidRPr="00D958BC" w:rsidRDefault="00352E01" w:rsidP="00352E01">
            <w:pPr>
              <w:ind w:left="67"/>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65335" w:rsidRDefault="00665335" w:rsidP="007742A1">
      <w:pPr>
        <w:jc w:val="both"/>
        <w:rPr>
          <w:rFonts w:ascii="Arial" w:eastAsia="Cambria" w:hAnsi="Arial" w:cs="Arial"/>
          <w:lang w:val="es-ES_tradnl" w:eastAsia="en-US"/>
        </w:rPr>
      </w:pPr>
    </w:p>
    <w:p w:rsidR="00CE3700" w:rsidRPr="00CE3700" w:rsidRDefault="00CE3700" w:rsidP="00CE3700">
      <w:pPr>
        <w:tabs>
          <w:tab w:val="left" w:pos="3070"/>
        </w:tabs>
        <w:contextualSpacing/>
        <w:jc w:val="both"/>
        <w:outlineLvl w:val="0"/>
        <w:rPr>
          <w:rFonts w:ascii="Arial" w:hAnsi="Arial" w:cs="Arial"/>
          <w:b/>
          <w:lang w:val="es-CR"/>
        </w:rPr>
      </w:pPr>
      <w:r w:rsidRPr="00CE3700">
        <w:rPr>
          <w:rFonts w:ascii="Arial" w:hAnsi="Arial" w:cs="Arial"/>
          <w:b/>
          <w:lang w:val="es-CR"/>
        </w:rPr>
        <w:t>RESULTANDO QUE:</w:t>
      </w:r>
    </w:p>
    <w:p w:rsidR="00CE3700" w:rsidRPr="00CE3700" w:rsidRDefault="00CE3700" w:rsidP="00CE3700">
      <w:pPr>
        <w:tabs>
          <w:tab w:val="left" w:pos="3070"/>
        </w:tabs>
        <w:contextualSpacing/>
        <w:jc w:val="both"/>
        <w:outlineLvl w:val="0"/>
        <w:rPr>
          <w:rFonts w:ascii="Arial" w:hAnsi="Arial" w:cs="Arial"/>
          <w:b/>
          <w:lang w:val="es-CR"/>
        </w:rPr>
      </w:pPr>
    </w:p>
    <w:p w:rsidR="00CE3700" w:rsidRPr="00CE3700" w:rsidRDefault="00CE3700" w:rsidP="00CE3700">
      <w:pPr>
        <w:numPr>
          <w:ilvl w:val="0"/>
          <w:numId w:val="9"/>
        </w:numPr>
        <w:tabs>
          <w:tab w:val="num" w:pos="465"/>
        </w:tabs>
        <w:ind w:left="465"/>
        <w:jc w:val="both"/>
        <w:rPr>
          <w:rFonts w:ascii="Arial" w:hAnsi="Arial"/>
          <w:lang w:val="es-CR"/>
        </w:rPr>
      </w:pPr>
      <w:r w:rsidRPr="00CE3700">
        <w:rPr>
          <w:rFonts w:ascii="Arial" w:hAnsi="Arial"/>
          <w:lang w:val="es-CR"/>
        </w:rPr>
        <w:t xml:space="preserve">El Consejo Institucional en la Sesión Ordinaria No.  1911, Artículo 5, del 30 de octubre de 1996, tomó el acuerdo denominado:  </w:t>
      </w:r>
      <w:r w:rsidRPr="00CE3700">
        <w:rPr>
          <w:rFonts w:ascii="Arial" w:hAnsi="Arial"/>
          <w:i/>
          <w:lang w:val="es-CR"/>
        </w:rPr>
        <w:t xml:space="preserve">“Porcentaje de subsidio para el servicio de Transporte del ITCR”, </w:t>
      </w:r>
      <w:r w:rsidRPr="00CE3700">
        <w:rPr>
          <w:rFonts w:ascii="Arial" w:hAnsi="Arial"/>
          <w:lang w:val="es-CR"/>
        </w:rPr>
        <w:t>y que dice:</w:t>
      </w:r>
    </w:p>
    <w:p w:rsidR="00CE3700" w:rsidRPr="00CE3700" w:rsidRDefault="00CE3700" w:rsidP="00CE3700">
      <w:pPr>
        <w:tabs>
          <w:tab w:val="num" w:pos="465"/>
        </w:tabs>
        <w:jc w:val="both"/>
        <w:rPr>
          <w:rFonts w:ascii="Arial" w:hAnsi="Arial"/>
          <w:lang w:val="es-CR"/>
        </w:rPr>
      </w:pPr>
    </w:p>
    <w:p w:rsidR="00CE3700" w:rsidRPr="00CE3700" w:rsidRDefault="00CE3700" w:rsidP="00CE3700">
      <w:pPr>
        <w:overflowPunct w:val="0"/>
        <w:autoSpaceDE w:val="0"/>
        <w:autoSpaceDN w:val="0"/>
        <w:adjustRightInd w:val="0"/>
        <w:ind w:left="993" w:right="618" w:hanging="426"/>
        <w:jc w:val="both"/>
        <w:textAlignment w:val="baseline"/>
        <w:rPr>
          <w:rFonts w:ascii="Arial" w:hAnsi="Arial" w:cs="Arial"/>
          <w:i/>
          <w:sz w:val="20"/>
          <w:szCs w:val="20"/>
          <w:lang w:val="es-CR"/>
        </w:rPr>
      </w:pPr>
      <w:r w:rsidRPr="00CE3700">
        <w:rPr>
          <w:rFonts w:ascii="Arial" w:hAnsi="Arial" w:cs="Arial"/>
          <w:i/>
          <w:sz w:val="20"/>
          <w:szCs w:val="20"/>
          <w:lang w:val="es-CR"/>
        </w:rPr>
        <w:t>“</w:t>
      </w:r>
      <w:r w:rsidRPr="00CE3700">
        <w:rPr>
          <w:rFonts w:ascii="Arial" w:hAnsi="Arial" w:cs="Arial"/>
          <w:b/>
          <w:i/>
          <w:sz w:val="22"/>
          <w:szCs w:val="22"/>
          <w:lang w:val="es-CR"/>
        </w:rPr>
        <w:t>a</w:t>
      </w:r>
      <w:r w:rsidRPr="00CE3700">
        <w:rPr>
          <w:rFonts w:ascii="Arial" w:hAnsi="Arial" w:cs="Arial"/>
          <w:i/>
          <w:sz w:val="20"/>
          <w:szCs w:val="20"/>
          <w:lang w:val="es-CR"/>
        </w:rPr>
        <w:t xml:space="preserve">.  Aprobar los siguientes lineamientos para que </w:t>
      </w:r>
      <w:smartTag w:uri="urn:schemas-microsoft-com:office:smarttags" w:element="PersonName">
        <w:smartTagPr>
          <w:attr w:name="ProductID" w:val="la Administraci￳n"/>
        </w:smartTagPr>
        <w:r w:rsidRPr="00CE3700">
          <w:rPr>
            <w:rFonts w:ascii="Arial" w:hAnsi="Arial" w:cs="Arial"/>
            <w:i/>
            <w:sz w:val="20"/>
            <w:szCs w:val="20"/>
            <w:lang w:val="es-CR"/>
          </w:rPr>
          <w:t>la Administración</w:t>
        </w:r>
      </w:smartTag>
      <w:r w:rsidRPr="00CE3700">
        <w:rPr>
          <w:rFonts w:ascii="Arial" w:hAnsi="Arial" w:cs="Arial"/>
          <w:i/>
          <w:sz w:val="20"/>
          <w:szCs w:val="20"/>
          <w:lang w:val="es-CR"/>
        </w:rPr>
        <w:t xml:space="preserve"> del Instituto Tecnológico de Costa Rica inicie el proceso de licitación, para concesionar el Servicio de Transporte de la ruta Cartago-Campus Central del Instituto y viceversa:</w:t>
      </w:r>
    </w:p>
    <w:p w:rsidR="00CE3700" w:rsidRPr="00CE3700" w:rsidRDefault="00CE3700" w:rsidP="00CE3700">
      <w:pPr>
        <w:ind w:left="850"/>
        <w:rPr>
          <w:rFonts w:ascii="Arial" w:hAnsi="Arial" w:cs="Arial"/>
          <w:i/>
          <w:sz w:val="20"/>
          <w:szCs w:val="20"/>
          <w:lang w:val="es-CR"/>
        </w:rPr>
      </w:pPr>
    </w:p>
    <w:p w:rsidR="00CE3700" w:rsidRPr="00CE3700" w:rsidRDefault="00CE3700" w:rsidP="00CE3700">
      <w:pPr>
        <w:numPr>
          <w:ilvl w:val="0"/>
          <w:numId w:val="39"/>
        </w:numPr>
        <w:tabs>
          <w:tab w:val="left" w:pos="7797"/>
        </w:tabs>
        <w:overflowPunct w:val="0"/>
        <w:autoSpaceDE w:val="0"/>
        <w:autoSpaceDN w:val="0"/>
        <w:adjustRightInd w:val="0"/>
        <w:ind w:right="900"/>
        <w:jc w:val="both"/>
        <w:textAlignment w:val="baseline"/>
        <w:rPr>
          <w:rFonts w:ascii="Arial" w:hAnsi="Arial" w:cs="Arial"/>
          <w:i/>
          <w:sz w:val="20"/>
          <w:szCs w:val="20"/>
          <w:lang w:val="es-CR"/>
        </w:rPr>
      </w:pPr>
      <w:r w:rsidRPr="00CE3700">
        <w:rPr>
          <w:rFonts w:ascii="Arial" w:hAnsi="Arial" w:cs="Arial"/>
          <w:i/>
          <w:sz w:val="20"/>
          <w:szCs w:val="20"/>
          <w:lang w:val="es-CR"/>
        </w:rPr>
        <w:t>El servicio de Transporte de pasajeros (Estudiantes y Funcionarios) Cartago-Campus Central del Instituto, se brindará por medio de la contratación con una empresa privada, utilizando el mecanismo de concesión de servicio.</w:t>
      </w:r>
    </w:p>
    <w:p w:rsidR="00CE3700" w:rsidRPr="00CE3700" w:rsidRDefault="00CE3700" w:rsidP="00CE3700">
      <w:pPr>
        <w:numPr>
          <w:ilvl w:val="12"/>
          <w:numId w:val="0"/>
        </w:numPr>
        <w:tabs>
          <w:tab w:val="left" w:pos="7797"/>
        </w:tabs>
        <w:ind w:left="1134" w:right="900" w:hanging="283"/>
        <w:jc w:val="both"/>
        <w:rPr>
          <w:rFonts w:ascii="Arial" w:hAnsi="Arial" w:cs="Arial"/>
          <w:i/>
          <w:sz w:val="16"/>
          <w:szCs w:val="16"/>
          <w:lang w:val="es-CR"/>
        </w:rPr>
      </w:pPr>
    </w:p>
    <w:p w:rsidR="00CE3700" w:rsidRPr="00CE3700" w:rsidRDefault="00CE3700" w:rsidP="00CE3700">
      <w:pPr>
        <w:numPr>
          <w:ilvl w:val="0"/>
          <w:numId w:val="39"/>
        </w:numPr>
        <w:tabs>
          <w:tab w:val="left" w:pos="7797"/>
        </w:tabs>
        <w:overflowPunct w:val="0"/>
        <w:autoSpaceDE w:val="0"/>
        <w:autoSpaceDN w:val="0"/>
        <w:adjustRightInd w:val="0"/>
        <w:ind w:right="900"/>
        <w:jc w:val="both"/>
        <w:textAlignment w:val="baseline"/>
        <w:rPr>
          <w:rFonts w:ascii="Arial" w:hAnsi="Arial" w:cs="Arial"/>
          <w:i/>
          <w:sz w:val="20"/>
          <w:szCs w:val="20"/>
          <w:lang w:val="es-CR"/>
        </w:rPr>
      </w:pPr>
      <w:r w:rsidRPr="00CE3700">
        <w:rPr>
          <w:rFonts w:ascii="Arial" w:hAnsi="Arial" w:cs="Arial"/>
          <w:i/>
          <w:sz w:val="20"/>
          <w:szCs w:val="20"/>
          <w:lang w:val="es-CR"/>
        </w:rPr>
        <w:t>El período de adjudicación será de 1 año, prorrogable consecutivamente hasta por 3 años, a menos que alguna de las partes notifique con dos meses de anticipación al vencimiento, su decisión de no continuar con el contrato.</w:t>
      </w:r>
    </w:p>
    <w:p w:rsidR="00CE3700" w:rsidRPr="00CE3700" w:rsidRDefault="00CE3700" w:rsidP="00CE3700">
      <w:pPr>
        <w:numPr>
          <w:ilvl w:val="12"/>
          <w:numId w:val="0"/>
        </w:numPr>
        <w:tabs>
          <w:tab w:val="left" w:pos="7797"/>
        </w:tabs>
        <w:ind w:left="1134" w:right="900" w:hanging="283"/>
        <w:jc w:val="both"/>
        <w:rPr>
          <w:rFonts w:ascii="Arial" w:hAnsi="Arial" w:cs="Arial"/>
          <w:i/>
          <w:sz w:val="16"/>
          <w:szCs w:val="16"/>
          <w:lang w:val="es-CR"/>
        </w:rPr>
      </w:pPr>
    </w:p>
    <w:p w:rsidR="00CE3700" w:rsidRPr="00CE3700" w:rsidRDefault="00CE3700" w:rsidP="00CE3700">
      <w:pPr>
        <w:numPr>
          <w:ilvl w:val="0"/>
          <w:numId w:val="39"/>
        </w:numPr>
        <w:tabs>
          <w:tab w:val="left" w:pos="7797"/>
        </w:tabs>
        <w:overflowPunct w:val="0"/>
        <w:autoSpaceDE w:val="0"/>
        <w:autoSpaceDN w:val="0"/>
        <w:adjustRightInd w:val="0"/>
        <w:ind w:right="900"/>
        <w:jc w:val="both"/>
        <w:textAlignment w:val="baseline"/>
        <w:rPr>
          <w:rFonts w:ascii="Arial" w:hAnsi="Arial" w:cs="Arial"/>
          <w:i/>
          <w:sz w:val="20"/>
          <w:szCs w:val="20"/>
          <w:lang w:val="es-CR"/>
        </w:rPr>
      </w:pPr>
      <w:r w:rsidRPr="00CE3700">
        <w:rPr>
          <w:rFonts w:ascii="Arial" w:hAnsi="Arial" w:cs="Arial"/>
          <w:i/>
          <w:sz w:val="20"/>
          <w:szCs w:val="20"/>
          <w:lang w:val="es-CR"/>
        </w:rPr>
        <w:t>La tarifa a cobrar al usuario se establecerá como máximo en ¢15,00 (quince colones).  Considerando que al 22 de agosto de 1996 la tarifa básica definida por el Ministerio de Obras Públicas y Transportes para la ruta urbana es de ¢33 (treinta y tres colones), los incrementos absolutos que establezca en el futuro dicho Ministerio a dicha tarifa se le sumarán a la tarifa a cobrar al usuario del servicio.</w:t>
      </w:r>
    </w:p>
    <w:p w:rsidR="00CE3700" w:rsidRPr="00CE3700" w:rsidRDefault="00CE3700" w:rsidP="00CE3700">
      <w:pPr>
        <w:numPr>
          <w:ilvl w:val="12"/>
          <w:numId w:val="0"/>
        </w:numPr>
        <w:tabs>
          <w:tab w:val="left" w:pos="7797"/>
        </w:tabs>
        <w:ind w:left="1134" w:right="900" w:hanging="283"/>
        <w:jc w:val="both"/>
        <w:rPr>
          <w:rFonts w:ascii="Arial" w:hAnsi="Arial" w:cs="Arial"/>
          <w:i/>
          <w:sz w:val="16"/>
          <w:szCs w:val="16"/>
          <w:lang w:val="es-CR"/>
        </w:rPr>
      </w:pPr>
    </w:p>
    <w:p w:rsidR="00CE3700" w:rsidRPr="00CE3700" w:rsidRDefault="00CE3700" w:rsidP="00CE3700">
      <w:pPr>
        <w:numPr>
          <w:ilvl w:val="0"/>
          <w:numId w:val="39"/>
        </w:numPr>
        <w:tabs>
          <w:tab w:val="left" w:pos="7797"/>
        </w:tabs>
        <w:overflowPunct w:val="0"/>
        <w:autoSpaceDE w:val="0"/>
        <w:autoSpaceDN w:val="0"/>
        <w:adjustRightInd w:val="0"/>
        <w:ind w:right="900"/>
        <w:jc w:val="both"/>
        <w:textAlignment w:val="baseline"/>
        <w:rPr>
          <w:rFonts w:ascii="Arial" w:hAnsi="Arial" w:cs="Arial"/>
          <w:b/>
          <w:i/>
          <w:sz w:val="20"/>
          <w:szCs w:val="20"/>
          <w:lang w:val="es-CR"/>
        </w:rPr>
      </w:pPr>
      <w:r w:rsidRPr="00CE3700">
        <w:rPr>
          <w:rFonts w:ascii="Arial" w:hAnsi="Arial" w:cs="Arial"/>
          <w:i/>
          <w:sz w:val="20"/>
          <w:szCs w:val="20"/>
          <w:lang w:val="es-CR"/>
        </w:rPr>
        <w:t xml:space="preserve">El Instituto subvencionará el servicio de transporte de </w:t>
      </w:r>
      <w:smartTag w:uri="urn:schemas-microsoft-com:office:smarttags" w:element="PersonName">
        <w:smartTagPr>
          <w:attr w:name="ProductID" w:val="la Sede Central"/>
        </w:smartTagPr>
        <w:r w:rsidRPr="00CE3700">
          <w:rPr>
            <w:rFonts w:ascii="Arial" w:hAnsi="Arial" w:cs="Arial"/>
            <w:i/>
            <w:sz w:val="20"/>
            <w:szCs w:val="20"/>
            <w:lang w:val="es-CR"/>
          </w:rPr>
          <w:t>la Sede Central</w:t>
        </w:r>
      </w:smartTag>
      <w:r w:rsidRPr="00CE3700">
        <w:rPr>
          <w:rFonts w:ascii="Arial" w:hAnsi="Arial" w:cs="Arial"/>
          <w:i/>
          <w:sz w:val="20"/>
          <w:szCs w:val="20"/>
          <w:lang w:val="es-CR"/>
        </w:rPr>
        <w:t xml:space="preserve">, por un monto fijo anual de ¢7.000.000,00 (siete millones de colones 00/100), pagadero en dozavos. </w:t>
      </w:r>
    </w:p>
    <w:p w:rsidR="00CE3700" w:rsidRPr="00CE3700" w:rsidRDefault="00CE3700" w:rsidP="00CE3700">
      <w:pPr>
        <w:tabs>
          <w:tab w:val="left" w:pos="1843"/>
        </w:tabs>
        <w:ind w:left="850"/>
        <w:jc w:val="both"/>
        <w:rPr>
          <w:rFonts w:ascii="Arial" w:hAnsi="Arial" w:cs="Arial"/>
          <w:b/>
          <w:i/>
          <w:sz w:val="16"/>
          <w:szCs w:val="16"/>
          <w:lang w:val="es-CR"/>
        </w:rPr>
      </w:pPr>
    </w:p>
    <w:p w:rsidR="00CE3700" w:rsidRPr="008C477A" w:rsidRDefault="00CE3700" w:rsidP="008C477A">
      <w:pPr>
        <w:numPr>
          <w:ilvl w:val="0"/>
          <w:numId w:val="38"/>
        </w:numPr>
        <w:overflowPunct w:val="0"/>
        <w:autoSpaceDE w:val="0"/>
        <w:autoSpaceDN w:val="0"/>
        <w:adjustRightInd w:val="0"/>
        <w:ind w:right="618"/>
        <w:jc w:val="both"/>
        <w:textAlignment w:val="baseline"/>
        <w:rPr>
          <w:rFonts w:ascii="Arial" w:hAnsi="Arial" w:cs="Arial"/>
          <w:i/>
          <w:sz w:val="20"/>
          <w:szCs w:val="20"/>
          <w:lang w:val="es-CR"/>
        </w:rPr>
      </w:pPr>
      <w:r w:rsidRPr="00CE3700">
        <w:rPr>
          <w:rFonts w:ascii="Arial" w:hAnsi="Arial" w:cs="Arial"/>
          <w:i/>
          <w:sz w:val="20"/>
          <w:szCs w:val="20"/>
          <w:lang w:val="es-CR"/>
        </w:rPr>
        <w:t>Publicar.</w:t>
      </w:r>
      <w:r w:rsidRPr="00CE3700">
        <w:rPr>
          <w:rFonts w:ascii="Arial" w:hAnsi="Arial" w:cs="Arial"/>
          <w:b/>
          <w:i/>
          <w:sz w:val="20"/>
          <w:szCs w:val="20"/>
          <w:lang w:val="es-CR"/>
        </w:rPr>
        <w:t xml:space="preserve">  ACUERDO FIRME.”</w:t>
      </w:r>
    </w:p>
    <w:p w:rsidR="00CE3700" w:rsidRPr="00CE3700" w:rsidRDefault="00CE3700" w:rsidP="00CE3700">
      <w:pPr>
        <w:numPr>
          <w:ilvl w:val="0"/>
          <w:numId w:val="9"/>
        </w:numPr>
        <w:tabs>
          <w:tab w:val="num" w:pos="465"/>
        </w:tabs>
        <w:ind w:left="360"/>
        <w:jc w:val="both"/>
        <w:rPr>
          <w:rFonts w:ascii="Arial" w:hAnsi="Arial"/>
          <w:lang w:val="es-CR"/>
        </w:rPr>
      </w:pPr>
      <w:r w:rsidRPr="00CE3700">
        <w:rPr>
          <w:rFonts w:ascii="Arial" w:hAnsi="Arial"/>
          <w:lang w:val="es-CR"/>
        </w:rPr>
        <w:t xml:space="preserve">El Consejo Institucional en la Sesión Ordinaria No. 2987, Artículo 7, del 31 de agosto de 2016, aprobó la   “Licitación Pública No. 2016LN-000001-APITCR </w:t>
      </w:r>
      <w:r w:rsidRPr="00CE3700">
        <w:rPr>
          <w:rFonts w:ascii="Arial" w:hAnsi="Arial"/>
          <w:lang w:val="es-CR"/>
        </w:rPr>
        <w:lastRenderedPageBreak/>
        <w:t>“Servicio de Transporte Colectivo de Personas Cartago Campus-Cartago”, el inciso b) de este acuerdo, dice:</w:t>
      </w:r>
    </w:p>
    <w:p w:rsidR="00CE3700" w:rsidRPr="00CE3700" w:rsidRDefault="00CE3700" w:rsidP="00CE3700">
      <w:pPr>
        <w:rPr>
          <w:sz w:val="20"/>
          <w:szCs w:val="20"/>
          <w:lang w:val="es-CR"/>
        </w:rPr>
      </w:pPr>
    </w:p>
    <w:p w:rsidR="00CE3700" w:rsidRPr="00CE3700" w:rsidRDefault="00CE3700" w:rsidP="00CE3700">
      <w:pPr>
        <w:overflowPunct w:val="0"/>
        <w:autoSpaceDE w:val="0"/>
        <w:autoSpaceDN w:val="0"/>
        <w:adjustRightInd w:val="0"/>
        <w:ind w:left="993" w:right="618" w:hanging="426"/>
        <w:jc w:val="both"/>
        <w:textAlignment w:val="baseline"/>
        <w:rPr>
          <w:rFonts w:ascii="Arial" w:hAnsi="Arial" w:cs="Arial"/>
          <w:i/>
          <w:sz w:val="20"/>
          <w:szCs w:val="20"/>
          <w:lang w:val="es-CR"/>
        </w:rPr>
      </w:pPr>
      <w:r w:rsidRPr="00CE3700">
        <w:rPr>
          <w:rFonts w:ascii="Arial" w:hAnsi="Arial" w:cs="Arial"/>
          <w:i/>
          <w:sz w:val="20"/>
          <w:szCs w:val="20"/>
          <w:lang w:val="es-CR"/>
        </w:rPr>
        <w:t>“b</w:t>
      </w:r>
      <w:proofErr w:type="gramStart"/>
      <w:r w:rsidRPr="00CE3700">
        <w:rPr>
          <w:rFonts w:ascii="Arial" w:hAnsi="Arial" w:cs="Arial"/>
          <w:i/>
          <w:sz w:val="20"/>
          <w:szCs w:val="20"/>
          <w:lang w:val="es-CR"/>
        </w:rPr>
        <w:t>.  Solicitar</w:t>
      </w:r>
      <w:proofErr w:type="gramEnd"/>
      <w:r w:rsidRPr="00CE3700">
        <w:rPr>
          <w:rFonts w:ascii="Arial" w:hAnsi="Arial" w:cs="Arial"/>
          <w:i/>
          <w:sz w:val="20"/>
          <w:szCs w:val="20"/>
          <w:lang w:val="es-CR"/>
        </w:rPr>
        <w:t xml:space="preserve"> a la Administración, realizar una revisión integral de las condiciones </w:t>
      </w:r>
      <w:proofErr w:type="spellStart"/>
      <w:r w:rsidRPr="00CE3700">
        <w:rPr>
          <w:rFonts w:ascii="Arial" w:hAnsi="Arial" w:cs="Arial"/>
          <w:i/>
          <w:sz w:val="20"/>
          <w:szCs w:val="20"/>
          <w:lang w:val="es-CR"/>
        </w:rPr>
        <w:t>cartelarias</w:t>
      </w:r>
      <w:proofErr w:type="spellEnd"/>
      <w:r w:rsidRPr="00CE3700">
        <w:rPr>
          <w:rFonts w:ascii="Arial" w:hAnsi="Arial" w:cs="Arial"/>
          <w:i/>
          <w:sz w:val="20"/>
          <w:szCs w:val="20"/>
          <w:lang w:val="es-CR"/>
        </w:rPr>
        <w:t xml:space="preserve"> y el subsidio para la contratación de este servicio y presentar un informe al 30 de noviembre de 2016, y ajustar lo que corresponda para renovación de contrato o futuras contrataciones.”</w:t>
      </w:r>
    </w:p>
    <w:p w:rsidR="00CE3700" w:rsidRPr="00CE3700" w:rsidRDefault="00CE3700" w:rsidP="00CE3700">
      <w:pPr>
        <w:rPr>
          <w:sz w:val="20"/>
          <w:szCs w:val="20"/>
          <w:lang w:val="es-CR"/>
        </w:rPr>
      </w:pPr>
    </w:p>
    <w:p w:rsidR="00CE3700" w:rsidRPr="00CE3700" w:rsidRDefault="00CE3700" w:rsidP="00CE3700">
      <w:pPr>
        <w:tabs>
          <w:tab w:val="left" w:pos="3070"/>
        </w:tabs>
        <w:contextualSpacing/>
        <w:jc w:val="both"/>
        <w:outlineLvl w:val="0"/>
        <w:rPr>
          <w:rFonts w:ascii="Arial" w:hAnsi="Arial" w:cs="Arial"/>
          <w:b/>
          <w:lang w:val="es-CR"/>
        </w:rPr>
      </w:pPr>
      <w:r w:rsidRPr="00CE3700">
        <w:rPr>
          <w:rFonts w:ascii="Arial" w:hAnsi="Arial" w:cs="Arial"/>
          <w:b/>
          <w:lang w:val="es-CR"/>
        </w:rPr>
        <w:t>CONSIDERANDO QUE:</w:t>
      </w:r>
    </w:p>
    <w:p w:rsidR="00CE3700" w:rsidRPr="00CE3700" w:rsidRDefault="00CE3700" w:rsidP="00CE3700">
      <w:pPr>
        <w:rPr>
          <w:sz w:val="20"/>
          <w:szCs w:val="20"/>
          <w:lang w:val="es-CR"/>
        </w:rPr>
      </w:pPr>
    </w:p>
    <w:p w:rsidR="00CE3700" w:rsidRPr="00CE3700" w:rsidRDefault="00CE3700" w:rsidP="00CE3700">
      <w:pPr>
        <w:numPr>
          <w:ilvl w:val="0"/>
          <w:numId w:val="40"/>
        </w:numPr>
        <w:ind w:left="426"/>
        <w:jc w:val="both"/>
        <w:rPr>
          <w:rFonts w:ascii="Arial" w:hAnsi="Arial"/>
          <w:lang w:val="es-CR"/>
        </w:rPr>
      </w:pPr>
      <w:r w:rsidRPr="00CE3700">
        <w:rPr>
          <w:rFonts w:ascii="Arial" w:hAnsi="Arial"/>
          <w:lang w:val="es-CR"/>
        </w:rPr>
        <w:t>Desde el año 1996</w:t>
      </w:r>
      <w:r>
        <w:rPr>
          <w:rFonts w:ascii="Arial" w:hAnsi="Arial"/>
          <w:lang w:val="es-CR"/>
        </w:rPr>
        <w:t>,</w:t>
      </w:r>
      <w:r w:rsidRPr="00CE3700">
        <w:rPr>
          <w:rFonts w:ascii="Arial" w:hAnsi="Arial"/>
          <w:lang w:val="es-CR"/>
        </w:rPr>
        <w:t xml:space="preserve"> se mantiene el mismo monto de subsidio para el servicio de transporte del ITCR, tal y como se aprobó en la Sesión No.  1911, del 30 de octubre de 1996.</w:t>
      </w:r>
    </w:p>
    <w:p w:rsidR="00CE3700" w:rsidRPr="00CE3700" w:rsidRDefault="00CE3700" w:rsidP="00CE3700">
      <w:pPr>
        <w:jc w:val="both"/>
        <w:rPr>
          <w:rFonts w:ascii="Arial" w:hAnsi="Arial"/>
          <w:sz w:val="22"/>
          <w:szCs w:val="22"/>
          <w:lang w:val="es-CR"/>
        </w:rPr>
      </w:pPr>
    </w:p>
    <w:p w:rsidR="00CE3700" w:rsidRPr="00CE3700" w:rsidRDefault="00CE3700" w:rsidP="00CE3700">
      <w:pPr>
        <w:numPr>
          <w:ilvl w:val="0"/>
          <w:numId w:val="40"/>
        </w:numPr>
        <w:tabs>
          <w:tab w:val="num" w:pos="465"/>
        </w:tabs>
        <w:ind w:left="360"/>
        <w:jc w:val="both"/>
        <w:rPr>
          <w:rFonts w:ascii="Arial" w:hAnsi="Arial"/>
          <w:lang w:val="es-CR"/>
        </w:rPr>
      </w:pPr>
      <w:r w:rsidRPr="00CE3700">
        <w:rPr>
          <w:rFonts w:ascii="Arial" w:hAnsi="Arial"/>
          <w:lang w:val="es-CR"/>
        </w:rPr>
        <w:t>Los estudiantiles consideran que la tarifa de ¢200,00 es un monto muy alto para el pasaje Cartago-TEC.</w:t>
      </w:r>
    </w:p>
    <w:p w:rsidR="00CE3700" w:rsidRPr="00CE3700" w:rsidRDefault="00CE3700" w:rsidP="00CE3700">
      <w:pPr>
        <w:jc w:val="both"/>
        <w:rPr>
          <w:rFonts w:ascii="Arial" w:hAnsi="Arial"/>
          <w:sz w:val="22"/>
          <w:szCs w:val="22"/>
          <w:lang w:val="es-CR"/>
        </w:rPr>
      </w:pPr>
    </w:p>
    <w:p w:rsidR="00CE3700" w:rsidRPr="00CE3700" w:rsidRDefault="00CE3700" w:rsidP="00CE3700">
      <w:pPr>
        <w:numPr>
          <w:ilvl w:val="0"/>
          <w:numId w:val="40"/>
        </w:numPr>
        <w:tabs>
          <w:tab w:val="num" w:pos="465"/>
        </w:tabs>
        <w:ind w:left="360"/>
        <w:jc w:val="both"/>
        <w:rPr>
          <w:rFonts w:ascii="Arial" w:hAnsi="Arial"/>
          <w:lang w:val="es-CR"/>
        </w:rPr>
      </w:pPr>
      <w:r w:rsidRPr="00CE3700">
        <w:rPr>
          <w:rFonts w:ascii="Arial" w:hAnsi="Arial"/>
          <w:lang w:val="es-CR"/>
        </w:rPr>
        <w:t xml:space="preserve">Que no existen estudios de demanda que permitan tomar una mejor decisión sobre el monto que el </w:t>
      </w:r>
      <w:proofErr w:type="spellStart"/>
      <w:r w:rsidRPr="00CE3700">
        <w:rPr>
          <w:rFonts w:ascii="Arial" w:hAnsi="Arial"/>
          <w:lang w:val="es-CR"/>
        </w:rPr>
        <w:t>Tec</w:t>
      </w:r>
      <w:proofErr w:type="spellEnd"/>
      <w:r w:rsidRPr="00CE3700">
        <w:rPr>
          <w:rFonts w:ascii="Arial" w:hAnsi="Arial"/>
          <w:lang w:val="es-CR"/>
        </w:rPr>
        <w:t xml:space="preserve"> debe subvencionar.</w:t>
      </w:r>
    </w:p>
    <w:p w:rsidR="00CE3700" w:rsidRPr="00CE3700" w:rsidRDefault="00CE3700" w:rsidP="00CE3700">
      <w:pPr>
        <w:jc w:val="both"/>
        <w:rPr>
          <w:rFonts w:ascii="Arial" w:hAnsi="Arial"/>
          <w:sz w:val="22"/>
          <w:szCs w:val="22"/>
          <w:lang w:val="es-CR"/>
        </w:rPr>
      </w:pPr>
    </w:p>
    <w:p w:rsidR="00CE3700" w:rsidRPr="00CE3700" w:rsidRDefault="00CE3700" w:rsidP="00CE3700">
      <w:pPr>
        <w:numPr>
          <w:ilvl w:val="0"/>
          <w:numId w:val="40"/>
        </w:numPr>
        <w:tabs>
          <w:tab w:val="num" w:pos="465"/>
        </w:tabs>
        <w:ind w:left="360"/>
        <w:jc w:val="both"/>
        <w:rPr>
          <w:rFonts w:ascii="Arial" w:hAnsi="Arial"/>
          <w:lang w:val="es-CR"/>
        </w:rPr>
      </w:pPr>
      <w:r w:rsidRPr="00CE3700">
        <w:rPr>
          <w:rFonts w:ascii="Arial" w:hAnsi="Arial"/>
          <w:lang w:val="es-CR"/>
        </w:rPr>
        <w:t>De acuerdo a la estructura de costos y el estado de resultados proyectado, presentado por el único oferente de la “Licitación Pública No. 2016LN-000001-APITCR “Servicio de Transporte Colectivo de Personas Cartago Campus-Cartago”, se tiene la siguiente estructura de costos:</w:t>
      </w:r>
    </w:p>
    <w:p w:rsidR="00CE3700" w:rsidRPr="00CE3700" w:rsidRDefault="00CE3700" w:rsidP="00CE3700">
      <w:pPr>
        <w:rPr>
          <w:sz w:val="20"/>
          <w:szCs w:val="20"/>
          <w:lang w:val="es-CR"/>
        </w:rPr>
      </w:pPr>
    </w:p>
    <w:tbl>
      <w:tblPr>
        <w:tblW w:w="73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0"/>
        <w:gridCol w:w="1120"/>
        <w:gridCol w:w="1465"/>
        <w:gridCol w:w="2126"/>
      </w:tblGrid>
      <w:tr w:rsidR="00CE3700" w:rsidRPr="00CE3700" w:rsidTr="00CC32A8">
        <w:trPr>
          <w:trHeight w:val="288"/>
        </w:trPr>
        <w:tc>
          <w:tcPr>
            <w:tcW w:w="266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Subvención</w:t>
            </w:r>
          </w:p>
        </w:tc>
        <w:tc>
          <w:tcPr>
            <w:tcW w:w="112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p>
        </w:tc>
        <w:tc>
          <w:tcPr>
            <w:tcW w:w="1465"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w:t>
            </w:r>
          </w:p>
        </w:tc>
        <w:tc>
          <w:tcPr>
            <w:tcW w:w="2126"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xml:space="preserve">₡   3.500.000 </w:t>
            </w:r>
          </w:p>
        </w:tc>
      </w:tr>
      <w:tr w:rsidR="00CE3700" w:rsidRPr="00CE3700" w:rsidTr="00CC32A8">
        <w:trPr>
          <w:trHeight w:val="300"/>
        </w:trPr>
        <w:tc>
          <w:tcPr>
            <w:tcW w:w="266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Ingresos x Pasajes</w:t>
            </w:r>
          </w:p>
        </w:tc>
        <w:tc>
          <w:tcPr>
            <w:tcW w:w="112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xml:space="preserve">      146.590 </w:t>
            </w:r>
          </w:p>
        </w:tc>
        <w:tc>
          <w:tcPr>
            <w:tcW w:w="1465"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xml:space="preserve"> ₡             200 </w:t>
            </w:r>
          </w:p>
        </w:tc>
        <w:tc>
          <w:tcPr>
            <w:tcW w:w="2126"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xml:space="preserve"> ₡ 29.318.000 </w:t>
            </w:r>
          </w:p>
        </w:tc>
      </w:tr>
      <w:tr w:rsidR="00CE3700" w:rsidRPr="00CE3700" w:rsidTr="00CC32A8">
        <w:trPr>
          <w:trHeight w:val="300"/>
        </w:trPr>
        <w:tc>
          <w:tcPr>
            <w:tcW w:w="266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p>
        </w:tc>
        <w:tc>
          <w:tcPr>
            <w:tcW w:w="1120" w:type="dxa"/>
            <w:noWrap/>
            <w:tcMar>
              <w:top w:w="0" w:type="dxa"/>
              <w:left w:w="70" w:type="dxa"/>
              <w:bottom w:w="0" w:type="dxa"/>
              <w:right w:w="70" w:type="dxa"/>
            </w:tcMar>
            <w:vAlign w:val="bottom"/>
            <w:hideMark/>
          </w:tcPr>
          <w:p w:rsidR="00CE3700" w:rsidRPr="00CE3700" w:rsidRDefault="00CE3700" w:rsidP="00CE3700">
            <w:pPr>
              <w:rPr>
                <w:sz w:val="20"/>
                <w:szCs w:val="20"/>
                <w:lang w:val="es-CR" w:eastAsia="es-CR"/>
              </w:rPr>
            </w:pPr>
          </w:p>
        </w:tc>
        <w:tc>
          <w:tcPr>
            <w:tcW w:w="1465"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w:t>
            </w:r>
          </w:p>
        </w:tc>
        <w:tc>
          <w:tcPr>
            <w:tcW w:w="2126"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xml:space="preserve">₡ 32.818.000 </w:t>
            </w:r>
          </w:p>
        </w:tc>
      </w:tr>
      <w:tr w:rsidR="00CE3700" w:rsidRPr="00CE3700" w:rsidTr="00CC32A8">
        <w:trPr>
          <w:trHeight w:val="288"/>
        </w:trPr>
        <w:tc>
          <w:tcPr>
            <w:tcW w:w="266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p>
        </w:tc>
        <w:tc>
          <w:tcPr>
            <w:tcW w:w="1120" w:type="dxa"/>
            <w:noWrap/>
            <w:tcMar>
              <w:top w:w="0" w:type="dxa"/>
              <w:left w:w="70" w:type="dxa"/>
              <w:bottom w:w="0" w:type="dxa"/>
              <w:right w:w="70" w:type="dxa"/>
            </w:tcMar>
            <w:vAlign w:val="bottom"/>
            <w:hideMark/>
          </w:tcPr>
          <w:p w:rsidR="00CE3700" w:rsidRPr="00CE3700" w:rsidRDefault="00CE3700" w:rsidP="00CE3700">
            <w:pPr>
              <w:rPr>
                <w:sz w:val="20"/>
                <w:szCs w:val="20"/>
                <w:lang w:val="es-CR" w:eastAsia="es-CR"/>
              </w:rPr>
            </w:pPr>
          </w:p>
        </w:tc>
        <w:tc>
          <w:tcPr>
            <w:tcW w:w="1465"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w:t>
            </w:r>
          </w:p>
        </w:tc>
        <w:tc>
          <w:tcPr>
            <w:tcW w:w="2126"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w:t>
            </w:r>
          </w:p>
        </w:tc>
      </w:tr>
      <w:tr w:rsidR="00CE3700" w:rsidRPr="00CE3700" w:rsidTr="00CC32A8">
        <w:trPr>
          <w:trHeight w:val="288"/>
        </w:trPr>
        <w:tc>
          <w:tcPr>
            <w:tcW w:w="266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xml:space="preserve">Gastos </w:t>
            </w:r>
          </w:p>
        </w:tc>
        <w:tc>
          <w:tcPr>
            <w:tcW w:w="112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p>
        </w:tc>
        <w:tc>
          <w:tcPr>
            <w:tcW w:w="1465"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w:t>
            </w:r>
          </w:p>
        </w:tc>
        <w:tc>
          <w:tcPr>
            <w:tcW w:w="2126"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xml:space="preserve">₡ 27.799.866 </w:t>
            </w:r>
          </w:p>
        </w:tc>
      </w:tr>
      <w:tr w:rsidR="00CE3700" w:rsidRPr="00CE3700" w:rsidTr="00CC32A8">
        <w:trPr>
          <w:trHeight w:val="288"/>
        </w:trPr>
        <w:tc>
          <w:tcPr>
            <w:tcW w:w="266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Utilidad antes de impuestos</w:t>
            </w:r>
          </w:p>
        </w:tc>
        <w:tc>
          <w:tcPr>
            <w:tcW w:w="112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p>
        </w:tc>
        <w:tc>
          <w:tcPr>
            <w:tcW w:w="1465"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w:t>
            </w:r>
          </w:p>
        </w:tc>
        <w:tc>
          <w:tcPr>
            <w:tcW w:w="2126"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xml:space="preserve">₡   5.018.134 </w:t>
            </w:r>
          </w:p>
        </w:tc>
      </w:tr>
      <w:tr w:rsidR="00CE3700" w:rsidRPr="00CE3700" w:rsidTr="00CC32A8">
        <w:trPr>
          <w:trHeight w:val="288"/>
        </w:trPr>
        <w:tc>
          <w:tcPr>
            <w:tcW w:w="266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Renta</w:t>
            </w:r>
          </w:p>
        </w:tc>
        <w:tc>
          <w:tcPr>
            <w:tcW w:w="112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p>
        </w:tc>
        <w:tc>
          <w:tcPr>
            <w:tcW w:w="1465" w:type="dxa"/>
            <w:noWrap/>
            <w:tcMar>
              <w:top w:w="0" w:type="dxa"/>
              <w:left w:w="70" w:type="dxa"/>
              <w:bottom w:w="0" w:type="dxa"/>
              <w:right w:w="70" w:type="dxa"/>
            </w:tcMar>
            <w:vAlign w:val="bottom"/>
            <w:hideMark/>
          </w:tcPr>
          <w:p w:rsidR="00CE3700" w:rsidRPr="00CE3700" w:rsidRDefault="00CE3700" w:rsidP="00CE3700">
            <w:pPr>
              <w:jc w:val="right"/>
              <w:rPr>
                <w:color w:val="000000"/>
                <w:sz w:val="20"/>
                <w:szCs w:val="20"/>
                <w:lang w:val="es-CR" w:eastAsia="es-CR"/>
              </w:rPr>
            </w:pPr>
            <w:r w:rsidRPr="00CE3700">
              <w:rPr>
                <w:color w:val="000000"/>
                <w:sz w:val="20"/>
                <w:szCs w:val="20"/>
                <w:lang w:val="es-CR" w:eastAsia="es-CR"/>
              </w:rPr>
              <w:t>20,08%</w:t>
            </w:r>
          </w:p>
        </w:tc>
        <w:tc>
          <w:tcPr>
            <w:tcW w:w="2126"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xml:space="preserve">₡   1.007.626 </w:t>
            </w:r>
          </w:p>
        </w:tc>
      </w:tr>
      <w:tr w:rsidR="00CE3700" w:rsidRPr="00CE3700" w:rsidTr="00CC32A8">
        <w:trPr>
          <w:trHeight w:val="300"/>
        </w:trPr>
        <w:tc>
          <w:tcPr>
            <w:tcW w:w="266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Utilidad</w:t>
            </w:r>
          </w:p>
        </w:tc>
        <w:tc>
          <w:tcPr>
            <w:tcW w:w="112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p>
        </w:tc>
        <w:tc>
          <w:tcPr>
            <w:tcW w:w="1465" w:type="dxa"/>
            <w:noWrap/>
            <w:tcMar>
              <w:top w:w="0" w:type="dxa"/>
              <w:left w:w="70" w:type="dxa"/>
              <w:bottom w:w="0" w:type="dxa"/>
              <w:right w:w="70" w:type="dxa"/>
            </w:tcMar>
            <w:vAlign w:val="bottom"/>
            <w:hideMark/>
          </w:tcPr>
          <w:p w:rsidR="00CE3700" w:rsidRPr="00CE3700" w:rsidRDefault="00CE3700" w:rsidP="00CE3700">
            <w:pPr>
              <w:jc w:val="right"/>
              <w:rPr>
                <w:color w:val="000000"/>
                <w:sz w:val="20"/>
                <w:szCs w:val="20"/>
                <w:lang w:val="es-CR" w:eastAsia="es-CR"/>
              </w:rPr>
            </w:pPr>
            <w:r w:rsidRPr="00CE3700">
              <w:rPr>
                <w:color w:val="000000"/>
                <w:sz w:val="20"/>
                <w:szCs w:val="20"/>
                <w:lang w:val="es-CR" w:eastAsia="es-CR"/>
              </w:rPr>
              <w:t>12,22%</w:t>
            </w:r>
          </w:p>
        </w:tc>
        <w:tc>
          <w:tcPr>
            <w:tcW w:w="2126"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xml:space="preserve">₡   4.010.508 </w:t>
            </w:r>
          </w:p>
        </w:tc>
      </w:tr>
    </w:tbl>
    <w:p w:rsidR="00CE3700" w:rsidRPr="00CE3700" w:rsidRDefault="00CE3700" w:rsidP="00CE3700">
      <w:pPr>
        <w:rPr>
          <w:sz w:val="20"/>
          <w:szCs w:val="20"/>
          <w:lang w:val="es-CR"/>
        </w:rPr>
      </w:pPr>
    </w:p>
    <w:p w:rsidR="00CE3700" w:rsidRPr="00CE3700" w:rsidRDefault="00CE3700" w:rsidP="00CE3700">
      <w:pPr>
        <w:ind w:left="426"/>
        <w:rPr>
          <w:rFonts w:ascii="Arial" w:hAnsi="Arial" w:cs="Arial"/>
          <w:lang w:val="es-CR"/>
        </w:rPr>
      </w:pPr>
      <w:r w:rsidRPr="00CE3700">
        <w:rPr>
          <w:rFonts w:ascii="Arial" w:hAnsi="Arial" w:cs="Arial"/>
          <w:lang w:val="es-CR"/>
        </w:rPr>
        <w:t>De acuerdo a esos datos, se hicieron las siguientes estimaciones para lograr mantener la tarifa en 150 colones.</w:t>
      </w:r>
    </w:p>
    <w:p w:rsidR="00CE3700" w:rsidRPr="00CE3700" w:rsidRDefault="00CE3700" w:rsidP="00CE3700">
      <w:pPr>
        <w:rPr>
          <w:sz w:val="20"/>
          <w:szCs w:val="20"/>
          <w:lang w:val="es-CR"/>
        </w:rPr>
      </w:pPr>
    </w:p>
    <w:tbl>
      <w:tblPr>
        <w:tblW w:w="73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0"/>
        <w:gridCol w:w="1120"/>
        <w:gridCol w:w="1465"/>
        <w:gridCol w:w="2126"/>
      </w:tblGrid>
      <w:tr w:rsidR="00CE3700" w:rsidRPr="00CE3700" w:rsidTr="00CC32A8">
        <w:trPr>
          <w:trHeight w:val="288"/>
        </w:trPr>
        <w:tc>
          <w:tcPr>
            <w:tcW w:w="266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Subvención</w:t>
            </w:r>
          </w:p>
        </w:tc>
        <w:tc>
          <w:tcPr>
            <w:tcW w:w="112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p>
        </w:tc>
        <w:tc>
          <w:tcPr>
            <w:tcW w:w="1465"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w:t>
            </w:r>
          </w:p>
        </w:tc>
        <w:tc>
          <w:tcPr>
            <w:tcW w:w="2126" w:type="dxa"/>
            <w:shd w:val="clear" w:color="auto" w:fill="00B0F0"/>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xml:space="preserve">₡ 10.829.500 </w:t>
            </w:r>
          </w:p>
        </w:tc>
      </w:tr>
      <w:tr w:rsidR="00CE3700" w:rsidRPr="00CE3700" w:rsidTr="00CC32A8">
        <w:trPr>
          <w:trHeight w:val="300"/>
        </w:trPr>
        <w:tc>
          <w:tcPr>
            <w:tcW w:w="266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Ingresos x Pasajes</w:t>
            </w:r>
          </w:p>
        </w:tc>
        <w:tc>
          <w:tcPr>
            <w:tcW w:w="112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xml:space="preserve">      146.590 </w:t>
            </w:r>
          </w:p>
        </w:tc>
        <w:tc>
          <w:tcPr>
            <w:tcW w:w="1465"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xml:space="preserve"> ₡               150 </w:t>
            </w:r>
          </w:p>
        </w:tc>
        <w:tc>
          <w:tcPr>
            <w:tcW w:w="2126"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xml:space="preserve"> ₡ 21.988.500 </w:t>
            </w:r>
          </w:p>
        </w:tc>
      </w:tr>
      <w:tr w:rsidR="00CE3700" w:rsidRPr="00CE3700" w:rsidTr="00CC32A8">
        <w:trPr>
          <w:trHeight w:val="300"/>
        </w:trPr>
        <w:tc>
          <w:tcPr>
            <w:tcW w:w="266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p>
        </w:tc>
        <w:tc>
          <w:tcPr>
            <w:tcW w:w="1120" w:type="dxa"/>
            <w:noWrap/>
            <w:tcMar>
              <w:top w:w="0" w:type="dxa"/>
              <w:left w:w="70" w:type="dxa"/>
              <w:bottom w:w="0" w:type="dxa"/>
              <w:right w:w="70" w:type="dxa"/>
            </w:tcMar>
            <w:vAlign w:val="bottom"/>
            <w:hideMark/>
          </w:tcPr>
          <w:p w:rsidR="00CE3700" w:rsidRPr="00CE3700" w:rsidRDefault="00CE3700" w:rsidP="00CE3700">
            <w:pPr>
              <w:rPr>
                <w:sz w:val="20"/>
                <w:szCs w:val="20"/>
                <w:lang w:val="es-CR" w:eastAsia="es-CR"/>
              </w:rPr>
            </w:pPr>
          </w:p>
        </w:tc>
        <w:tc>
          <w:tcPr>
            <w:tcW w:w="1465"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w:t>
            </w:r>
          </w:p>
        </w:tc>
        <w:tc>
          <w:tcPr>
            <w:tcW w:w="2126"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xml:space="preserve">₡ 32.818.000 </w:t>
            </w:r>
          </w:p>
        </w:tc>
      </w:tr>
      <w:tr w:rsidR="00CE3700" w:rsidRPr="00CE3700" w:rsidTr="00CC32A8">
        <w:trPr>
          <w:trHeight w:val="288"/>
        </w:trPr>
        <w:tc>
          <w:tcPr>
            <w:tcW w:w="266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p>
        </w:tc>
        <w:tc>
          <w:tcPr>
            <w:tcW w:w="1120" w:type="dxa"/>
            <w:noWrap/>
            <w:tcMar>
              <w:top w:w="0" w:type="dxa"/>
              <w:left w:w="70" w:type="dxa"/>
              <w:bottom w:w="0" w:type="dxa"/>
              <w:right w:w="70" w:type="dxa"/>
            </w:tcMar>
            <w:vAlign w:val="bottom"/>
            <w:hideMark/>
          </w:tcPr>
          <w:p w:rsidR="00CE3700" w:rsidRPr="00CE3700" w:rsidRDefault="00CE3700" w:rsidP="00CE3700">
            <w:pPr>
              <w:rPr>
                <w:sz w:val="20"/>
                <w:szCs w:val="20"/>
                <w:lang w:val="es-CR" w:eastAsia="es-CR"/>
              </w:rPr>
            </w:pPr>
          </w:p>
        </w:tc>
        <w:tc>
          <w:tcPr>
            <w:tcW w:w="1465"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w:t>
            </w:r>
          </w:p>
        </w:tc>
        <w:tc>
          <w:tcPr>
            <w:tcW w:w="2126"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w:t>
            </w:r>
          </w:p>
        </w:tc>
      </w:tr>
      <w:tr w:rsidR="00CE3700" w:rsidRPr="00CE3700" w:rsidTr="00CC32A8">
        <w:trPr>
          <w:trHeight w:val="288"/>
        </w:trPr>
        <w:tc>
          <w:tcPr>
            <w:tcW w:w="266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xml:space="preserve">Gastos </w:t>
            </w:r>
          </w:p>
        </w:tc>
        <w:tc>
          <w:tcPr>
            <w:tcW w:w="112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p>
        </w:tc>
        <w:tc>
          <w:tcPr>
            <w:tcW w:w="1465"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w:t>
            </w:r>
          </w:p>
        </w:tc>
        <w:tc>
          <w:tcPr>
            <w:tcW w:w="2126"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xml:space="preserve">₡ 27.799.866 </w:t>
            </w:r>
          </w:p>
        </w:tc>
      </w:tr>
      <w:tr w:rsidR="00CE3700" w:rsidRPr="00CE3700" w:rsidTr="00CC32A8">
        <w:trPr>
          <w:trHeight w:val="288"/>
        </w:trPr>
        <w:tc>
          <w:tcPr>
            <w:tcW w:w="266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Utilidad antes de impuestos</w:t>
            </w:r>
          </w:p>
        </w:tc>
        <w:tc>
          <w:tcPr>
            <w:tcW w:w="112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p>
        </w:tc>
        <w:tc>
          <w:tcPr>
            <w:tcW w:w="1465"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w:t>
            </w:r>
          </w:p>
        </w:tc>
        <w:tc>
          <w:tcPr>
            <w:tcW w:w="2126"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xml:space="preserve">₡   5.018.134 </w:t>
            </w:r>
          </w:p>
        </w:tc>
      </w:tr>
      <w:tr w:rsidR="00CE3700" w:rsidRPr="00CE3700" w:rsidTr="00CC32A8">
        <w:trPr>
          <w:trHeight w:val="288"/>
        </w:trPr>
        <w:tc>
          <w:tcPr>
            <w:tcW w:w="266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Renta</w:t>
            </w:r>
          </w:p>
        </w:tc>
        <w:tc>
          <w:tcPr>
            <w:tcW w:w="112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p>
        </w:tc>
        <w:tc>
          <w:tcPr>
            <w:tcW w:w="1465" w:type="dxa"/>
            <w:noWrap/>
            <w:tcMar>
              <w:top w:w="0" w:type="dxa"/>
              <w:left w:w="70" w:type="dxa"/>
              <w:bottom w:w="0" w:type="dxa"/>
              <w:right w:w="70" w:type="dxa"/>
            </w:tcMar>
            <w:vAlign w:val="bottom"/>
            <w:hideMark/>
          </w:tcPr>
          <w:p w:rsidR="00CE3700" w:rsidRPr="00CE3700" w:rsidRDefault="00CE3700" w:rsidP="00CE3700">
            <w:pPr>
              <w:jc w:val="right"/>
              <w:rPr>
                <w:color w:val="000000"/>
                <w:sz w:val="20"/>
                <w:szCs w:val="20"/>
                <w:lang w:val="es-CR" w:eastAsia="es-CR"/>
              </w:rPr>
            </w:pPr>
            <w:r w:rsidRPr="00CE3700">
              <w:rPr>
                <w:color w:val="000000"/>
                <w:sz w:val="20"/>
                <w:szCs w:val="20"/>
                <w:lang w:val="es-CR" w:eastAsia="es-CR"/>
              </w:rPr>
              <w:t>20%</w:t>
            </w:r>
          </w:p>
        </w:tc>
        <w:tc>
          <w:tcPr>
            <w:tcW w:w="2126"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xml:space="preserve">₡   1.003.627 </w:t>
            </w:r>
          </w:p>
        </w:tc>
      </w:tr>
      <w:tr w:rsidR="00CE3700" w:rsidRPr="00CE3700" w:rsidTr="00CC32A8">
        <w:trPr>
          <w:trHeight w:val="300"/>
        </w:trPr>
        <w:tc>
          <w:tcPr>
            <w:tcW w:w="266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Utilidad</w:t>
            </w:r>
          </w:p>
        </w:tc>
        <w:tc>
          <w:tcPr>
            <w:tcW w:w="1120" w:type="dxa"/>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p>
        </w:tc>
        <w:tc>
          <w:tcPr>
            <w:tcW w:w="1465" w:type="dxa"/>
            <w:noWrap/>
            <w:tcMar>
              <w:top w:w="0" w:type="dxa"/>
              <w:left w:w="70" w:type="dxa"/>
              <w:bottom w:w="0" w:type="dxa"/>
              <w:right w:w="70" w:type="dxa"/>
            </w:tcMar>
            <w:vAlign w:val="bottom"/>
            <w:hideMark/>
          </w:tcPr>
          <w:p w:rsidR="00CE3700" w:rsidRPr="00CE3700" w:rsidRDefault="00CE3700" w:rsidP="00CE3700">
            <w:pPr>
              <w:jc w:val="right"/>
              <w:rPr>
                <w:color w:val="000000"/>
                <w:sz w:val="20"/>
                <w:szCs w:val="20"/>
                <w:lang w:val="es-CR" w:eastAsia="es-CR"/>
              </w:rPr>
            </w:pPr>
            <w:r w:rsidRPr="00CE3700">
              <w:rPr>
                <w:color w:val="000000"/>
                <w:sz w:val="20"/>
                <w:szCs w:val="20"/>
                <w:lang w:val="es-CR" w:eastAsia="es-CR"/>
              </w:rPr>
              <w:t>12,23%</w:t>
            </w:r>
          </w:p>
        </w:tc>
        <w:tc>
          <w:tcPr>
            <w:tcW w:w="2126" w:type="dxa"/>
            <w:shd w:val="clear" w:color="auto" w:fill="FFFF00"/>
            <w:noWrap/>
            <w:tcMar>
              <w:top w:w="0" w:type="dxa"/>
              <w:left w:w="70" w:type="dxa"/>
              <w:bottom w:w="0" w:type="dxa"/>
              <w:right w:w="70" w:type="dxa"/>
            </w:tcMar>
            <w:vAlign w:val="bottom"/>
            <w:hideMark/>
          </w:tcPr>
          <w:p w:rsidR="00CE3700" w:rsidRPr="00CE3700" w:rsidRDefault="00CE3700" w:rsidP="00CE3700">
            <w:pPr>
              <w:rPr>
                <w:color w:val="000000"/>
                <w:sz w:val="20"/>
                <w:szCs w:val="20"/>
                <w:lang w:val="es-CR" w:eastAsia="es-CR"/>
              </w:rPr>
            </w:pPr>
            <w:r w:rsidRPr="00CE3700">
              <w:rPr>
                <w:color w:val="000000"/>
                <w:sz w:val="20"/>
                <w:szCs w:val="20"/>
                <w:lang w:val="es-CR" w:eastAsia="es-CR"/>
              </w:rPr>
              <w:t xml:space="preserve">₡   4.014.507 </w:t>
            </w:r>
          </w:p>
        </w:tc>
      </w:tr>
    </w:tbl>
    <w:p w:rsidR="00CE3700" w:rsidRPr="00CE3700" w:rsidRDefault="00CE3700" w:rsidP="00CE3700">
      <w:pPr>
        <w:rPr>
          <w:sz w:val="20"/>
          <w:szCs w:val="20"/>
          <w:lang w:val="es-CR"/>
        </w:rPr>
      </w:pPr>
    </w:p>
    <w:p w:rsidR="00CE3700" w:rsidRPr="00CE3700" w:rsidRDefault="00CE3700" w:rsidP="00CE3700">
      <w:pPr>
        <w:ind w:left="426"/>
        <w:rPr>
          <w:rFonts w:ascii="Arial" w:hAnsi="Arial" w:cs="Arial"/>
          <w:lang w:val="es-CR"/>
        </w:rPr>
      </w:pPr>
      <w:r w:rsidRPr="00CE3700">
        <w:rPr>
          <w:rFonts w:ascii="Arial" w:hAnsi="Arial" w:cs="Arial"/>
          <w:lang w:val="es-CR"/>
        </w:rPr>
        <w:t>Los datos anteriores son para cada una de las dos rutas por igual, por lo que el monto de la subvención habría que multiplicarlo por 2.</w:t>
      </w:r>
    </w:p>
    <w:p w:rsidR="00CE3700" w:rsidRPr="00CE3700" w:rsidRDefault="00CE3700" w:rsidP="00CE3700">
      <w:pPr>
        <w:ind w:left="426"/>
        <w:rPr>
          <w:rFonts w:ascii="Arial" w:hAnsi="Arial" w:cs="Arial"/>
          <w:lang w:val="es-CR"/>
        </w:rPr>
      </w:pPr>
    </w:p>
    <w:p w:rsidR="00CE3700" w:rsidRPr="00CE3700" w:rsidRDefault="00CE3700" w:rsidP="00CE3700">
      <w:pPr>
        <w:ind w:left="426"/>
        <w:jc w:val="both"/>
        <w:rPr>
          <w:rFonts w:ascii="Arial" w:hAnsi="Arial" w:cs="Arial"/>
          <w:lang w:val="es-CR"/>
        </w:rPr>
      </w:pPr>
      <w:r w:rsidRPr="00CE3700">
        <w:rPr>
          <w:rFonts w:ascii="Arial" w:hAnsi="Arial" w:cs="Arial"/>
          <w:lang w:val="es-CR"/>
        </w:rPr>
        <w:lastRenderedPageBreak/>
        <w:t>Con base en lo anterior se puede observar que la subvención pasaría de 7 millones a casi 22 millones, dando una diferencia de 15 millones, aproximadamente.</w:t>
      </w:r>
    </w:p>
    <w:p w:rsidR="00CE3700" w:rsidRPr="00CE3700" w:rsidRDefault="00CE3700" w:rsidP="00CE3700">
      <w:pPr>
        <w:ind w:left="426"/>
        <w:jc w:val="both"/>
        <w:rPr>
          <w:rFonts w:ascii="Arial" w:hAnsi="Arial" w:cs="Arial"/>
          <w:lang w:val="es-CR"/>
        </w:rPr>
      </w:pPr>
    </w:p>
    <w:p w:rsidR="00CE3700" w:rsidRPr="00CE3700" w:rsidRDefault="00CE3700" w:rsidP="00CE3700">
      <w:pPr>
        <w:numPr>
          <w:ilvl w:val="0"/>
          <w:numId w:val="40"/>
        </w:numPr>
        <w:tabs>
          <w:tab w:val="num" w:pos="465"/>
        </w:tabs>
        <w:ind w:left="360"/>
        <w:jc w:val="both"/>
        <w:rPr>
          <w:rFonts w:ascii="Arial" w:hAnsi="Arial" w:cs="Arial"/>
          <w:lang w:val="es-CR"/>
        </w:rPr>
      </w:pPr>
      <w:r w:rsidRPr="00CE3700">
        <w:rPr>
          <w:rFonts w:ascii="Arial" w:hAnsi="Arial" w:cs="Arial"/>
          <w:lang w:val="es-CR"/>
        </w:rPr>
        <w:t xml:space="preserve">La Secretaría del Consejo Institucional recibió el oficio SG-392-2016, con fecha de recibido 30 de noviembre de 2016, suscrito por el Lic. Florencio Prendas Marín, Director del Departamento de Servicios Generales y la Licda. Kattia Calderón Mora, Directora del Departamento de Aprovisionamiento, dirigido al MBA. Humberto Villalta Solano, Vicerrector de Administración, con copia al Dr. Bernal Martínez Gutiérrez, Coordinador de la Comisión de Planificación y Administración, en el cual con la finalidad de atender el oficio SCI-512-2016, específicamente la revisión integral de las condiciones </w:t>
      </w:r>
      <w:proofErr w:type="spellStart"/>
      <w:r w:rsidRPr="00CE3700">
        <w:rPr>
          <w:rFonts w:ascii="Arial" w:hAnsi="Arial" w:cs="Arial"/>
          <w:lang w:val="es-CR"/>
        </w:rPr>
        <w:t>cartelarias</w:t>
      </w:r>
      <w:proofErr w:type="spellEnd"/>
      <w:r w:rsidRPr="00CE3700">
        <w:rPr>
          <w:rFonts w:ascii="Arial" w:hAnsi="Arial" w:cs="Arial"/>
          <w:lang w:val="es-CR"/>
        </w:rPr>
        <w:t xml:space="preserve"> y el subsidio para la contratación del Servicio de Transporte Colectivo de Personas, Cartago Campus Cartago, así como lo indicado en el oficio VAD-510-2016, realiza el presente informe. Tanto el Departamento de Servicios Generales como el Departamento de Aprovisionamiento, siguen trabajando en conjunto para velar porque la contratación del Servicio de Transporte Colectivo de Personas, Cartago Campus Cartago, se ajuste a las necesidades reales de la Institución.</w:t>
      </w:r>
    </w:p>
    <w:p w:rsidR="00CE3700" w:rsidRPr="00CE3700" w:rsidRDefault="00CE3700" w:rsidP="00CE3700">
      <w:pPr>
        <w:jc w:val="both"/>
        <w:rPr>
          <w:rFonts w:ascii="Arial" w:hAnsi="Arial" w:cs="Arial"/>
          <w:lang w:val="es-CR"/>
        </w:rPr>
      </w:pPr>
    </w:p>
    <w:p w:rsidR="00CE3700" w:rsidRPr="00CE3700" w:rsidRDefault="00CE3700" w:rsidP="00CE3700">
      <w:pPr>
        <w:numPr>
          <w:ilvl w:val="0"/>
          <w:numId w:val="40"/>
        </w:numPr>
        <w:tabs>
          <w:tab w:val="num" w:pos="465"/>
        </w:tabs>
        <w:ind w:left="360"/>
        <w:jc w:val="both"/>
        <w:rPr>
          <w:rFonts w:ascii="Arial" w:hAnsi="Arial" w:cs="Arial"/>
          <w:lang w:val="es-CR"/>
        </w:rPr>
      </w:pPr>
      <w:r w:rsidRPr="00CE3700">
        <w:rPr>
          <w:rFonts w:ascii="Arial" w:hAnsi="Arial" w:cs="Arial"/>
          <w:lang w:val="es-CR"/>
        </w:rPr>
        <w:t xml:space="preserve">La Comisión de Planificación y Administración en </w:t>
      </w:r>
      <w:proofErr w:type="gramStart"/>
      <w:r w:rsidRPr="00CE3700">
        <w:rPr>
          <w:rFonts w:ascii="Arial" w:hAnsi="Arial" w:cs="Arial"/>
          <w:lang w:val="es-CR"/>
        </w:rPr>
        <w:t>reuniones  No</w:t>
      </w:r>
      <w:proofErr w:type="gramEnd"/>
      <w:r w:rsidRPr="00CE3700">
        <w:rPr>
          <w:rFonts w:ascii="Arial" w:hAnsi="Arial" w:cs="Arial"/>
          <w:lang w:val="es-CR"/>
        </w:rPr>
        <w:t>.  705</w:t>
      </w:r>
      <w:r>
        <w:rPr>
          <w:rFonts w:ascii="Arial" w:hAnsi="Arial" w:cs="Arial"/>
          <w:lang w:val="es-CR"/>
        </w:rPr>
        <w:t>-</w:t>
      </w:r>
      <w:proofErr w:type="gramStart"/>
      <w:r>
        <w:rPr>
          <w:rFonts w:ascii="Arial" w:hAnsi="Arial" w:cs="Arial"/>
          <w:lang w:val="es-CR"/>
        </w:rPr>
        <w:t>2016</w:t>
      </w:r>
      <w:r w:rsidRPr="00CE3700">
        <w:rPr>
          <w:rFonts w:ascii="Arial" w:hAnsi="Arial" w:cs="Arial"/>
          <w:lang w:val="es-CR"/>
        </w:rPr>
        <w:t xml:space="preserve">  y</w:t>
      </w:r>
      <w:proofErr w:type="gramEnd"/>
      <w:r w:rsidRPr="00CE3700">
        <w:rPr>
          <w:rFonts w:ascii="Arial" w:hAnsi="Arial" w:cs="Arial"/>
          <w:lang w:val="es-CR"/>
        </w:rPr>
        <w:t xml:space="preserve">  706-2016, realizadas el 05 y 12 de diciembre de 2016,  respectivamente, analiza el tema así como el Informe adjunto al oficio SG-392-2016 y  dispone elevar la siguiente propuesta al Consejo Institucional.</w:t>
      </w:r>
    </w:p>
    <w:p w:rsidR="00CE3700" w:rsidRPr="00CE3700" w:rsidRDefault="00CE3700" w:rsidP="00CE3700">
      <w:pPr>
        <w:rPr>
          <w:sz w:val="20"/>
          <w:szCs w:val="20"/>
          <w:lang w:val="es-CR"/>
        </w:rPr>
      </w:pPr>
    </w:p>
    <w:p w:rsidR="00CE3700" w:rsidRPr="00CE3700" w:rsidRDefault="00CE3700" w:rsidP="00CE3700">
      <w:pPr>
        <w:rPr>
          <w:sz w:val="20"/>
          <w:szCs w:val="20"/>
          <w:lang w:val="es-CR"/>
        </w:rPr>
      </w:pPr>
    </w:p>
    <w:p w:rsidR="00CE3700" w:rsidRPr="00CE3700" w:rsidRDefault="00CE3700" w:rsidP="00CE3700">
      <w:pPr>
        <w:spacing w:after="240"/>
        <w:jc w:val="both"/>
        <w:rPr>
          <w:rFonts w:ascii="Arial" w:hAnsi="Arial"/>
          <w:b/>
          <w:lang w:val="es-CR"/>
        </w:rPr>
      </w:pPr>
      <w:r w:rsidRPr="00CE3700">
        <w:rPr>
          <w:rFonts w:ascii="Arial" w:hAnsi="Arial"/>
          <w:b/>
          <w:lang w:val="es-CR"/>
        </w:rPr>
        <w:t xml:space="preserve">SE </w:t>
      </w:r>
      <w:r>
        <w:rPr>
          <w:rFonts w:ascii="Arial" w:hAnsi="Arial"/>
          <w:b/>
          <w:lang w:val="es-CR"/>
        </w:rPr>
        <w:t>ACUERDA</w:t>
      </w:r>
      <w:r w:rsidRPr="00CE3700">
        <w:rPr>
          <w:rFonts w:ascii="Arial" w:hAnsi="Arial"/>
          <w:b/>
          <w:lang w:val="es-CR"/>
        </w:rPr>
        <w:t>:</w:t>
      </w:r>
    </w:p>
    <w:p w:rsidR="00CE3700" w:rsidRPr="00CE3700" w:rsidRDefault="00CE3700" w:rsidP="00CE3700">
      <w:pPr>
        <w:numPr>
          <w:ilvl w:val="0"/>
          <w:numId w:val="37"/>
        </w:numPr>
        <w:ind w:left="426"/>
        <w:contextualSpacing/>
        <w:jc w:val="both"/>
        <w:rPr>
          <w:rFonts w:ascii="Arial" w:hAnsi="Arial" w:cs="Arial"/>
          <w:lang w:val="es-CR"/>
        </w:rPr>
      </w:pPr>
      <w:r w:rsidRPr="00CE3700">
        <w:rPr>
          <w:rFonts w:ascii="Arial" w:hAnsi="Arial" w:cs="Arial"/>
          <w:lang w:val="es-CR"/>
        </w:rPr>
        <w:t xml:space="preserve">Solicitar a la Administración:  </w:t>
      </w:r>
    </w:p>
    <w:p w:rsidR="00CE3700" w:rsidRPr="00CE3700" w:rsidRDefault="00CE3700" w:rsidP="00CE3700">
      <w:pPr>
        <w:ind w:left="66"/>
        <w:contextualSpacing/>
        <w:jc w:val="both"/>
        <w:rPr>
          <w:rFonts w:ascii="Arial" w:hAnsi="Arial" w:cs="Arial"/>
          <w:lang w:val="es-CR"/>
        </w:rPr>
      </w:pPr>
    </w:p>
    <w:p w:rsidR="00CE3700" w:rsidRPr="00CE3700" w:rsidRDefault="00CE3700" w:rsidP="00CE3700">
      <w:pPr>
        <w:ind w:left="1134" w:hanging="567"/>
        <w:contextualSpacing/>
        <w:jc w:val="both"/>
        <w:rPr>
          <w:rFonts w:ascii="Arial" w:hAnsi="Arial" w:cs="Arial"/>
          <w:lang w:val="es-CR"/>
        </w:rPr>
      </w:pPr>
      <w:r w:rsidRPr="00CE3700">
        <w:rPr>
          <w:rFonts w:ascii="Arial" w:hAnsi="Arial" w:cs="Arial"/>
          <w:b/>
          <w:lang w:val="es-CR"/>
        </w:rPr>
        <w:t>a.1.</w:t>
      </w:r>
      <w:r w:rsidRPr="00CE3700">
        <w:rPr>
          <w:rFonts w:ascii="Arial" w:hAnsi="Arial" w:cs="Arial"/>
          <w:lang w:val="es-CR"/>
        </w:rPr>
        <w:t xml:space="preserve"> Realizar un estudio integral del servicio de transporte público de la ruta Cartago-TEC y Viceversa, que sirva de base para la determinación de la tarifa y el subsidio correspondiente y present</w:t>
      </w:r>
      <w:r w:rsidR="00F35D35">
        <w:rPr>
          <w:rFonts w:ascii="Arial" w:hAnsi="Arial" w:cs="Arial"/>
          <w:lang w:val="es-CR"/>
        </w:rPr>
        <w:t>ar</w:t>
      </w:r>
      <w:r w:rsidRPr="00CE3700">
        <w:rPr>
          <w:rFonts w:ascii="Arial" w:hAnsi="Arial" w:cs="Arial"/>
          <w:lang w:val="es-CR"/>
        </w:rPr>
        <w:t xml:space="preserve"> dicho estudio </w:t>
      </w:r>
      <w:r w:rsidR="00F35D35">
        <w:rPr>
          <w:rFonts w:ascii="Arial" w:hAnsi="Arial" w:cs="Arial"/>
          <w:lang w:val="es-CR"/>
        </w:rPr>
        <w:t xml:space="preserve">al Consejo Institucional, </w:t>
      </w:r>
      <w:r w:rsidRPr="00CE3700">
        <w:rPr>
          <w:rFonts w:ascii="Arial" w:hAnsi="Arial" w:cs="Arial"/>
          <w:lang w:val="es-CR"/>
        </w:rPr>
        <w:t>a más tardar el 30 de marzo del 2017.</w:t>
      </w:r>
    </w:p>
    <w:p w:rsidR="00CE3700" w:rsidRPr="00CE3700" w:rsidRDefault="00CE3700" w:rsidP="00CE3700">
      <w:pPr>
        <w:ind w:left="708"/>
        <w:rPr>
          <w:rFonts w:ascii="Arial" w:hAnsi="Arial" w:cs="Arial"/>
          <w:lang w:val="es-CR"/>
        </w:rPr>
      </w:pPr>
    </w:p>
    <w:p w:rsidR="00CE3700" w:rsidRPr="00CE3700" w:rsidRDefault="00CE3700" w:rsidP="00CE3700">
      <w:pPr>
        <w:ind w:left="1148" w:hanging="581"/>
        <w:contextualSpacing/>
        <w:jc w:val="both"/>
        <w:rPr>
          <w:rFonts w:ascii="Arial" w:hAnsi="Arial" w:cs="Arial"/>
          <w:lang w:val="es-CR"/>
        </w:rPr>
      </w:pPr>
      <w:r w:rsidRPr="00CE3700">
        <w:rPr>
          <w:rFonts w:ascii="Arial" w:hAnsi="Arial" w:cs="Arial"/>
          <w:b/>
          <w:lang w:val="es-CR"/>
        </w:rPr>
        <w:t>a.2</w:t>
      </w:r>
      <w:r w:rsidRPr="00CE3700">
        <w:rPr>
          <w:rFonts w:ascii="Arial" w:hAnsi="Arial" w:cs="Arial"/>
          <w:lang w:val="es-CR"/>
        </w:rPr>
        <w:t xml:space="preserve">. </w:t>
      </w:r>
      <w:r w:rsidRPr="00CE3700">
        <w:rPr>
          <w:rFonts w:ascii="Arial" w:hAnsi="Arial" w:cs="Arial"/>
          <w:lang w:val="es-CR"/>
        </w:rPr>
        <w:tab/>
        <w:t>Implementar los controles necesarios de conformidad con los Lineamientos establecidos en el oficio SG-392-2016.</w:t>
      </w:r>
    </w:p>
    <w:p w:rsidR="00CE3700" w:rsidRPr="00CE3700" w:rsidRDefault="00CE3700" w:rsidP="00CE3700">
      <w:pPr>
        <w:ind w:left="708"/>
        <w:rPr>
          <w:rFonts w:ascii="Arial" w:hAnsi="Arial" w:cs="Arial"/>
          <w:lang w:val="es-CR"/>
        </w:rPr>
      </w:pPr>
    </w:p>
    <w:p w:rsidR="00CE3700" w:rsidRPr="00CE3700" w:rsidRDefault="00CE3700" w:rsidP="00CE3700">
      <w:pPr>
        <w:ind w:left="1134" w:hanging="567"/>
        <w:contextualSpacing/>
        <w:jc w:val="both"/>
        <w:rPr>
          <w:rFonts w:ascii="Arial" w:hAnsi="Arial" w:cs="Arial"/>
          <w:lang w:val="es-CR"/>
        </w:rPr>
      </w:pPr>
      <w:r w:rsidRPr="00CE3700">
        <w:rPr>
          <w:rFonts w:ascii="Arial" w:hAnsi="Arial" w:cs="Arial"/>
          <w:b/>
          <w:lang w:val="es-CR"/>
        </w:rPr>
        <w:t>a.3.</w:t>
      </w:r>
      <w:r w:rsidRPr="00CE3700">
        <w:rPr>
          <w:rFonts w:ascii="Arial" w:hAnsi="Arial" w:cs="Arial"/>
          <w:lang w:val="es-CR"/>
        </w:rPr>
        <w:t xml:space="preserve"> Implementar un mecanismo de control electrónico por parte de la Institución, para determinar la demanda de este servicio con mayor certeza. </w:t>
      </w:r>
    </w:p>
    <w:p w:rsidR="00BF7AAD" w:rsidRPr="00BF7AAD" w:rsidRDefault="00BF7AAD" w:rsidP="000F2A0F">
      <w:pPr>
        <w:tabs>
          <w:tab w:val="left" w:pos="1134"/>
        </w:tabs>
        <w:ind w:right="567"/>
        <w:jc w:val="both"/>
        <w:rPr>
          <w:rFonts w:ascii="Arial" w:hAnsi="Arial" w:cs="Arial"/>
        </w:rPr>
      </w:pPr>
    </w:p>
    <w:p w:rsidR="00F0496E" w:rsidRPr="006D0408" w:rsidRDefault="007742A1" w:rsidP="006D0408">
      <w:pPr>
        <w:numPr>
          <w:ilvl w:val="0"/>
          <w:numId w:val="37"/>
        </w:numPr>
        <w:ind w:left="426"/>
        <w:contextualSpacing/>
        <w:jc w:val="both"/>
        <w:rPr>
          <w:rFonts w:ascii="Arial" w:hAnsi="Arial" w:cs="Arial"/>
          <w:b/>
          <w:lang w:val="es-CR"/>
        </w:rPr>
      </w:pPr>
      <w:r w:rsidRPr="00BF7AAD">
        <w:rPr>
          <w:rFonts w:ascii="Arial" w:hAnsi="Arial" w:cs="Arial"/>
          <w:lang w:val="es-CR"/>
        </w:rPr>
        <w:t xml:space="preserve">Comunicar. </w:t>
      </w:r>
      <w:r w:rsidRPr="00BF7AAD">
        <w:rPr>
          <w:rFonts w:ascii="Arial" w:hAnsi="Arial" w:cs="Arial"/>
          <w:b/>
          <w:lang w:val="es-CR"/>
        </w:rPr>
        <w:t xml:space="preserve"> ACUERDO FIRME.</w:t>
      </w:r>
    </w:p>
    <w:p w:rsidR="006D0408" w:rsidRDefault="006D0408" w:rsidP="006D0408">
      <w:pPr>
        <w:autoSpaceDE w:val="0"/>
        <w:autoSpaceDN w:val="0"/>
        <w:adjustRightInd w:val="0"/>
        <w:ind w:right="-518"/>
        <w:jc w:val="both"/>
        <w:rPr>
          <w:rFonts w:ascii="Arial" w:hAnsi="Arial" w:cs="Arial"/>
          <w:b/>
          <w:sz w:val="22"/>
          <w:szCs w:val="22"/>
          <w:lang w:val="es-CR"/>
        </w:rPr>
      </w:pPr>
    </w:p>
    <w:p w:rsidR="00F0496E" w:rsidRPr="006D0408" w:rsidRDefault="00CE3700" w:rsidP="006D0408">
      <w:pPr>
        <w:autoSpaceDE w:val="0"/>
        <w:autoSpaceDN w:val="0"/>
        <w:adjustRightInd w:val="0"/>
        <w:ind w:right="-518"/>
        <w:jc w:val="both"/>
        <w:rPr>
          <w:rFonts w:ascii="Arial" w:hAnsi="Arial" w:cs="Arial"/>
          <w:b/>
          <w:sz w:val="22"/>
          <w:szCs w:val="22"/>
          <w:lang w:val="es-CR"/>
        </w:rPr>
      </w:pPr>
      <w:r w:rsidRPr="00CE3700">
        <w:rPr>
          <w:rFonts w:ascii="Arial" w:hAnsi="Arial" w:cs="Arial"/>
          <w:b/>
          <w:sz w:val="22"/>
          <w:szCs w:val="22"/>
          <w:lang w:val="es-CR"/>
        </w:rPr>
        <w:t xml:space="preserve">PALABRAS CLAVE:   Ajuste -Tarifa -   </w:t>
      </w:r>
      <w:proofErr w:type="gramStart"/>
      <w:r w:rsidRPr="00CE3700">
        <w:rPr>
          <w:rFonts w:ascii="Arial" w:hAnsi="Arial" w:cs="Arial"/>
          <w:b/>
          <w:sz w:val="22"/>
          <w:szCs w:val="22"/>
          <w:lang w:val="es-CR"/>
        </w:rPr>
        <w:t>Subsidio  -</w:t>
      </w:r>
      <w:proofErr w:type="gramEnd"/>
      <w:r w:rsidRPr="00CE3700">
        <w:rPr>
          <w:rFonts w:ascii="Arial" w:hAnsi="Arial" w:cs="Arial"/>
          <w:b/>
          <w:sz w:val="22"/>
          <w:szCs w:val="22"/>
          <w:lang w:val="es-CR"/>
        </w:rPr>
        <w:t xml:space="preserve">  Transporte  -   estudio integral - ¢150,00 - </w:t>
      </w:r>
    </w:p>
    <w:p w:rsidR="00BF7AAD" w:rsidRPr="006D0408" w:rsidRDefault="00BF7AAD" w:rsidP="006D0408">
      <w:pPr>
        <w:ind w:right="-91"/>
        <w:jc w:val="both"/>
        <w:rPr>
          <w:rFonts w:ascii="Arial" w:hAnsi="Arial" w:cs="Arial"/>
          <w:lang w:val="es-CR"/>
        </w:rPr>
      </w:pPr>
    </w:p>
    <w:p w:rsidR="00753E5F" w:rsidRPr="006D0408" w:rsidRDefault="006D0408" w:rsidP="00A60666">
      <w:pPr>
        <w:spacing w:line="360" w:lineRule="auto"/>
        <w:jc w:val="both"/>
        <w:outlineLvl w:val="0"/>
        <w:rPr>
          <w:rFonts w:ascii="Arial" w:eastAsia="Cambria" w:hAnsi="Arial" w:cs="Arial"/>
          <w:sz w:val="18"/>
          <w:szCs w:val="18"/>
          <w:lang w:val="es-ES_tradnl" w:eastAsia="en-US"/>
        </w:rPr>
      </w:pPr>
      <w:r>
        <w:rPr>
          <w:rFonts w:ascii="Arial" w:eastAsia="Cambria" w:hAnsi="Arial" w:cs="Arial"/>
          <w:sz w:val="18"/>
          <w:szCs w:val="18"/>
          <w:lang w:val="es-ES_tradnl" w:eastAsia="en-US"/>
        </w:rPr>
        <w:t>BSS/</w:t>
      </w:r>
      <w:proofErr w:type="spellStart"/>
      <w:r>
        <w:rPr>
          <w:rFonts w:ascii="Arial" w:eastAsia="Cambria" w:hAnsi="Arial" w:cs="Arial"/>
          <w:sz w:val="18"/>
          <w:szCs w:val="18"/>
          <w:lang w:val="es-ES_tradnl" w:eastAsia="en-US"/>
        </w:rPr>
        <w:t>ar</w:t>
      </w:r>
      <w:r w:rsidR="00A743AE">
        <w:rPr>
          <w:rFonts w:ascii="Arial" w:eastAsia="Cambria" w:hAnsi="Arial" w:cs="Arial"/>
          <w:sz w:val="18"/>
          <w:szCs w:val="18"/>
          <w:lang w:val="es-ES_tradnl" w:eastAsia="en-US"/>
        </w:rPr>
        <w:t>s</w:t>
      </w:r>
      <w:bookmarkStart w:id="0" w:name="_GoBack"/>
      <w:bookmarkEnd w:id="0"/>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A60666" w:rsidRPr="00A60666" w:rsidTr="00DC1105">
        <w:trPr>
          <w:trHeight w:val="183"/>
        </w:trPr>
        <w:tc>
          <w:tcPr>
            <w:tcW w:w="4361" w:type="dxa"/>
          </w:tcPr>
          <w:p w:rsidR="00A60666" w:rsidRPr="00A60666" w:rsidRDefault="00A60666" w:rsidP="00A60666">
            <w:pPr>
              <w:ind w:left="-567" w:firstLine="567"/>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5103" w:type="dxa"/>
            <w:gridSpan w:val="2"/>
          </w:tcPr>
          <w:p w:rsidR="00A60666" w:rsidRPr="00A60666" w:rsidRDefault="00A60666" w:rsidP="00A60666">
            <w:pPr>
              <w:jc w:val="both"/>
              <w:rPr>
                <w:rFonts w:ascii="Arial" w:eastAsia="Cambria" w:hAnsi="Arial" w:cs="Arial"/>
                <w:b/>
                <w:sz w:val="16"/>
                <w:szCs w:val="16"/>
                <w:lang w:val="es-ES_tradnl" w:eastAsia="en-US"/>
              </w:rPr>
            </w:pPr>
          </w:p>
        </w:tc>
      </w:tr>
      <w:tr w:rsidR="00A60666" w:rsidRPr="00A60666" w:rsidTr="00DC1105">
        <w:trPr>
          <w:gridAfter w:val="1"/>
          <w:wAfter w:w="4361" w:type="dxa"/>
          <w:trHeight w:val="183"/>
        </w:trPr>
        <w:tc>
          <w:tcPr>
            <w:tcW w:w="4361" w:type="dxa"/>
          </w:tcPr>
          <w:p w:rsidR="00BF7AAD" w:rsidRDefault="00A60666" w:rsidP="00A37F32">
            <w:pPr>
              <w:ind w:left="-567" w:firstLine="567"/>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ci.  Secretaría del Consejo Institucional</w:t>
            </w:r>
          </w:p>
          <w:p w:rsidR="00A37F32" w:rsidRPr="00A60666" w:rsidRDefault="00A37F32" w:rsidP="00A37F32">
            <w:pPr>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 xml:space="preserve">Oficina Asesoría Legal </w:t>
            </w:r>
          </w:p>
          <w:p w:rsidR="00A37F32" w:rsidRPr="00A60666" w:rsidRDefault="00A37F32" w:rsidP="00A37F32">
            <w:pPr>
              <w:ind w:firstLine="34"/>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Auditoría Interna (Notificado a la Secretaria vía correo electrónico)</w:t>
            </w:r>
          </w:p>
          <w:p w:rsidR="00A37F32" w:rsidRPr="00A60666" w:rsidRDefault="00A37F32" w:rsidP="00A37F32">
            <w:pPr>
              <w:ind w:left="720" w:hanging="720"/>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 xml:space="preserve">Comunicación y Mercadeo </w:t>
            </w:r>
          </w:p>
          <w:p w:rsidR="00A37F32" w:rsidRDefault="00A37F32" w:rsidP="00A37F32">
            <w:pPr>
              <w:ind w:left="720" w:hanging="720"/>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Centro de Archivo y Comunicaciones</w:t>
            </w:r>
          </w:p>
          <w:p w:rsidR="006D0408" w:rsidRDefault="006D0408" w:rsidP="00A37F32">
            <w:pPr>
              <w:ind w:left="720" w:hanging="720"/>
              <w:jc w:val="both"/>
              <w:rPr>
                <w:rFonts w:ascii="Arial" w:eastAsia="Cambria" w:hAnsi="Arial" w:cs="Arial"/>
                <w:b/>
                <w:sz w:val="16"/>
                <w:szCs w:val="16"/>
                <w:lang w:val="es-ES_tradnl" w:eastAsia="en-US"/>
              </w:rPr>
            </w:pPr>
          </w:p>
          <w:p w:rsidR="006D0408" w:rsidRPr="00A60666" w:rsidRDefault="006D0408" w:rsidP="00A37F32">
            <w:pPr>
              <w:ind w:left="720" w:hanging="720"/>
              <w:jc w:val="both"/>
              <w:rPr>
                <w:rFonts w:ascii="Arial" w:eastAsia="Cambria" w:hAnsi="Arial" w:cs="Arial"/>
                <w:b/>
                <w:sz w:val="16"/>
                <w:szCs w:val="16"/>
                <w:lang w:val="es-ES_tradnl" w:eastAsia="en-US"/>
              </w:rPr>
            </w:pPr>
          </w:p>
          <w:p w:rsidR="00BF7AAD" w:rsidRPr="00A60666" w:rsidRDefault="00BF7AAD" w:rsidP="00A60666">
            <w:pPr>
              <w:ind w:left="-567" w:firstLine="567"/>
              <w:jc w:val="both"/>
              <w:rPr>
                <w:rFonts w:ascii="Arial" w:eastAsia="Cambria" w:hAnsi="Arial" w:cs="Arial"/>
                <w:b/>
                <w:sz w:val="16"/>
                <w:szCs w:val="16"/>
                <w:lang w:val="es-ES_tradnl" w:eastAsia="en-US"/>
              </w:rPr>
            </w:pPr>
          </w:p>
        </w:tc>
        <w:tc>
          <w:tcPr>
            <w:tcW w:w="4361" w:type="dxa"/>
          </w:tcPr>
          <w:p w:rsidR="00A60666" w:rsidRPr="00F0496E" w:rsidRDefault="00A60666" w:rsidP="00A37F32">
            <w:pPr>
              <w:ind w:left="720" w:hanging="720"/>
              <w:jc w:val="both"/>
              <w:rPr>
                <w:rFonts w:ascii="Arial" w:eastAsia="Cambria" w:hAnsi="Arial" w:cs="Arial"/>
                <w:b/>
                <w:sz w:val="16"/>
                <w:szCs w:val="16"/>
                <w:lang w:val="es-CR"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5103" w:type="dxa"/>
            <w:gridSpan w:val="2"/>
          </w:tcPr>
          <w:p w:rsidR="00A60666" w:rsidRPr="00A60666" w:rsidRDefault="00A60666" w:rsidP="00A60666">
            <w:pPr>
              <w:jc w:val="both"/>
              <w:rPr>
                <w:rFonts w:ascii="Arial" w:eastAsia="Cambria" w:hAnsi="Arial" w:cs="Arial"/>
                <w:b/>
                <w:sz w:val="16"/>
                <w:szCs w:val="16"/>
                <w:lang w:val="es-ES_tradnl" w:eastAsia="en-US"/>
              </w:rPr>
            </w:pPr>
          </w:p>
        </w:tc>
      </w:tr>
    </w:tbl>
    <w:p w:rsidR="00280C7B" w:rsidRDefault="00280C7B" w:rsidP="008D0FEC">
      <w:pPr>
        <w:spacing w:after="200"/>
        <w:jc w:val="both"/>
        <w:rPr>
          <w:rFonts w:ascii="Arial" w:hAnsi="Arial" w:cs="Arial"/>
          <w:b/>
          <w:color w:val="000000"/>
        </w:rPr>
      </w:pPr>
    </w:p>
    <w:p w:rsidR="00280C7B" w:rsidRDefault="00280C7B" w:rsidP="008D0FEC">
      <w:pPr>
        <w:spacing w:after="200"/>
        <w:jc w:val="both"/>
        <w:rPr>
          <w:rFonts w:ascii="Arial" w:hAnsi="Arial" w:cs="Arial"/>
          <w:b/>
          <w:color w:val="000000"/>
        </w:rPr>
      </w:pPr>
    </w:p>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3E8" w:rsidRDefault="006B13E8">
      <w:r>
        <w:separator/>
      </w:r>
    </w:p>
  </w:endnote>
  <w:endnote w:type="continuationSeparator" w:id="0">
    <w:p w:rsidR="006B13E8" w:rsidRDefault="006B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3E8" w:rsidRDefault="006B13E8">
      <w:r>
        <w:separator/>
      </w:r>
    </w:p>
  </w:footnote>
  <w:footnote w:type="continuationSeparator" w:id="0">
    <w:p w:rsidR="006B13E8" w:rsidRDefault="006B1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sidR="00C25B79">
      <w:rPr>
        <w:rFonts w:ascii="Arial" w:eastAsia="Cambria" w:hAnsi="Arial" w:cs="Arial"/>
        <w:i/>
        <w:sz w:val="18"/>
        <w:szCs w:val="18"/>
        <w:lang w:val="es-ES_tradnl" w:eastAsia="x-none"/>
      </w:rPr>
      <w:t>3004</w:t>
    </w:r>
    <w:r w:rsidRPr="00D958BC">
      <w:rPr>
        <w:rFonts w:ascii="Arial" w:eastAsia="Cambria" w:hAnsi="Arial" w:cs="Arial"/>
        <w:i/>
        <w:sz w:val="18"/>
        <w:szCs w:val="18"/>
        <w:lang w:val="es-ES_tradnl" w:eastAsia="x-none"/>
      </w:rPr>
      <w:t xml:space="preserve">, Artículo </w:t>
    </w:r>
    <w:r w:rsidR="00C25B79">
      <w:rPr>
        <w:rFonts w:ascii="Arial" w:eastAsia="Cambria" w:hAnsi="Arial" w:cs="Arial"/>
        <w:i/>
        <w:sz w:val="18"/>
        <w:szCs w:val="18"/>
        <w:lang w:val="es-ES_tradnl" w:eastAsia="x-none"/>
      </w:rPr>
      <w:t>14</w:t>
    </w:r>
    <w:r w:rsidRPr="00D958BC">
      <w:rPr>
        <w:rFonts w:ascii="Arial" w:eastAsia="Cambria" w:hAnsi="Arial" w:cs="Arial"/>
        <w:i/>
        <w:sz w:val="18"/>
        <w:szCs w:val="18"/>
        <w:lang w:val="es-ES_tradnl" w:eastAsia="x-none"/>
      </w:rPr>
      <w:t xml:space="preserve">, del </w:t>
    </w:r>
    <w:r w:rsidR="00C25B79">
      <w:rPr>
        <w:rFonts w:ascii="Arial" w:eastAsia="Cambria" w:hAnsi="Arial" w:cs="Arial"/>
        <w:i/>
        <w:sz w:val="18"/>
        <w:szCs w:val="18"/>
        <w:lang w:val="es-ES_tradnl" w:eastAsia="x-none"/>
      </w:rPr>
      <w:t>14</w:t>
    </w:r>
    <w:r w:rsidRPr="00D958BC">
      <w:rPr>
        <w:rFonts w:ascii="Arial" w:eastAsia="Cambria" w:hAnsi="Arial" w:cs="Arial"/>
        <w:i/>
        <w:sz w:val="18"/>
        <w:szCs w:val="18"/>
        <w:lang w:val="es-ES_tradnl" w:eastAsia="x-none"/>
      </w:rPr>
      <w:t xml:space="preserve"> de </w:t>
    </w:r>
    <w:r w:rsidR="00C25B79">
      <w:rPr>
        <w:rFonts w:ascii="Arial" w:eastAsia="Cambria" w:hAnsi="Arial" w:cs="Arial"/>
        <w:i/>
        <w:sz w:val="18"/>
        <w:szCs w:val="18"/>
        <w:lang w:val="es-ES_tradnl" w:eastAsia="x-none"/>
      </w:rPr>
      <w:t>dic</w:t>
    </w:r>
    <w:r w:rsidR="000F2A0F">
      <w:rPr>
        <w:rFonts w:ascii="Arial" w:eastAsia="Cambria" w:hAnsi="Arial" w:cs="Arial"/>
        <w:i/>
        <w:sz w:val="18"/>
        <w:szCs w:val="18"/>
        <w:lang w:val="es-ES_tradnl" w:eastAsia="x-none"/>
      </w:rPr>
      <w:t>iem</w:t>
    </w:r>
    <w:r w:rsidRPr="00D958BC">
      <w:rPr>
        <w:rFonts w:ascii="Arial" w:eastAsia="Cambria" w:hAnsi="Arial" w:cs="Arial"/>
        <w:i/>
        <w:sz w:val="18"/>
        <w:szCs w:val="18"/>
        <w:lang w:val="es-ES_tradnl" w:eastAsia="x-none"/>
      </w:rPr>
      <w:t>bre de 2016</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743AE">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950"/>
    <w:multiLevelType w:val="hybridMultilevel"/>
    <w:tmpl w:val="D2EEA516"/>
    <w:lvl w:ilvl="0" w:tplc="140A000F">
      <w:start w:val="1"/>
      <w:numFmt w:val="decimal"/>
      <w:lvlText w:val="%1."/>
      <w:lvlJc w:val="left"/>
      <w:pPr>
        <w:ind w:left="502" w:hanging="360"/>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 w15:restartNumberingAfterBreak="0">
    <w:nsid w:val="0CC46DB3"/>
    <w:multiLevelType w:val="hybridMultilevel"/>
    <w:tmpl w:val="85A0EAD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14F54130"/>
    <w:multiLevelType w:val="hybridMultilevel"/>
    <w:tmpl w:val="30D0F328"/>
    <w:lvl w:ilvl="0" w:tplc="03EE3954">
      <w:start w:val="1"/>
      <w:numFmt w:val="lowerLetter"/>
      <w:lvlText w:val="%1."/>
      <w:lvlJc w:val="left"/>
      <w:pPr>
        <w:ind w:left="1146" w:hanging="360"/>
      </w:pPr>
      <w:rPr>
        <w:rFonts w:hint="default"/>
        <w:b/>
        <w:color w:val="auto"/>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6" w15:restartNumberingAfterBreak="0">
    <w:nsid w:val="1763650B"/>
    <w:multiLevelType w:val="hybridMultilevel"/>
    <w:tmpl w:val="6A965E50"/>
    <w:lvl w:ilvl="0" w:tplc="840894E8">
      <w:start w:val="2"/>
      <w:numFmt w:val="lowerLetter"/>
      <w:lvlText w:val="%1."/>
      <w:lvlJc w:val="left"/>
      <w:pPr>
        <w:ind w:left="720" w:hanging="360"/>
      </w:pPr>
      <w:rPr>
        <w:rFonts w:hint="default"/>
        <w:b w:val="0"/>
        <w:i/>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EFF586C"/>
    <w:multiLevelType w:val="hybridMultilevel"/>
    <w:tmpl w:val="D636537C"/>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11D04B6"/>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996F7D"/>
    <w:multiLevelType w:val="hybridMultilevel"/>
    <w:tmpl w:val="A58A0A2A"/>
    <w:lvl w:ilvl="0" w:tplc="532C2868">
      <w:start w:val="1"/>
      <w:numFmt w:val="lowerLetter"/>
      <w:lvlText w:val="%1."/>
      <w:lvlJc w:val="left"/>
      <w:pPr>
        <w:ind w:left="720" w:hanging="360"/>
      </w:pPr>
      <w:rPr>
        <w:rFonts w:hint="default"/>
        <w:b/>
        <w:i w:val="0"/>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3C25A05"/>
    <w:multiLevelType w:val="singleLevel"/>
    <w:tmpl w:val="15CEFA16"/>
    <w:lvl w:ilvl="0">
      <w:start w:val="1"/>
      <w:numFmt w:val="decimal"/>
      <w:lvlText w:val="%1."/>
      <w:legacy w:legacy="1" w:legacySpace="0" w:legacyIndent="283"/>
      <w:lvlJc w:val="left"/>
      <w:pPr>
        <w:ind w:left="1134" w:hanging="283"/>
      </w:pPr>
      <w:rPr>
        <w:b/>
        <w:i/>
        <w:sz w:val="20"/>
        <w:szCs w:val="20"/>
      </w:rPr>
    </w:lvl>
  </w:abstractNum>
  <w:abstractNum w:abstractNumId="16"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C71426"/>
    <w:multiLevelType w:val="hybridMultilevel"/>
    <w:tmpl w:val="C98ED1C0"/>
    <w:lvl w:ilvl="0" w:tplc="2F1821E2">
      <w:start w:val="1"/>
      <w:numFmt w:val="decimal"/>
      <w:lvlText w:val="%1."/>
      <w:lvlJc w:val="left"/>
      <w:pPr>
        <w:ind w:left="720"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2" w15:restartNumberingAfterBreak="0">
    <w:nsid w:val="3F2D6BA4"/>
    <w:multiLevelType w:val="hybridMultilevel"/>
    <w:tmpl w:val="21BEB8BC"/>
    <w:lvl w:ilvl="0" w:tplc="BC908D92">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1FB063F"/>
    <w:multiLevelType w:val="singleLevel"/>
    <w:tmpl w:val="EC26FF86"/>
    <w:lvl w:ilvl="0">
      <w:start w:val="2"/>
      <w:numFmt w:val="lowerLetter"/>
      <w:lvlText w:val="%1."/>
      <w:lvlJc w:val="left"/>
      <w:pPr>
        <w:ind w:left="850" w:hanging="283"/>
      </w:pPr>
      <w:rPr>
        <w:rFonts w:hint="default"/>
        <w:b/>
        <w:i/>
        <w:sz w:val="22"/>
        <w:szCs w:val="22"/>
      </w:rPr>
    </w:lvl>
  </w:abstractNum>
  <w:abstractNum w:abstractNumId="24"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7"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4CF5CD0"/>
    <w:multiLevelType w:val="hybridMultilevel"/>
    <w:tmpl w:val="0FAEE94A"/>
    <w:lvl w:ilvl="0" w:tplc="4B64A4F2">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86C6BFC"/>
    <w:multiLevelType w:val="hybridMultilevel"/>
    <w:tmpl w:val="E80211CE"/>
    <w:lvl w:ilvl="0" w:tplc="486A579E">
      <w:start w:val="2"/>
      <w:numFmt w:val="lowerLetter"/>
      <w:lvlText w:val="%1."/>
      <w:lvlJc w:val="left"/>
      <w:pPr>
        <w:ind w:left="644" w:hanging="360"/>
      </w:pPr>
      <w:rPr>
        <w:rFonts w:hint="default"/>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1" w15:restartNumberingAfterBreak="0">
    <w:nsid w:val="632127F4"/>
    <w:multiLevelType w:val="hybridMultilevel"/>
    <w:tmpl w:val="6A8AD1CA"/>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32"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5"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1"/>
  </w:num>
  <w:num w:numId="2">
    <w:abstractNumId w:val="34"/>
  </w:num>
  <w:num w:numId="3">
    <w:abstractNumId w:val="8"/>
  </w:num>
  <w:num w:numId="4">
    <w:abstractNumId w:val="7"/>
  </w:num>
  <w:num w:numId="5">
    <w:abstractNumId w:val="25"/>
  </w:num>
  <w:num w:numId="6">
    <w:abstractNumId w:val="21"/>
  </w:num>
  <w:num w:numId="7">
    <w:abstractNumId w:val="3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6"/>
  </w:num>
  <w:num w:numId="11">
    <w:abstractNumId w:val="4"/>
  </w:num>
  <w:num w:numId="12">
    <w:abstractNumId w:val="10"/>
  </w:num>
  <w:num w:numId="13">
    <w:abstractNumId w:val="24"/>
  </w:num>
  <w:num w:numId="14">
    <w:abstractNumId w:val="20"/>
  </w:num>
  <w:num w:numId="15">
    <w:abstractNumId w:val="9"/>
  </w:num>
  <w:num w:numId="16">
    <w:abstractNumId w:val="33"/>
  </w:num>
  <w:num w:numId="17">
    <w:abstractNumId w:val="27"/>
  </w:num>
  <w:num w:numId="18">
    <w:abstractNumId w:val="32"/>
  </w:num>
  <w:num w:numId="19">
    <w:abstractNumId w:val="38"/>
  </w:num>
  <w:num w:numId="20">
    <w:abstractNumId w:val="16"/>
  </w:num>
  <w:num w:numId="21">
    <w:abstractNumId w:val="2"/>
  </w:num>
  <w:num w:numId="22">
    <w:abstractNumId w:val="35"/>
  </w:num>
  <w:num w:numId="23">
    <w:abstractNumId w:val="17"/>
  </w:num>
  <w:num w:numId="24">
    <w:abstractNumId w:val="18"/>
  </w:num>
  <w:num w:numId="25">
    <w:abstractNumId w:val="31"/>
  </w:num>
  <w:num w:numId="26">
    <w:abstractNumId w:val="0"/>
  </w:num>
  <w:num w:numId="27">
    <w:abstractNumId w:val="3"/>
  </w:num>
  <w:num w:numId="28">
    <w:abstractNumId w:val="30"/>
  </w:num>
  <w:num w:numId="29">
    <w:abstractNumId w:val="5"/>
  </w:num>
  <w:num w:numId="30">
    <w:abstractNumId w:val="28"/>
  </w:num>
  <w:num w:numId="31">
    <w:abstractNumId w:val="19"/>
  </w:num>
  <w:num w:numId="32">
    <w:abstractNumId w:val="11"/>
  </w:num>
  <w:num w:numId="33">
    <w:abstractNumId w:val="36"/>
  </w:num>
  <w:num w:numId="34">
    <w:abstractNumId w:val="6"/>
  </w:num>
  <w:num w:numId="35">
    <w:abstractNumId w:val="29"/>
  </w:num>
  <w:num w:numId="36">
    <w:abstractNumId w:val="14"/>
  </w:num>
  <w:num w:numId="37">
    <w:abstractNumId w:val="22"/>
  </w:num>
  <w:num w:numId="38">
    <w:abstractNumId w:val="23"/>
  </w:num>
  <w:num w:numId="39">
    <w:abstractNumId w:val="15"/>
  </w:num>
  <w:num w:numId="4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6DAC"/>
    <w:rsid w:val="000401D6"/>
    <w:rsid w:val="000414FE"/>
    <w:rsid w:val="000428F8"/>
    <w:rsid w:val="000437DE"/>
    <w:rsid w:val="00043B22"/>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4743"/>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50F07"/>
    <w:rsid w:val="00153E19"/>
    <w:rsid w:val="00155121"/>
    <w:rsid w:val="0015611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4013A"/>
    <w:rsid w:val="00443B63"/>
    <w:rsid w:val="00445CED"/>
    <w:rsid w:val="004505E8"/>
    <w:rsid w:val="004511A1"/>
    <w:rsid w:val="00452394"/>
    <w:rsid w:val="00456A37"/>
    <w:rsid w:val="00460D38"/>
    <w:rsid w:val="00461FB2"/>
    <w:rsid w:val="00462436"/>
    <w:rsid w:val="00464247"/>
    <w:rsid w:val="00465585"/>
    <w:rsid w:val="00467089"/>
    <w:rsid w:val="004730AC"/>
    <w:rsid w:val="00473A47"/>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E23"/>
    <w:rsid w:val="004F319C"/>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A2507"/>
    <w:rsid w:val="005A2803"/>
    <w:rsid w:val="005A57FA"/>
    <w:rsid w:val="005A583E"/>
    <w:rsid w:val="005A5BEC"/>
    <w:rsid w:val="005A7087"/>
    <w:rsid w:val="005B2823"/>
    <w:rsid w:val="005B465B"/>
    <w:rsid w:val="005C0755"/>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409"/>
    <w:rsid w:val="006A2A49"/>
    <w:rsid w:val="006A362E"/>
    <w:rsid w:val="006A4A3E"/>
    <w:rsid w:val="006B0D38"/>
    <w:rsid w:val="006B13E8"/>
    <w:rsid w:val="006B20B4"/>
    <w:rsid w:val="006B5EC0"/>
    <w:rsid w:val="006B7D15"/>
    <w:rsid w:val="006C7BCB"/>
    <w:rsid w:val="006D0408"/>
    <w:rsid w:val="006D2575"/>
    <w:rsid w:val="006D5CAB"/>
    <w:rsid w:val="006E0F76"/>
    <w:rsid w:val="006E1429"/>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891"/>
    <w:rsid w:val="00733178"/>
    <w:rsid w:val="00734993"/>
    <w:rsid w:val="007369BA"/>
    <w:rsid w:val="00740752"/>
    <w:rsid w:val="0074284B"/>
    <w:rsid w:val="00744C74"/>
    <w:rsid w:val="0075179A"/>
    <w:rsid w:val="00751AB1"/>
    <w:rsid w:val="00753E5F"/>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477A"/>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37F32"/>
    <w:rsid w:val="00A405DB"/>
    <w:rsid w:val="00A54E67"/>
    <w:rsid w:val="00A57051"/>
    <w:rsid w:val="00A602B0"/>
    <w:rsid w:val="00A60666"/>
    <w:rsid w:val="00A60DB0"/>
    <w:rsid w:val="00A618D1"/>
    <w:rsid w:val="00A71CCB"/>
    <w:rsid w:val="00A72D3C"/>
    <w:rsid w:val="00A743AE"/>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25B79"/>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7A61"/>
    <w:rsid w:val="00CC64CA"/>
    <w:rsid w:val="00CC68BB"/>
    <w:rsid w:val="00CD4387"/>
    <w:rsid w:val="00CE0215"/>
    <w:rsid w:val="00CE3700"/>
    <w:rsid w:val="00CE6A7A"/>
    <w:rsid w:val="00CF025B"/>
    <w:rsid w:val="00CF0602"/>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5266"/>
    <w:rsid w:val="00DD46A3"/>
    <w:rsid w:val="00DD50B4"/>
    <w:rsid w:val="00DD739B"/>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484"/>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5D35"/>
    <w:rsid w:val="00F36F9F"/>
    <w:rsid w:val="00F37610"/>
    <w:rsid w:val="00F41878"/>
    <w:rsid w:val="00F47518"/>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5C49"/>
    <w:rsid w:val="00F9258D"/>
    <w:rsid w:val="00F925E2"/>
    <w:rsid w:val="00F93629"/>
    <w:rsid w:val="00F952C5"/>
    <w:rsid w:val="00F95643"/>
    <w:rsid w:val="00F96A43"/>
    <w:rsid w:val="00FA31A5"/>
    <w:rsid w:val="00FA4749"/>
    <w:rsid w:val="00FA53B1"/>
    <w:rsid w:val="00FA6F2C"/>
    <w:rsid w:val="00FB0CC5"/>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A2CF6-E2C1-4ABC-A21C-54E60689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1007</Words>
  <Characters>5763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32</cp:revision>
  <cp:lastPrinted>2016-12-15T16:46:00Z</cp:lastPrinted>
  <dcterms:created xsi:type="dcterms:W3CDTF">2016-10-05T20:00:00Z</dcterms:created>
  <dcterms:modified xsi:type="dcterms:W3CDTF">2016-12-15T17:13:00Z</dcterms:modified>
</cp:coreProperties>
</file>