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F4A36">
        <w:rPr>
          <w:rFonts w:ascii="Arial" w:hAnsi="Arial" w:cs="Arial"/>
          <w:b/>
          <w:bCs/>
          <w:iCs/>
          <w:sz w:val="26"/>
          <w:szCs w:val="22"/>
          <w:lang w:val="es-CR"/>
        </w:rPr>
        <w:t>119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EF4A36"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p>
          <w:p w:rsidR="0090700F" w:rsidRDefault="00EF4A3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r w:rsidR="00337455">
              <w:rPr>
                <w:rFonts w:ascii="Arial" w:eastAsia="Cambria" w:hAnsi="Arial" w:cs="Arial"/>
                <w:sz w:val="22"/>
                <w:szCs w:val="22"/>
                <w:lang w:val="es-ES_tradnl" w:eastAsia="en-US"/>
              </w:rPr>
              <w:t xml:space="preserve"> </w:t>
            </w:r>
          </w:p>
          <w:p w:rsidR="00A11968" w:rsidRDefault="00A1196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bookmarkStart w:id="0" w:name="_GoBack"/>
            <w:bookmarkEnd w:id="0"/>
          </w:p>
          <w:p w:rsidR="00B34F20" w:rsidRPr="00B34F20" w:rsidRDefault="00B34F20" w:rsidP="00B34F20">
            <w:pPr>
              <w:ind w:left="45"/>
              <w:jc w:val="both"/>
              <w:rPr>
                <w:rFonts w:ascii="Arial" w:eastAsia="Cambria" w:hAnsi="Arial" w:cs="Arial"/>
                <w:sz w:val="22"/>
                <w:szCs w:val="22"/>
                <w:lang w:val="es-ES_tradnl" w:eastAsia="en-US"/>
              </w:rPr>
            </w:pPr>
            <w:r w:rsidRPr="00B34F20">
              <w:rPr>
                <w:rFonts w:ascii="Arial" w:eastAsia="Cambria" w:hAnsi="Arial" w:cs="Arial"/>
                <w:sz w:val="22"/>
                <w:szCs w:val="22"/>
                <w:lang w:val="es-ES_tradnl" w:eastAsia="en-US"/>
              </w:rPr>
              <w:t>Ing. Eduardo Sibaja, Director Oficina de Planificación de la Educación Superior</w:t>
            </w:r>
            <w:r>
              <w:rPr>
                <w:rFonts w:ascii="Arial" w:eastAsia="Cambria" w:hAnsi="Arial" w:cs="Arial"/>
                <w:sz w:val="22"/>
                <w:szCs w:val="22"/>
                <w:lang w:val="es-ES_tradnl" w:eastAsia="en-US"/>
              </w:rPr>
              <w:t>,</w:t>
            </w:r>
            <w:r w:rsidRPr="00B34F20">
              <w:rPr>
                <w:rFonts w:ascii="Arial" w:eastAsia="Cambria" w:hAnsi="Arial" w:cs="Arial"/>
                <w:sz w:val="22"/>
                <w:szCs w:val="22"/>
                <w:lang w:val="es-ES_tradnl" w:eastAsia="en-US"/>
              </w:rPr>
              <w:t xml:space="preserve"> </w:t>
            </w:r>
          </w:p>
          <w:p w:rsidR="00B34F20" w:rsidRDefault="00B34F20" w:rsidP="00EF4A36">
            <w:pPr>
              <w:ind w:left="45"/>
              <w:jc w:val="both"/>
              <w:rPr>
                <w:rFonts w:ascii="Arial" w:eastAsia="Cambria" w:hAnsi="Arial" w:cs="Arial"/>
                <w:sz w:val="22"/>
                <w:szCs w:val="22"/>
                <w:lang w:val="es-ES_tradnl" w:eastAsia="en-US"/>
              </w:rPr>
            </w:pPr>
            <w:r w:rsidRPr="00B34F20">
              <w:rPr>
                <w:rFonts w:ascii="Arial" w:eastAsia="Cambria" w:hAnsi="Arial" w:cs="Arial"/>
                <w:sz w:val="22"/>
                <w:szCs w:val="22"/>
                <w:lang w:val="es-ES_tradnl" w:eastAsia="en-US"/>
              </w:rPr>
              <w:t>(CONARE)</w:t>
            </w:r>
          </w:p>
          <w:p w:rsidR="006B4FBB" w:rsidRPr="00B34F20" w:rsidRDefault="004B368B" w:rsidP="00683306">
            <w:pPr>
              <w:jc w:val="both"/>
              <w:rPr>
                <w:rFonts w:ascii="Arial" w:eastAsia="Cambria" w:hAnsi="Arial" w:cs="Arial"/>
                <w:sz w:val="22"/>
                <w:szCs w:val="22"/>
                <w:lang w:val="es-ES_tradnl" w:eastAsia="en-US"/>
              </w:rPr>
            </w:pPr>
            <w:r w:rsidRPr="004B368B">
              <w:rPr>
                <w:rFonts w:ascii="Arial" w:hAnsi="Arial" w:cs="Arial"/>
                <w:sz w:val="22"/>
                <w:szCs w:val="22"/>
              </w:rPr>
              <w:t>Dra. Carmen Elena Madriz, Directora, Dirección de Posgrado</w:t>
            </w:r>
          </w:p>
          <w:p w:rsidR="004B368B" w:rsidRPr="006B4FBB" w:rsidRDefault="004B368B" w:rsidP="00683306">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83306" w:rsidP="0068330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 xml:space="preserve">marzo </w:t>
            </w:r>
            <w:r w:rsidR="007742A1" w:rsidRPr="00D958BC">
              <w:rPr>
                <w:rFonts w:ascii="Arial" w:eastAsia="Cambria" w:hAnsi="Arial" w:cs="Arial"/>
                <w:b/>
                <w:sz w:val="22"/>
                <w:szCs w:val="22"/>
                <w:lang w:val="es-ES_tradnl" w:eastAsia="en-US"/>
              </w:rPr>
              <w:t>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37F0F" w:rsidRDefault="007742A1" w:rsidP="001E08C0">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83306">
              <w:rPr>
                <w:rFonts w:ascii="Arial" w:eastAsia="Calibri" w:hAnsi="Arial" w:cs="Arial"/>
                <w:b/>
                <w:sz w:val="22"/>
                <w:szCs w:val="22"/>
              </w:rPr>
              <w:t>12</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4B368B">
              <w:rPr>
                <w:rFonts w:ascii="Arial" w:eastAsia="Calibri" w:hAnsi="Arial" w:cs="Arial"/>
                <w:b/>
                <w:sz w:val="22"/>
                <w:szCs w:val="22"/>
              </w:rPr>
              <w:t>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683306">
              <w:rPr>
                <w:rFonts w:ascii="Arial" w:eastAsia="Calibri" w:hAnsi="Arial" w:cs="Arial"/>
                <w:b/>
                <w:sz w:val="22"/>
                <w:szCs w:val="22"/>
              </w:rPr>
              <w:t>08</w:t>
            </w:r>
            <w:r w:rsidRPr="00D958BC">
              <w:rPr>
                <w:rFonts w:ascii="Arial" w:eastAsia="Calibri" w:hAnsi="Arial" w:cs="Arial"/>
                <w:b/>
                <w:sz w:val="22"/>
                <w:szCs w:val="22"/>
              </w:rPr>
              <w:t xml:space="preserve"> de </w:t>
            </w:r>
            <w:r w:rsidR="00683306">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683306">
              <w:rPr>
                <w:rFonts w:ascii="Arial" w:eastAsia="Calibri" w:hAnsi="Arial" w:cs="Arial"/>
                <w:b/>
                <w:sz w:val="22"/>
                <w:szCs w:val="22"/>
              </w:rPr>
              <w:t>Programa de Maestría en Ciencia y Tecnología para la sostenibilidad</w:t>
            </w:r>
          </w:p>
          <w:p w:rsidR="001E08C0" w:rsidRDefault="001E08C0" w:rsidP="001E08C0">
            <w:pPr>
              <w:ind w:left="67"/>
              <w:jc w:val="both"/>
              <w:rPr>
                <w:rFonts w:ascii="Arial" w:eastAsia="Calibri" w:hAnsi="Arial" w:cs="Arial"/>
                <w:b/>
                <w:sz w:val="22"/>
                <w:szCs w:val="22"/>
              </w:rPr>
            </w:pPr>
          </w:p>
          <w:p w:rsidR="001E08C0" w:rsidRPr="00D958BC" w:rsidRDefault="001E08C0" w:rsidP="001E08C0">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4B368B" w:rsidRPr="004B368B" w:rsidRDefault="004B368B" w:rsidP="004B368B">
      <w:pPr>
        <w:ind w:left="1440" w:hanging="1440"/>
        <w:jc w:val="both"/>
        <w:rPr>
          <w:rFonts w:ascii="Arial" w:eastAsia="Cambria" w:hAnsi="Arial" w:cs="Arial"/>
          <w:b/>
          <w:caps/>
          <w:lang w:val="es-ES_tradnl" w:eastAsia="en-US"/>
        </w:rPr>
      </w:pPr>
      <w:r w:rsidRPr="004B368B">
        <w:rPr>
          <w:rFonts w:ascii="Arial" w:eastAsia="Cambria" w:hAnsi="Arial" w:cs="Arial"/>
          <w:b/>
          <w:caps/>
          <w:lang w:val="es-ES_tradnl" w:eastAsia="en-US"/>
        </w:rPr>
        <w:t xml:space="preserve">Considerando que: </w:t>
      </w:r>
    </w:p>
    <w:p w:rsidR="004B368B" w:rsidRPr="004B368B" w:rsidRDefault="004B368B" w:rsidP="004B368B">
      <w:pPr>
        <w:ind w:left="1276" w:hanging="1276"/>
        <w:jc w:val="both"/>
        <w:rPr>
          <w:rFonts w:ascii="Arial" w:eastAsia="Cambria" w:hAnsi="Arial" w:cs="Arial"/>
          <w:b/>
          <w:lang w:val="es-ES_tradnl" w:eastAsia="en-US"/>
        </w:rPr>
      </w:pPr>
    </w:p>
    <w:p w:rsidR="004B368B" w:rsidRPr="004B368B" w:rsidRDefault="004B368B" w:rsidP="004B368B">
      <w:pPr>
        <w:numPr>
          <w:ilvl w:val="0"/>
          <w:numId w:val="23"/>
        </w:numPr>
        <w:ind w:left="425" w:right="284" w:hanging="425"/>
        <w:jc w:val="both"/>
        <w:rPr>
          <w:rFonts w:ascii="Arial" w:hAnsi="Arial" w:cs="Arial"/>
        </w:rPr>
      </w:pPr>
      <w:r w:rsidRPr="004B368B">
        <w:rPr>
          <w:rFonts w:ascii="Arial" w:hAnsi="Arial" w:cs="Arial"/>
        </w:rPr>
        <w:t>El Estatuto Orgánico del ITCR, establece:</w:t>
      </w:r>
    </w:p>
    <w:p w:rsidR="004B368B" w:rsidRPr="004B368B" w:rsidRDefault="004B368B" w:rsidP="004B368B">
      <w:pPr>
        <w:ind w:right="284"/>
        <w:jc w:val="both"/>
        <w:rPr>
          <w:rFonts w:ascii="Arial" w:hAnsi="Arial" w:cs="Arial"/>
        </w:rPr>
      </w:pPr>
    </w:p>
    <w:p w:rsidR="004B368B" w:rsidRPr="004B368B" w:rsidRDefault="004B368B" w:rsidP="004B368B">
      <w:pPr>
        <w:ind w:left="720" w:right="430"/>
        <w:jc w:val="both"/>
        <w:rPr>
          <w:rFonts w:ascii="Arial" w:hAnsi="Arial" w:cs="Arial"/>
          <w:b/>
          <w:i/>
          <w:sz w:val="22"/>
          <w:szCs w:val="22"/>
          <w:lang w:val="es-ES_tradnl"/>
        </w:rPr>
      </w:pPr>
      <w:r w:rsidRPr="004B368B">
        <w:rPr>
          <w:rFonts w:ascii="Arial" w:hAnsi="Arial" w:cs="Arial"/>
          <w:b/>
          <w:i/>
          <w:sz w:val="20"/>
          <w:szCs w:val="20"/>
          <w:lang w:val="es-ES_tradnl"/>
        </w:rPr>
        <w:t>“</w:t>
      </w:r>
      <w:r w:rsidRPr="004B368B">
        <w:rPr>
          <w:rFonts w:ascii="Arial" w:hAnsi="Arial" w:cs="Arial"/>
          <w:b/>
          <w:i/>
          <w:sz w:val="22"/>
          <w:szCs w:val="22"/>
          <w:lang w:val="es-ES_tradnl"/>
        </w:rPr>
        <w:t xml:space="preserve">ARTÍCULO 18 </w:t>
      </w: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 xml:space="preserve">Son funciones del Consejo Institucional: </w:t>
      </w: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w:t>
      </w:r>
    </w:p>
    <w:p w:rsidR="004B368B" w:rsidRPr="004B368B" w:rsidRDefault="004B368B" w:rsidP="004B368B">
      <w:pPr>
        <w:numPr>
          <w:ilvl w:val="0"/>
          <w:numId w:val="26"/>
        </w:numPr>
        <w:ind w:left="1134" w:right="430" w:hanging="425"/>
        <w:jc w:val="both"/>
        <w:rPr>
          <w:rFonts w:ascii="Arial" w:hAnsi="Arial" w:cs="Arial"/>
          <w:i/>
          <w:sz w:val="22"/>
          <w:szCs w:val="22"/>
          <w:lang w:val="es-ES_tradnl"/>
        </w:rPr>
      </w:pPr>
      <w:r w:rsidRPr="004B368B">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4B368B" w:rsidRPr="004B368B" w:rsidRDefault="004B368B" w:rsidP="004B368B">
      <w:pPr>
        <w:rPr>
          <w:rFonts w:ascii="Cambria" w:eastAsia="Cambria" w:hAnsi="Cambria"/>
          <w:sz w:val="22"/>
          <w:szCs w:val="22"/>
          <w:lang w:val="es-ES_tradnl"/>
        </w:rPr>
      </w:pP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w:t>
      </w:r>
    </w:p>
    <w:p w:rsidR="004B368B" w:rsidRPr="004B368B" w:rsidRDefault="004B368B" w:rsidP="004B368B">
      <w:pPr>
        <w:rPr>
          <w:rFonts w:ascii="Cambria" w:eastAsia="Cambria" w:hAnsi="Cambria"/>
          <w:sz w:val="22"/>
          <w:szCs w:val="22"/>
          <w:lang w:val="es-ES_tradnl"/>
        </w:rPr>
      </w:pPr>
    </w:p>
    <w:p w:rsidR="004B368B" w:rsidRPr="004B368B" w:rsidRDefault="004B368B" w:rsidP="004B368B">
      <w:pPr>
        <w:ind w:left="720" w:right="430"/>
        <w:jc w:val="both"/>
        <w:rPr>
          <w:rFonts w:ascii="Arial" w:hAnsi="Arial" w:cs="Arial"/>
          <w:b/>
          <w:i/>
          <w:sz w:val="22"/>
          <w:szCs w:val="22"/>
          <w:lang w:val="es-ES_tradnl"/>
        </w:rPr>
      </w:pPr>
      <w:r w:rsidRPr="004B368B">
        <w:rPr>
          <w:rFonts w:ascii="Arial" w:hAnsi="Arial" w:cs="Arial"/>
          <w:b/>
          <w:i/>
          <w:sz w:val="22"/>
          <w:szCs w:val="22"/>
          <w:lang w:val="es-ES_tradnl"/>
        </w:rPr>
        <w:t>ARTÍCULO 34</w:t>
      </w: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Son funciones específicas del Vicerrector de Investigación y Extensión:</w:t>
      </w: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w:t>
      </w:r>
    </w:p>
    <w:p w:rsidR="004B368B" w:rsidRPr="004B368B" w:rsidRDefault="004B368B" w:rsidP="004B368B">
      <w:pPr>
        <w:numPr>
          <w:ilvl w:val="0"/>
          <w:numId w:val="24"/>
        </w:numPr>
        <w:ind w:right="430"/>
        <w:jc w:val="both"/>
        <w:rPr>
          <w:rFonts w:ascii="Arial" w:hAnsi="Arial" w:cs="Arial"/>
          <w:i/>
          <w:sz w:val="22"/>
          <w:szCs w:val="22"/>
          <w:lang w:val="es-ES_tradnl"/>
        </w:rPr>
      </w:pPr>
      <w:r w:rsidRPr="004B368B">
        <w:rPr>
          <w:rFonts w:ascii="Arial" w:hAnsi="Arial" w:cs="Arial"/>
          <w:i/>
          <w:sz w:val="22"/>
          <w:szCs w:val="22"/>
          <w:lang w:val="es-ES_tradnl"/>
        </w:rPr>
        <w:t>Procurar la eficiencia de las labores de investigación y extensión y velar por su vinculación con la labor docente</w:t>
      </w: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w:t>
      </w:r>
    </w:p>
    <w:p w:rsidR="004B368B" w:rsidRPr="004B368B" w:rsidRDefault="004B368B" w:rsidP="004B368B">
      <w:pPr>
        <w:rPr>
          <w:rFonts w:ascii="Cambria" w:eastAsia="Cambria" w:hAnsi="Cambria"/>
          <w:sz w:val="22"/>
          <w:szCs w:val="22"/>
          <w:lang w:val="es-ES_tradnl"/>
        </w:rPr>
      </w:pPr>
    </w:p>
    <w:p w:rsidR="004B368B" w:rsidRPr="004B368B" w:rsidRDefault="004B368B" w:rsidP="004B368B">
      <w:pPr>
        <w:ind w:left="720" w:right="430"/>
        <w:jc w:val="both"/>
        <w:rPr>
          <w:rFonts w:ascii="Arial" w:hAnsi="Arial" w:cs="Arial"/>
          <w:b/>
          <w:i/>
          <w:sz w:val="22"/>
          <w:szCs w:val="22"/>
          <w:lang w:val="es-ES_tradnl"/>
        </w:rPr>
      </w:pPr>
      <w:r w:rsidRPr="004B368B">
        <w:rPr>
          <w:rFonts w:ascii="Arial" w:hAnsi="Arial" w:cs="Arial"/>
          <w:b/>
          <w:i/>
          <w:sz w:val="22"/>
          <w:szCs w:val="22"/>
          <w:lang w:val="es-ES_tradnl"/>
        </w:rPr>
        <w:t xml:space="preserve">Artículo 49 </w:t>
      </w:r>
    </w:p>
    <w:p w:rsidR="004B368B" w:rsidRPr="004B368B" w:rsidRDefault="004B368B" w:rsidP="004B368B">
      <w:pPr>
        <w:ind w:left="720" w:right="430"/>
        <w:jc w:val="both"/>
        <w:rPr>
          <w:rFonts w:ascii="Arial" w:hAnsi="Arial" w:cs="Arial"/>
          <w:i/>
          <w:sz w:val="22"/>
          <w:szCs w:val="22"/>
          <w:lang w:val="es-ES_tradnl"/>
        </w:rPr>
      </w:pPr>
      <w:r w:rsidRPr="004B368B">
        <w:rPr>
          <w:rFonts w:ascii="Arial" w:hAnsi="Arial" w:cs="Arial"/>
          <w:i/>
          <w:sz w:val="22"/>
          <w:szCs w:val="22"/>
          <w:lang w:val="es-ES_tradnl"/>
        </w:rPr>
        <w:t>Definición de área académica</w:t>
      </w:r>
    </w:p>
    <w:p w:rsidR="004B368B" w:rsidRPr="004B368B" w:rsidRDefault="004B368B" w:rsidP="004B368B">
      <w:pPr>
        <w:ind w:left="756" w:right="430"/>
        <w:jc w:val="both"/>
        <w:rPr>
          <w:rFonts w:ascii="Arial" w:hAnsi="Arial" w:cs="Arial"/>
          <w:i/>
          <w:sz w:val="22"/>
          <w:szCs w:val="22"/>
          <w:lang w:val="es-ES_tradnl"/>
        </w:rPr>
      </w:pPr>
      <w:r w:rsidRPr="004B368B">
        <w:rPr>
          <w:rFonts w:ascii="Arial" w:hAnsi="Arial" w:cs="Arial"/>
          <w:i/>
          <w:sz w:val="22"/>
          <w:szCs w:val="22"/>
          <w:lang w:val="es-ES_tradnl"/>
        </w:rPr>
        <w:t xml:space="preserve">Un área académica es estructuralmente una unidad, adscrita a una Vicerrectoría académica, una Sede Regional o a la Dirección de Posgrado, en la cual participan dos o más escuelas con el fin de desarrollar programas académicos de docencia o programas consolidados de investigación y/o extensión, de carácter inter, </w:t>
      </w:r>
      <w:proofErr w:type="spellStart"/>
      <w:r w:rsidRPr="004B368B">
        <w:rPr>
          <w:rFonts w:ascii="Arial" w:hAnsi="Arial" w:cs="Arial"/>
          <w:i/>
          <w:sz w:val="22"/>
          <w:szCs w:val="22"/>
          <w:lang w:val="es-ES_tradnl"/>
        </w:rPr>
        <w:t>trans</w:t>
      </w:r>
      <w:proofErr w:type="spellEnd"/>
      <w:r w:rsidRPr="004B368B">
        <w:rPr>
          <w:rFonts w:ascii="Arial" w:hAnsi="Arial" w:cs="Arial"/>
          <w:i/>
          <w:sz w:val="22"/>
          <w:szCs w:val="22"/>
          <w:lang w:val="es-ES_tradnl"/>
        </w:rPr>
        <w:t xml:space="preserve"> y/o multidisciplinario. Estará a cargo de un coordinador.</w:t>
      </w:r>
    </w:p>
    <w:p w:rsidR="004B368B" w:rsidRDefault="004B368B" w:rsidP="004B368B">
      <w:pPr>
        <w:ind w:right="430"/>
        <w:jc w:val="both"/>
        <w:rPr>
          <w:rFonts w:ascii="Arial" w:hAnsi="Arial" w:cs="Arial"/>
          <w:b/>
          <w:i/>
          <w:sz w:val="22"/>
          <w:szCs w:val="22"/>
          <w:lang w:val="es-ES_tradnl"/>
        </w:rPr>
      </w:pPr>
    </w:p>
    <w:p w:rsidR="00EF4A36" w:rsidRDefault="00EF4A36" w:rsidP="004B368B">
      <w:pPr>
        <w:ind w:right="430"/>
        <w:jc w:val="both"/>
        <w:rPr>
          <w:rFonts w:ascii="Arial" w:hAnsi="Arial" w:cs="Arial"/>
          <w:b/>
          <w:i/>
          <w:sz w:val="22"/>
          <w:szCs w:val="22"/>
          <w:lang w:val="es-ES_tradnl"/>
        </w:rPr>
      </w:pPr>
    </w:p>
    <w:p w:rsidR="00EF4A36" w:rsidRPr="004B368B" w:rsidRDefault="00EF4A36" w:rsidP="004B368B">
      <w:pPr>
        <w:ind w:right="430"/>
        <w:jc w:val="both"/>
        <w:rPr>
          <w:rFonts w:ascii="Arial" w:hAnsi="Arial" w:cs="Arial"/>
          <w:b/>
          <w:i/>
          <w:sz w:val="22"/>
          <w:szCs w:val="22"/>
          <w:lang w:val="es-ES_tradnl"/>
        </w:rPr>
      </w:pPr>
    </w:p>
    <w:p w:rsidR="004B368B" w:rsidRPr="004B368B" w:rsidRDefault="004B368B" w:rsidP="004B368B">
      <w:pPr>
        <w:ind w:left="720" w:right="430"/>
        <w:jc w:val="both"/>
        <w:rPr>
          <w:rFonts w:ascii="Arial" w:hAnsi="Arial" w:cs="Arial"/>
          <w:b/>
          <w:i/>
          <w:sz w:val="22"/>
          <w:szCs w:val="22"/>
          <w:lang w:val="es-ES_tradnl"/>
        </w:rPr>
      </w:pPr>
      <w:r w:rsidRPr="004B368B">
        <w:rPr>
          <w:rFonts w:ascii="Arial" w:hAnsi="Arial" w:cs="Arial"/>
          <w:b/>
          <w:i/>
          <w:sz w:val="22"/>
          <w:szCs w:val="22"/>
          <w:lang w:val="es-ES_tradnl"/>
        </w:rPr>
        <w:t xml:space="preserve">Artículo 112 </w:t>
      </w:r>
    </w:p>
    <w:p w:rsidR="004B368B" w:rsidRPr="004B368B" w:rsidRDefault="004B368B" w:rsidP="004B368B">
      <w:pPr>
        <w:ind w:left="756" w:right="430"/>
        <w:jc w:val="both"/>
        <w:rPr>
          <w:rFonts w:ascii="Arial" w:hAnsi="Arial" w:cs="Arial"/>
          <w:i/>
          <w:sz w:val="22"/>
          <w:szCs w:val="22"/>
          <w:lang w:val="es-ES_tradnl"/>
        </w:rPr>
      </w:pPr>
      <w:r w:rsidRPr="004B368B">
        <w:rPr>
          <w:rFonts w:ascii="Arial" w:hAnsi="Arial" w:cs="Arial"/>
          <w:i/>
          <w:sz w:val="22"/>
          <w:szCs w:val="22"/>
          <w:lang w:val="es-ES_tradnl"/>
        </w:rPr>
        <w:t>Los planes de estudio de las carreras serán elaborados por los departamentos encargados de ejecutarlos, y serán aprobados en primera 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w:t>
      </w:r>
    </w:p>
    <w:p w:rsidR="004B368B" w:rsidRPr="004B368B" w:rsidRDefault="004B368B" w:rsidP="004B368B">
      <w:pPr>
        <w:rPr>
          <w:rFonts w:ascii="Cambria" w:eastAsia="Cambria" w:hAnsi="Cambria"/>
          <w:lang w:val="es-ES_tradnl"/>
        </w:rPr>
      </w:pPr>
    </w:p>
    <w:p w:rsidR="004B368B" w:rsidRPr="004B368B" w:rsidRDefault="004B368B" w:rsidP="004B368B">
      <w:pPr>
        <w:numPr>
          <w:ilvl w:val="0"/>
          <w:numId w:val="23"/>
        </w:numPr>
        <w:ind w:left="425" w:right="284" w:hanging="425"/>
        <w:jc w:val="both"/>
        <w:rPr>
          <w:rFonts w:ascii="Arial" w:hAnsi="Arial" w:cs="Arial"/>
        </w:rPr>
      </w:pPr>
      <w:r w:rsidRPr="004B368B">
        <w:rPr>
          <w:rFonts w:ascii="Arial" w:hAnsi="Arial" w:cs="Arial"/>
        </w:rPr>
        <w:t xml:space="preserve">La Política General No. 1 vigente en la Institución establece lo siguiente:  </w:t>
      </w:r>
    </w:p>
    <w:p w:rsidR="004B368B" w:rsidRPr="004B368B" w:rsidRDefault="004B368B" w:rsidP="004B368B">
      <w:pPr>
        <w:ind w:left="295" w:right="430"/>
        <w:jc w:val="both"/>
        <w:rPr>
          <w:rFonts w:ascii="Arial" w:hAnsi="Arial" w:cs="Arial"/>
          <w:i/>
          <w:sz w:val="20"/>
          <w:szCs w:val="20"/>
        </w:rPr>
      </w:pPr>
    </w:p>
    <w:p w:rsidR="004B368B" w:rsidRPr="004B368B" w:rsidRDefault="004B368B" w:rsidP="004B368B">
      <w:pPr>
        <w:ind w:left="756" w:right="430"/>
        <w:jc w:val="both"/>
        <w:rPr>
          <w:rFonts w:ascii="Arial" w:hAnsi="Arial" w:cs="Arial"/>
          <w:i/>
          <w:sz w:val="22"/>
          <w:szCs w:val="20"/>
          <w:lang w:val="es-ES_tradnl"/>
        </w:rPr>
      </w:pPr>
      <w:r w:rsidRPr="004B368B">
        <w:rPr>
          <w:rFonts w:ascii="Arial" w:hAnsi="Arial" w:cs="Arial"/>
          <w:i/>
          <w:sz w:val="22"/>
          <w:szCs w:val="20"/>
          <w:lang w:val="es-ES_tradnl"/>
        </w:rPr>
        <w:t xml:space="preserve">“Se desarrollarán programas académicos en las áreas de ciencia y tecnología en concordancia con los ejes de conocimiento estratégicos, los fines y principios institucionales y con lo establecido en la Ley Orgánica del ITCR.” </w:t>
      </w:r>
    </w:p>
    <w:p w:rsidR="004B368B" w:rsidRPr="004B368B" w:rsidRDefault="004B368B" w:rsidP="004B368B">
      <w:pPr>
        <w:ind w:right="284"/>
        <w:jc w:val="both"/>
        <w:rPr>
          <w:rFonts w:ascii="Arial" w:hAnsi="Arial" w:cs="Arial"/>
        </w:rPr>
      </w:pPr>
    </w:p>
    <w:p w:rsidR="004B368B" w:rsidRPr="004B368B" w:rsidRDefault="004B368B" w:rsidP="004B368B">
      <w:pPr>
        <w:numPr>
          <w:ilvl w:val="0"/>
          <w:numId w:val="23"/>
        </w:numPr>
        <w:ind w:left="425" w:right="284" w:hanging="425"/>
        <w:jc w:val="both"/>
        <w:rPr>
          <w:rFonts w:ascii="Arial" w:hAnsi="Arial" w:cs="Arial"/>
        </w:rPr>
      </w:pPr>
      <w:r w:rsidRPr="004B368B">
        <w:rPr>
          <w:rFonts w:ascii="Arial" w:hAnsi="Arial" w:cs="Arial"/>
        </w:rPr>
        <w:t>El Artículo 20 del Reglamento del Consejo Institucional, prescribe:</w:t>
      </w:r>
    </w:p>
    <w:p w:rsidR="004B368B" w:rsidRPr="004B368B" w:rsidRDefault="004B368B" w:rsidP="004B368B">
      <w:pPr>
        <w:ind w:left="708"/>
        <w:rPr>
          <w:rFonts w:ascii="Arial" w:eastAsia="Calibri" w:hAnsi="Arial" w:cs="Arial"/>
          <w:sz w:val="16"/>
          <w:szCs w:val="16"/>
          <w:lang w:val="es-CR"/>
        </w:rPr>
      </w:pPr>
    </w:p>
    <w:p w:rsidR="004B368B" w:rsidRPr="004B368B" w:rsidRDefault="004B368B" w:rsidP="004B368B">
      <w:pPr>
        <w:ind w:left="938" w:right="430"/>
        <w:jc w:val="both"/>
        <w:rPr>
          <w:rFonts w:ascii="Arial" w:hAnsi="Arial" w:cs="Arial"/>
          <w:i/>
          <w:sz w:val="22"/>
          <w:szCs w:val="22"/>
          <w:lang w:val="es-ES_tradnl"/>
        </w:rPr>
      </w:pPr>
      <w:r w:rsidRPr="004B368B">
        <w:rPr>
          <w:rFonts w:ascii="Arial" w:hAnsi="Arial" w:cs="Arial"/>
          <w:i/>
          <w:sz w:val="20"/>
          <w:szCs w:val="20"/>
          <w:lang w:val="es-ES_tradnl"/>
        </w:rPr>
        <w:t>“</w:t>
      </w:r>
      <w:r w:rsidRPr="004B368B">
        <w:rPr>
          <w:rFonts w:ascii="Arial" w:hAnsi="Arial" w:cs="Arial"/>
          <w:i/>
          <w:sz w:val="22"/>
          <w:szCs w:val="22"/>
          <w:lang w:val="es-ES_tradnl"/>
        </w:rPr>
        <w:t xml:space="preserve">Son asuntos propios del análisis y dictamen de la Comisión de Asuntos Académicos y Estudiantiles, según su competencia: </w:t>
      </w:r>
    </w:p>
    <w:p w:rsidR="004B368B" w:rsidRPr="004B368B" w:rsidRDefault="004B368B" w:rsidP="004B368B">
      <w:pPr>
        <w:rPr>
          <w:rFonts w:ascii="Cambria" w:eastAsia="Cambria" w:hAnsi="Cambria"/>
          <w:sz w:val="22"/>
          <w:szCs w:val="22"/>
          <w:lang w:val="es-ES_tradnl"/>
        </w:rPr>
      </w:pPr>
    </w:p>
    <w:p w:rsidR="004B368B" w:rsidRPr="004B368B" w:rsidRDefault="004B368B" w:rsidP="004B368B">
      <w:pPr>
        <w:numPr>
          <w:ilvl w:val="0"/>
          <w:numId w:val="25"/>
        </w:numPr>
        <w:ind w:right="430"/>
        <w:jc w:val="both"/>
        <w:rPr>
          <w:rFonts w:ascii="Arial" w:hAnsi="Arial" w:cs="Arial"/>
          <w:i/>
          <w:sz w:val="22"/>
          <w:szCs w:val="22"/>
          <w:lang w:val="es-ES_tradnl"/>
        </w:rPr>
      </w:pPr>
      <w:r w:rsidRPr="004B368B">
        <w:rPr>
          <w:rFonts w:ascii="Arial" w:hAnsi="Arial" w:cs="Arial"/>
          <w:i/>
          <w:sz w:val="22"/>
          <w:szCs w:val="22"/>
          <w:lang w:val="es-ES_tradnl"/>
        </w:rPr>
        <w:t>Las propuestas de creación, modificación, traslado o eliminación de cualquier instancia, carreras y programas académicos.</w:t>
      </w:r>
    </w:p>
    <w:p w:rsidR="004B368B" w:rsidRPr="004B368B" w:rsidRDefault="004B368B" w:rsidP="004B368B">
      <w:pPr>
        <w:ind w:left="1276"/>
        <w:rPr>
          <w:rFonts w:ascii="Cambria" w:eastAsia="Cambria" w:hAnsi="Cambria"/>
          <w:sz w:val="16"/>
          <w:szCs w:val="16"/>
          <w:lang w:val="es-ES_tradnl" w:eastAsia="en-US"/>
        </w:rPr>
      </w:pPr>
    </w:p>
    <w:p w:rsidR="004B368B" w:rsidRPr="004B368B" w:rsidRDefault="004B368B" w:rsidP="004B368B">
      <w:pPr>
        <w:ind w:left="1276"/>
        <w:rPr>
          <w:rFonts w:ascii="Cambria" w:eastAsia="Cambria" w:hAnsi="Cambria"/>
          <w:sz w:val="22"/>
          <w:szCs w:val="22"/>
          <w:lang w:val="es-ES_tradnl" w:eastAsia="en-US"/>
        </w:rPr>
      </w:pPr>
      <w:r w:rsidRPr="004B368B">
        <w:rPr>
          <w:rFonts w:ascii="Cambria" w:eastAsia="Cambria" w:hAnsi="Cambria"/>
          <w:sz w:val="22"/>
          <w:szCs w:val="22"/>
          <w:lang w:val="es-ES_tradnl" w:eastAsia="en-US"/>
        </w:rPr>
        <w:t>…”</w:t>
      </w:r>
    </w:p>
    <w:p w:rsidR="004B368B" w:rsidRPr="004B368B" w:rsidRDefault="004B368B" w:rsidP="004B368B">
      <w:pPr>
        <w:ind w:left="1276"/>
        <w:rPr>
          <w:rFonts w:ascii="Cambria" w:eastAsia="Cambria" w:hAnsi="Cambria"/>
          <w:sz w:val="22"/>
          <w:szCs w:val="22"/>
          <w:lang w:val="es-ES_tradnl"/>
        </w:rPr>
      </w:pPr>
    </w:p>
    <w:p w:rsidR="004B368B" w:rsidRPr="004B368B" w:rsidRDefault="004B368B" w:rsidP="004B368B">
      <w:pPr>
        <w:numPr>
          <w:ilvl w:val="0"/>
          <w:numId w:val="23"/>
        </w:numPr>
        <w:ind w:left="425" w:right="284" w:hanging="425"/>
        <w:jc w:val="both"/>
        <w:rPr>
          <w:rFonts w:ascii="Arial" w:hAnsi="Arial" w:cs="Arial"/>
        </w:rPr>
      </w:pPr>
      <w:r w:rsidRPr="004B368B">
        <w:rPr>
          <w:rFonts w:ascii="Arial" w:hAnsi="Arial" w:cs="Arial"/>
        </w:rPr>
        <w:t>La Secretaría del Consejo Institucional recibe el oficio DP-168-2016, con fecha de recibido 19 de diciembre de 2016, suscrito por la Dra. Carmen Elena Madriz, Directora, Dirección de Posgrado, dirigido al Dr. Julio Calvo, Presidente del Consejo Institucional, en el cual comunica el Acuerdo del  Consejo Extraordinario DP-11-2016, como se transcribe a continuación:</w:t>
      </w:r>
    </w:p>
    <w:p w:rsidR="004B368B" w:rsidRPr="004B368B" w:rsidRDefault="004B368B" w:rsidP="004B368B">
      <w:pPr>
        <w:ind w:left="425" w:right="284"/>
        <w:jc w:val="both"/>
        <w:rPr>
          <w:rFonts w:ascii="Arial" w:hAnsi="Arial" w:cs="Arial"/>
        </w:rPr>
      </w:pPr>
    </w:p>
    <w:p w:rsidR="004B368B" w:rsidRPr="004B368B" w:rsidRDefault="004B368B" w:rsidP="004B368B">
      <w:pPr>
        <w:ind w:left="426" w:firstLine="283"/>
        <w:jc w:val="both"/>
        <w:rPr>
          <w:rFonts w:ascii="Arial" w:eastAsia="Cambria" w:hAnsi="Arial" w:cs="Arial"/>
          <w:i/>
          <w:sz w:val="22"/>
          <w:szCs w:val="22"/>
          <w:lang w:val="es-ES_tradnl" w:eastAsia="en-US"/>
        </w:rPr>
      </w:pPr>
      <w:r w:rsidRPr="004B368B">
        <w:rPr>
          <w:rFonts w:ascii="Arial" w:eastAsia="Cambria" w:hAnsi="Arial" w:cs="Arial"/>
          <w:i/>
          <w:sz w:val="22"/>
          <w:szCs w:val="22"/>
          <w:lang w:val="es-ES_tradnl" w:eastAsia="en-US"/>
        </w:rPr>
        <w:t>“Considerando que:</w:t>
      </w:r>
    </w:p>
    <w:p w:rsidR="004B368B" w:rsidRPr="004B368B" w:rsidRDefault="004B368B" w:rsidP="004B368B">
      <w:pPr>
        <w:jc w:val="both"/>
        <w:rPr>
          <w:rFonts w:ascii="Arial" w:eastAsia="MS Mincho" w:hAnsi="Arial" w:cs="Arial"/>
          <w:i/>
          <w:sz w:val="16"/>
          <w:szCs w:val="16"/>
          <w:lang w:val="es-ES_tradnl" w:eastAsia="es-CR"/>
        </w:rPr>
      </w:pPr>
    </w:p>
    <w:p w:rsidR="004B368B" w:rsidRPr="004B368B" w:rsidRDefault="004B368B" w:rsidP="004B368B">
      <w:pPr>
        <w:numPr>
          <w:ilvl w:val="0"/>
          <w:numId w:val="27"/>
        </w:numPr>
        <w:ind w:left="1134"/>
        <w:contextualSpacing/>
        <w:jc w:val="both"/>
        <w:rPr>
          <w:rFonts w:ascii="Arial" w:eastAsia="Calibri" w:hAnsi="Arial" w:cs="Arial"/>
          <w:i/>
          <w:sz w:val="22"/>
          <w:szCs w:val="22"/>
          <w:lang w:val="es-CR"/>
        </w:rPr>
      </w:pPr>
      <w:r w:rsidRPr="004B368B">
        <w:rPr>
          <w:rFonts w:ascii="Arial" w:eastAsia="Calibri" w:hAnsi="Arial" w:cs="Arial"/>
          <w:i/>
          <w:sz w:val="22"/>
          <w:szCs w:val="22"/>
          <w:lang w:val="es-CR"/>
        </w:rPr>
        <w:t>El Estatuto Orgánico del Instituto Tecnológico de Costa Rica en el Capítulo V define y establece la conformación de Áreas Académicas para el desarrollo de programas académicos de docencia, así como sus lineamientos y procedimientos.</w:t>
      </w:r>
    </w:p>
    <w:p w:rsidR="004B368B" w:rsidRPr="004B368B" w:rsidRDefault="004B368B" w:rsidP="004B368B">
      <w:pPr>
        <w:ind w:left="1134"/>
        <w:jc w:val="both"/>
        <w:rPr>
          <w:rFonts w:ascii="Arial" w:eastAsia="Calibri" w:hAnsi="Arial" w:cs="Arial"/>
          <w:i/>
          <w:sz w:val="16"/>
          <w:szCs w:val="16"/>
          <w:lang w:val="es-CR"/>
        </w:rPr>
      </w:pPr>
    </w:p>
    <w:p w:rsidR="004B368B" w:rsidRPr="004B368B" w:rsidRDefault="004B368B" w:rsidP="004B368B">
      <w:pPr>
        <w:numPr>
          <w:ilvl w:val="0"/>
          <w:numId w:val="27"/>
        </w:numPr>
        <w:ind w:left="1134"/>
        <w:contextualSpacing/>
        <w:jc w:val="both"/>
        <w:rPr>
          <w:rFonts w:ascii="Arial" w:eastAsia="Calibri" w:hAnsi="Arial" w:cs="Arial"/>
          <w:i/>
          <w:sz w:val="22"/>
          <w:szCs w:val="22"/>
          <w:lang w:val="es-CR"/>
        </w:rPr>
      </w:pPr>
      <w:r w:rsidRPr="004B368B">
        <w:rPr>
          <w:rFonts w:ascii="Arial" w:eastAsia="Calibri" w:hAnsi="Arial" w:cs="Arial"/>
          <w:i/>
          <w:sz w:val="22"/>
          <w:szCs w:val="22"/>
          <w:lang w:val="es-CR"/>
        </w:rPr>
        <w:t xml:space="preserve">El </w:t>
      </w:r>
      <w:r w:rsidRPr="004B368B">
        <w:rPr>
          <w:rFonts w:ascii="Arial" w:eastAsia="Calibri" w:hAnsi="Arial" w:cs="Arial"/>
          <w:bCs/>
          <w:i/>
          <w:sz w:val="22"/>
          <w:szCs w:val="22"/>
          <w:lang w:val="es-CR"/>
        </w:rPr>
        <w:t xml:space="preserve">Programa de Maestría en Ciencias y Tecnologías para la Sostenibilidad funcionará como una unidad adscrita </w:t>
      </w:r>
      <w:proofErr w:type="gramStart"/>
      <w:r w:rsidRPr="004B368B">
        <w:rPr>
          <w:rFonts w:ascii="Arial" w:eastAsia="Calibri" w:hAnsi="Arial" w:cs="Arial"/>
          <w:bCs/>
          <w:i/>
          <w:sz w:val="22"/>
          <w:szCs w:val="22"/>
          <w:lang w:val="es-CR"/>
        </w:rPr>
        <w:t>al  DOCINADE</w:t>
      </w:r>
      <w:proofErr w:type="gramEnd"/>
      <w:r w:rsidRPr="004B368B">
        <w:rPr>
          <w:rFonts w:ascii="Arial" w:eastAsia="Calibri" w:hAnsi="Arial" w:cs="Arial"/>
          <w:bCs/>
          <w:i/>
          <w:sz w:val="22"/>
          <w:szCs w:val="22"/>
          <w:lang w:val="es-CR"/>
        </w:rPr>
        <w:t>.</w:t>
      </w:r>
    </w:p>
    <w:p w:rsidR="004B368B" w:rsidRPr="004B368B" w:rsidRDefault="004B368B" w:rsidP="004B368B">
      <w:pPr>
        <w:ind w:left="1134"/>
        <w:jc w:val="both"/>
        <w:rPr>
          <w:rFonts w:ascii="Arial" w:eastAsia="Calibri" w:hAnsi="Arial" w:cs="Arial"/>
          <w:i/>
          <w:sz w:val="16"/>
          <w:szCs w:val="16"/>
          <w:lang w:val="es-CR"/>
        </w:rPr>
      </w:pPr>
    </w:p>
    <w:p w:rsidR="004B368B" w:rsidRPr="004B368B" w:rsidRDefault="004B368B" w:rsidP="004B368B">
      <w:pPr>
        <w:numPr>
          <w:ilvl w:val="0"/>
          <w:numId w:val="27"/>
        </w:numPr>
        <w:ind w:left="1134"/>
        <w:contextualSpacing/>
        <w:jc w:val="both"/>
        <w:rPr>
          <w:rFonts w:ascii="Arial" w:eastAsia="Calibri" w:hAnsi="Arial" w:cs="Arial"/>
          <w:i/>
          <w:sz w:val="22"/>
          <w:szCs w:val="22"/>
          <w:lang w:val="es-CR"/>
        </w:rPr>
      </w:pPr>
      <w:r w:rsidRPr="004B368B">
        <w:rPr>
          <w:rFonts w:ascii="Arial" w:eastAsia="Calibri" w:hAnsi="Arial" w:cs="Arial"/>
          <w:i/>
          <w:sz w:val="22"/>
          <w:szCs w:val="22"/>
          <w:lang w:val="es-CR"/>
        </w:rPr>
        <w:t>Se tiene el apoyo de las diferentes unidades académicas que conforman el área académica del DOCINADE.</w:t>
      </w:r>
    </w:p>
    <w:p w:rsidR="004B368B" w:rsidRPr="004B368B" w:rsidRDefault="004B368B" w:rsidP="004B368B">
      <w:pPr>
        <w:ind w:left="1134"/>
        <w:jc w:val="both"/>
        <w:rPr>
          <w:rFonts w:ascii="Arial" w:eastAsia="Calibri" w:hAnsi="Arial" w:cs="Arial"/>
          <w:bCs/>
          <w:i/>
          <w:sz w:val="16"/>
          <w:szCs w:val="16"/>
          <w:lang w:val="es-CR"/>
        </w:rPr>
      </w:pPr>
    </w:p>
    <w:p w:rsidR="004B368B" w:rsidRPr="004B368B" w:rsidRDefault="004B368B" w:rsidP="004B368B">
      <w:pPr>
        <w:numPr>
          <w:ilvl w:val="0"/>
          <w:numId w:val="27"/>
        </w:numPr>
        <w:ind w:left="1134"/>
        <w:contextualSpacing/>
        <w:jc w:val="both"/>
        <w:rPr>
          <w:rFonts w:ascii="Arial" w:eastAsia="Calibri" w:hAnsi="Arial" w:cs="Arial"/>
          <w:i/>
          <w:sz w:val="22"/>
          <w:szCs w:val="22"/>
          <w:lang w:val="es-CR"/>
        </w:rPr>
      </w:pPr>
      <w:r w:rsidRPr="004B368B">
        <w:rPr>
          <w:rFonts w:ascii="Arial" w:eastAsia="Calibri" w:hAnsi="Arial" w:cs="Arial"/>
          <w:bCs/>
          <w:i/>
          <w:sz w:val="22"/>
          <w:szCs w:val="22"/>
          <w:lang w:val="es-CR"/>
        </w:rPr>
        <w:t>En el memorando CEDA-190-2016, el Centro de Desarrollo Académico (CEDA) brinda el aval a la Propuesta del Programa de Maestría en Ciencias y Tecnologías para la Sostenibilidad.</w:t>
      </w:r>
    </w:p>
    <w:p w:rsidR="004B368B" w:rsidRPr="004B368B" w:rsidRDefault="004B368B" w:rsidP="004B368B">
      <w:pPr>
        <w:ind w:left="1134"/>
        <w:jc w:val="both"/>
        <w:rPr>
          <w:rFonts w:ascii="Arial" w:eastAsia="Calibri" w:hAnsi="Arial" w:cs="Arial"/>
          <w:i/>
          <w:sz w:val="16"/>
          <w:szCs w:val="16"/>
          <w:lang w:val="es-CR"/>
        </w:rPr>
      </w:pPr>
    </w:p>
    <w:p w:rsidR="004B368B" w:rsidRPr="004B368B" w:rsidRDefault="004B368B" w:rsidP="004B368B">
      <w:pPr>
        <w:numPr>
          <w:ilvl w:val="0"/>
          <w:numId w:val="27"/>
        </w:numPr>
        <w:ind w:left="1134"/>
        <w:contextualSpacing/>
        <w:jc w:val="both"/>
        <w:rPr>
          <w:rFonts w:ascii="Arial" w:eastAsia="Calibri" w:hAnsi="Arial" w:cs="Arial"/>
          <w:i/>
          <w:sz w:val="22"/>
          <w:szCs w:val="22"/>
          <w:lang w:val="es-CR"/>
        </w:rPr>
      </w:pPr>
      <w:r w:rsidRPr="004B368B">
        <w:rPr>
          <w:rFonts w:ascii="Arial" w:eastAsia="Calibri" w:hAnsi="Arial" w:cs="Arial"/>
          <w:i/>
          <w:sz w:val="22"/>
          <w:szCs w:val="22"/>
          <w:lang w:val="es-CR"/>
        </w:rPr>
        <w:t>En el Consejo Extraordinario DP-11-2016, se aprobó el Programa de Maestría en Ciencias Tecnologías para la Sostenibilidad en modalidad académica.</w:t>
      </w:r>
    </w:p>
    <w:p w:rsidR="004B368B" w:rsidRPr="004B368B" w:rsidRDefault="004B368B" w:rsidP="004B368B">
      <w:pPr>
        <w:rPr>
          <w:rFonts w:ascii="Arial" w:eastAsia="Cambria" w:hAnsi="Arial" w:cs="Arial"/>
          <w:i/>
          <w:sz w:val="16"/>
          <w:szCs w:val="16"/>
          <w:lang w:val="es-ES_tradnl" w:eastAsia="en-US"/>
        </w:rPr>
      </w:pPr>
    </w:p>
    <w:p w:rsidR="004B368B" w:rsidRPr="004B368B" w:rsidRDefault="004B368B" w:rsidP="004B368B">
      <w:pPr>
        <w:tabs>
          <w:tab w:val="left" w:pos="9072"/>
        </w:tabs>
        <w:ind w:left="851"/>
        <w:jc w:val="both"/>
        <w:rPr>
          <w:rFonts w:ascii="Arial" w:eastAsia="Cambria" w:hAnsi="Arial" w:cs="Arial"/>
          <w:i/>
          <w:sz w:val="22"/>
          <w:szCs w:val="22"/>
          <w:lang w:val="es-ES_tradnl" w:eastAsia="en-US"/>
        </w:rPr>
      </w:pPr>
      <w:r w:rsidRPr="004B368B">
        <w:rPr>
          <w:rFonts w:ascii="Arial" w:eastAsia="Cambria" w:hAnsi="Arial" w:cs="Arial"/>
          <w:i/>
          <w:sz w:val="22"/>
          <w:szCs w:val="22"/>
          <w:lang w:val="es-ES_tradnl" w:eastAsia="en-US"/>
        </w:rPr>
        <w:t>Se solicita:</w:t>
      </w:r>
    </w:p>
    <w:p w:rsidR="004B368B" w:rsidRPr="004B368B" w:rsidRDefault="004B368B" w:rsidP="004B368B">
      <w:pPr>
        <w:ind w:left="851"/>
        <w:jc w:val="both"/>
        <w:rPr>
          <w:rFonts w:ascii="Arial" w:eastAsia="Cambria" w:hAnsi="Arial" w:cs="Arial"/>
          <w:i/>
          <w:sz w:val="22"/>
          <w:szCs w:val="22"/>
          <w:lang w:val="es-ES_tradnl" w:eastAsia="en-US"/>
        </w:rPr>
      </w:pPr>
      <w:r w:rsidRPr="004B368B">
        <w:rPr>
          <w:rFonts w:ascii="Arial" w:eastAsia="Cambria" w:hAnsi="Arial" w:cs="Arial"/>
          <w:i/>
          <w:sz w:val="22"/>
          <w:szCs w:val="22"/>
          <w:lang w:val="es-ES_tradnl" w:eastAsia="en-US"/>
        </w:rPr>
        <w:t>A la Comisión de Académicos del Consejo Institucional, realizar los trámites del Programa de maestría en Ciencias Tecnologías para la Sostenibilidad en el CI para él envió a CONARE del nuevo plan de maestría para su análisis y aprobación como nuevo oferta académica de posgrado a impartir por el TEC.”</w:t>
      </w:r>
    </w:p>
    <w:p w:rsidR="004B368B" w:rsidRPr="004B368B" w:rsidRDefault="004B368B" w:rsidP="004B368B">
      <w:pPr>
        <w:ind w:left="851"/>
        <w:jc w:val="both"/>
        <w:rPr>
          <w:rFonts w:ascii="Arial" w:eastAsia="Cambria" w:hAnsi="Arial" w:cs="Arial"/>
          <w:i/>
          <w:sz w:val="22"/>
          <w:szCs w:val="22"/>
          <w:lang w:val="es-ES_tradnl" w:eastAsia="en-US"/>
        </w:rPr>
      </w:pPr>
    </w:p>
    <w:p w:rsidR="004B368B" w:rsidRPr="004B368B" w:rsidRDefault="004B368B" w:rsidP="004B368B">
      <w:pPr>
        <w:ind w:left="425" w:right="284"/>
        <w:jc w:val="both"/>
        <w:rPr>
          <w:rFonts w:ascii="Arial" w:hAnsi="Arial" w:cs="Arial"/>
          <w:lang w:val="es-ES_tradnl"/>
        </w:rPr>
      </w:pPr>
    </w:p>
    <w:p w:rsidR="004B368B" w:rsidRPr="004B368B" w:rsidRDefault="004B368B" w:rsidP="004B368B">
      <w:pPr>
        <w:numPr>
          <w:ilvl w:val="0"/>
          <w:numId w:val="23"/>
        </w:numPr>
        <w:ind w:left="425" w:right="284" w:hanging="425"/>
        <w:jc w:val="both"/>
        <w:rPr>
          <w:rFonts w:ascii="Arial" w:hAnsi="Arial" w:cs="Arial"/>
        </w:rPr>
      </w:pPr>
      <w:r w:rsidRPr="004B368B">
        <w:rPr>
          <w:rFonts w:ascii="Arial" w:hAnsi="Arial" w:cs="Arial"/>
        </w:rPr>
        <w:t xml:space="preserve">La Comisión de Asuntos Académicos y Estudiantiles en las reuniones No. 233-2017 y 234-2017, realizadas el 17 y 23 de enero del 2017 respectivamente, conoció los oficios y la propuesta del nuevo Programa de Maestría Académica en Ciencias y Tecnologías para la Sostenibilidad. </w:t>
      </w:r>
    </w:p>
    <w:p w:rsidR="004B368B" w:rsidRPr="004B368B" w:rsidRDefault="004B368B" w:rsidP="004B368B">
      <w:pPr>
        <w:ind w:left="425" w:right="284"/>
        <w:jc w:val="both"/>
        <w:rPr>
          <w:rFonts w:ascii="Arial" w:hAnsi="Arial" w:cs="Arial"/>
        </w:rPr>
      </w:pPr>
    </w:p>
    <w:p w:rsidR="004B368B" w:rsidRPr="004B368B" w:rsidRDefault="004B368B" w:rsidP="004B368B">
      <w:pPr>
        <w:numPr>
          <w:ilvl w:val="0"/>
          <w:numId w:val="23"/>
        </w:numPr>
        <w:ind w:left="425" w:right="284" w:hanging="425"/>
        <w:jc w:val="both"/>
        <w:rPr>
          <w:rFonts w:ascii="Arial" w:hAnsi="Arial" w:cs="Arial"/>
        </w:rPr>
      </w:pPr>
      <w:r w:rsidRPr="004B368B">
        <w:rPr>
          <w:rFonts w:ascii="Arial" w:hAnsi="Arial" w:cs="Arial"/>
        </w:rPr>
        <w:t>La Comisión de Asuntos Académicos y Estudiantiles en la reunión No. 236-2017, celebrada el 7 de febrero del 2017, recibió a la Dra. Carmen Elena Madriz, Directora de la Dirección de Posgrado, y se evacuaron las dudas surgidas, durante la discusión del tema.</w:t>
      </w:r>
    </w:p>
    <w:p w:rsidR="004B368B" w:rsidRPr="004B368B" w:rsidRDefault="004B368B" w:rsidP="004B368B">
      <w:pPr>
        <w:ind w:left="708"/>
        <w:jc w:val="both"/>
        <w:rPr>
          <w:rFonts w:ascii="Arial" w:eastAsia="Calibri" w:hAnsi="Arial" w:cs="Arial"/>
          <w:lang w:val="es-CR"/>
        </w:rPr>
      </w:pPr>
    </w:p>
    <w:p w:rsidR="004B368B" w:rsidRPr="004B368B" w:rsidRDefault="004B368B" w:rsidP="004B368B">
      <w:pPr>
        <w:rPr>
          <w:rFonts w:ascii="Arial" w:eastAsia="Cambria" w:hAnsi="Arial" w:cs="Arial"/>
          <w:b/>
          <w:lang w:val="es-ES_tradnl" w:eastAsia="en-US"/>
        </w:rPr>
      </w:pPr>
      <w:r w:rsidRPr="004B368B">
        <w:rPr>
          <w:rFonts w:ascii="Arial" w:eastAsia="Cambria" w:hAnsi="Arial" w:cs="Arial"/>
          <w:b/>
          <w:lang w:val="es-ES_tradnl" w:eastAsia="en-US"/>
        </w:rPr>
        <w:t>SE</w:t>
      </w:r>
      <w:r>
        <w:rPr>
          <w:rFonts w:ascii="Arial" w:eastAsia="Cambria" w:hAnsi="Arial" w:cs="Arial"/>
          <w:b/>
          <w:lang w:val="es-ES_tradnl" w:eastAsia="en-US"/>
        </w:rPr>
        <w:t xml:space="preserve"> ACUERDA</w:t>
      </w:r>
      <w:r w:rsidRPr="004B368B">
        <w:rPr>
          <w:rFonts w:ascii="Arial" w:eastAsia="Cambria" w:hAnsi="Arial" w:cs="Arial"/>
          <w:b/>
          <w:lang w:val="es-ES_tradnl" w:eastAsia="en-US"/>
        </w:rPr>
        <w:t>:</w:t>
      </w:r>
    </w:p>
    <w:p w:rsidR="004B368B" w:rsidRPr="004B368B" w:rsidRDefault="004B368B" w:rsidP="004B368B">
      <w:pPr>
        <w:rPr>
          <w:rFonts w:ascii="Cambria" w:eastAsia="Cambria" w:hAnsi="Cambria"/>
          <w:b/>
          <w:i/>
          <w:sz w:val="20"/>
          <w:szCs w:val="20"/>
          <w:lang w:val="es-ES_tradnl" w:eastAsia="en-US"/>
        </w:rPr>
      </w:pPr>
    </w:p>
    <w:p w:rsidR="004B368B" w:rsidRPr="004B368B" w:rsidRDefault="004B368B" w:rsidP="004B368B">
      <w:pPr>
        <w:numPr>
          <w:ilvl w:val="0"/>
          <w:numId w:val="22"/>
        </w:numPr>
        <w:ind w:left="426" w:hanging="426"/>
        <w:jc w:val="both"/>
        <w:rPr>
          <w:rFonts w:ascii="Arial" w:eastAsia="Cambria" w:hAnsi="Arial" w:cs="Arial"/>
          <w:lang w:val="es-ES_tradnl" w:eastAsia="en-US"/>
        </w:rPr>
      </w:pPr>
      <w:r w:rsidRPr="004B368B">
        <w:rPr>
          <w:rFonts w:ascii="Arial" w:eastAsia="Cambria" w:hAnsi="Arial" w:cs="Arial"/>
          <w:lang w:val="es-ES_tradnl" w:eastAsia="en-US"/>
        </w:rPr>
        <w:t>Aprobar el Programa de Maestría en Ciencia y Tecnología para la Sostenibilidad, según el documento adjunto.</w:t>
      </w:r>
    </w:p>
    <w:p w:rsidR="004B368B" w:rsidRPr="004B368B" w:rsidRDefault="004B368B" w:rsidP="004B368B">
      <w:pPr>
        <w:ind w:left="426"/>
        <w:jc w:val="both"/>
        <w:rPr>
          <w:rFonts w:ascii="Arial" w:eastAsia="Cambria" w:hAnsi="Arial" w:cs="Arial"/>
          <w:lang w:val="es-ES_tradnl" w:eastAsia="en-US"/>
        </w:rPr>
      </w:pPr>
    </w:p>
    <w:p w:rsidR="004B368B" w:rsidRPr="004B368B" w:rsidRDefault="004B368B" w:rsidP="00B34F20">
      <w:pPr>
        <w:numPr>
          <w:ilvl w:val="0"/>
          <w:numId w:val="22"/>
        </w:numPr>
        <w:ind w:left="426" w:hanging="426"/>
        <w:jc w:val="both"/>
        <w:rPr>
          <w:rFonts w:ascii="Arial" w:eastAsia="Cambria" w:hAnsi="Arial" w:cs="Arial"/>
          <w:lang w:val="es-ES_tradnl" w:eastAsia="en-US"/>
        </w:rPr>
      </w:pPr>
      <w:r w:rsidRPr="004B368B">
        <w:rPr>
          <w:rFonts w:ascii="Arial" w:eastAsia="Cambria" w:hAnsi="Arial" w:cs="Arial"/>
          <w:lang w:val="es-ES_tradnl" w:eastAsia="en-US"/>
        </w:rPr>
        <w:t>Remitir el documento de la Maestría en Ciencia y Tecnología para la Sostenibilidad al Consejo Nacional de Rectores, para su respectivo trámite de aprobación.</w:t>
      </w:r>
    </w:p>
    <w:p w:rsidR="006B4FBB" w:rsidRPr="006D0052" w:rsidRDefault="006B4FBB" w:rsidP="006B4FBB">
      <w:pPr>
        <w:jc w:val="both"/>
        <w:rPr>
          <w:rFonts w:ascii="Arial" w:eastAsia="Calibri" w:hAnsi="Arial" w:cs="Arial"/>
          <w:iCs/>
          <w:lang w:val="es-ES_tradnl"/>
        </w:rPr>
      </w:pPr>
    </w:p>
    <w:p w:rsidR="00CB682F" w:rsidRDefault="007742A1" w:rsidP="00B34F20">
      <w:pPr>
        <w:numPr>
          <w:ilvl w:val="0"/>
          <w:numId w:val="22"/>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EF4A36" w:rsidRDefault="00EF4A36" w:rsidP="00EF4A36">
      <w:pPr>
        <w:jc w:val="both"/>
        <w:rPr>
          <w:rFonts w:ascii="Arial" w:hAnsi="Arial" w:cs="Arial"/>
          <w:b/>
          <w:lang w:val="es-CR"/>
        </w:rPr>
      </w:pPr>
    </w:p>
    <w:p w:rsidR="0026727D" w:rsidRPr="0026727D" w:rsidRDefault="0026727D" w:rsidP="0026727D">
      <w:pPr>
        <w:autoSpaceDE w:val="0"/>
        <w:autoSpaceDN w:val="0"/>
        <w:adjustRightInd w:val="0"/>
        <w:ind w:left="284"/>
        <w:jc w:val="both"/>
        <w:rPr>
          <w:rFonts w:ascii="Arial" w:hAnsi="Arial" w:cs="Arial"/>
          <w:b/>
          <w:lang w:val="es-CR"/>
        </w:rPr>
      </w:pPr>
    </w:p>
    <w:p w:rsidR="004B368B" w:rsidRPr="004B368B" w:rsidRDefault="004B368B" w:rsidP="004B368B">
      <w:pPr>
        <w:jc w:val="both"/>
        <w:rPr>
          <w:rFonts w:ascii="Arial" w:eastAsia="Cambria" w:hAnsi="Arial" w:cs="Arial"/>
          <w:b/>
          <w:sz w:val="22"/>
          <w:szCs w:val="22"/>
          <w:lang w:val="es-ES_tradnl" w:eastAsia="en-US"/>
        </w:rPr>
      </w:pPr>
      <w:r w:rsidRPr="004B368B">
        <w:rPr>
          <w:rFonts w:ascii="Arial" w:eastAsia="Cambria" w:hAnsi="Arial" w:cs="Arial"/>
          <w:b/>
          <w:sz w:val="22"/>
          <w:szCs w:val="22"/>
          <w:lang w:val="es-ES_tradnl" w:eastAsia="en-US"/>
        </w:rPr>
        <w:t>Palabras Clave</w:t>
      </w:r>
      <w:proofErr w:type="gramStart"/>
      <w:r w:rsidRPr="004B368B">
        <w:rPr>
          <w:rFonts w:ascii="Arial" w:eastAsia="Cambria" w:hAnsi="Arial" w:cs="Arial"/>
          <w:b/>
          <w:sz w:val="22"/>
          <w:szCs w:val="22"/>
          <w:lang w:val="es-ES_tradnl" w:eastAsia="en-US"/>
        </w:rPr>
        <w:t xml:space="preserve">:  </w:t>
      </w:r>
      <w:r w:rsidRPr="004B368B">
        <w:rPr>
          <w:rFonts w:ascii="Arial" w:eastAsia="Cambria" w:hAnsi="Arial" w:cs="Arial"/>
          <w:sz w:val="22"/>
          <w:szCs w:val="22"/>
          <w:lang w:val="es-ES_tradnl" w:eastAsia="en-US"/>
        </w:rPr>
        <w:t>Maestría</w:t>
      </w:r>
      <w:proofErr w:type="gramEnd"/>
      <w:r w:rsidRPr="004B368B">
        <w:rPr>
          <w:rFonts w:ascii="Arial" w:eastAsia="Cambria" w:hAnsi="Arial" w:cs="Arial"/>
          <w:sz w:val="22"/>
          <w:szCs w:val="22"/>
          <w:lang w:val="es-ES_tradnl" w:eastAsia="en-US"/>
        </w:rPr>
        <w:t xml:space="preserve"> - Ciencia - Tecnología - Sostenibilidad</w:t>
      </w:r>
      <w:r w:rsidRPr="004B368B">
        <w:rPr>
          <w:rFonts w:ascii="Arial" w:eastAsia="Cambria" w:hAnsi="Arial" w:cs="Arial"/>
          <w:b/>
          <w:sz w:val="22"/>
          <w:szCs w:val="22"/>
          <w:lang w:val="es-ES_tradnl" w:eastAsia="en-US"/>
        </w:rPr>
        <w:tab/>
        <w:t xml:space="preserve"> </w:t>
      </w:r>
    </w:p>
    <w:p w:rsidR="004B368B" w:rsidRPr="004B368B" w:rsidRDefault="004B368B" w:rsidP="004B368B">
      <w:pPr>
        <w:jc w:val="both"/>
        <w:rPr>
          <w:rFonts w:ascii="Arial" w:eastAsia="Cambria" w:hAnsi="Arial" w:cs="Arial"/>
          <w:b/>
          <w:lang w:val="es-ES_tradnl" w:eastAsia="en-US"/>
        </w:rPr>
      </w:pPr>
    </w:p>
    <w:p w:rsidR="00474B22" w:rsidRPr="004B368B" w:rsidRDefault="00474B22" w:rsidP="00474B22">
      <w:pPr>
        <w:spacing w:line="360" w:lineRule="auto"/>
        <w:jc w:val="both"/>
        <w:outlineLvl w:val="0"/>
        <w:rPr>
          <w:rFonts w:ascii="Arial" w:eastAsia="Cambria" w:hAnsi="Arial" w:cs="Arial"/>
          <w:sz w:val="18"/>
          <w:szCs w:val="18"/>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E08C0" w:rsidRDefault="001E08C0" w:rsidP="00143E8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de Administración </w:t>
            </w:r>
          </w:p>
          <w:p w:rsid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6D0052" w:rsidRP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OPI </w:t>
            </w:r>
          </w:p>
        </w:tc>
        <w:tc>
          <w:tcPr>
            <w:tcW w:w="4361" w:type="dxa"/>
          </w:tcPr>
          <w:p w:rsidR="006D0052" w:rsidRPr="00474B22" w:rsidRDefault="006D0052" w:rsidP="006D005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D0052" w:rsidRPr="00474B22" w:rsidRDefault="006D0052" w:rsidP="006D005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D0052" w:rsidRPr="00474B22" w:rsidRDefault="006D0052" w:rsidP="006D005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CB682F" w:rsidP="00143E80">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17" w:rsidRDefault="00FA2B17">
      <w:r>
        <w:separator/>
      </w:r>
    </w:p>
  </w:endnote>
  <w:endnote w:type="continuationSeparator" w:id="0">
    <w:p w:rsidR="00FA2B17" w:rsidRDefault="00FA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17" w:rsidRDefault="00FA2B17">
      <w:r>
        <w:separator/>
      </w:r>
    </w:p>
  </w:footnote>
  <w:footnote w:type="continuationSeparator" w:id="0">
    <w:p w:rsidR="00FA2B17" w:rsidRDefault="00FA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83306">
      <w:rPr>
        <w:rFonts w:ascii="Arial" w:eastAsia="Cambria" w:hAnsi="Arial" w:cs="Arial"/>
        <w:i/>
        <w:sz w:val="18"/>
        <w:szCs w:val="18"/>
        <w:lang w:val="es-ES_tradnl" w:eastAsia="x-none"/>
      </w:rPr>
      <w:t>12</w:t>
    </w:r>
    <w:r w:rsidRPr="00D958BC">
      <w:rPr>
        <w:rFonts w:ascii="Arial" w:eastAsia="Cambria" w:hAnsi="Arial" w:cs="Arial"/>
        <w:i/>
        <w:sz w:val="18"/>
        <w:szCs w:val="18"/>
        <w:lang w:val="es-ES_tradnl" w:eastAsia="x-none"/>
      </w:rPr>
      <w:t xml:space="preserve">, Artículo </w:t>
    </w:r>
    <w:r w:rsidR="004B368B">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del </w:t>
    </w:r>
    <w:r w:rsidR="00683306">
      <w:rPr>
        <w:rFonts w:ascii="Arial" w:eastAsia="Cambria" w:hAnsi="Arial" w:cs="Arial"/>
        <w:i/>
        <w:sz w:val="18"/>
        <w:szCs w:val="18"/>
        <w:lang w:val="es-ES_tradnl" w:eastAsia="x-none"/>
      </w:rPr>
      <w:t>08</w:t>
    </w:r>
    <w:r w:rsidR="006B4FBB">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 </w:t>
    </w:r>
    <w:r w:rsidR="00683306">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11968">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5600C3"/>
    <w:multiLevelType w:val="hybridMultilevel"/>
    <w:tmpl w:val="E45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7"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992E78"/>
    <w:multiLevelType w:val="hybridMultilevel"/>
    <w:tmpl w:val="096CE314"/>
    <w:lvl w:ilvl="0" w:tplc="87181C8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4"/>
  </w:num>
  <w:num w:numId="7">
    <w:abstractNumId w:val="1"/>
  </w:num>
  <w:num w:numId="8">
    <w:abstractNumId w:val="24"/>
  </w:num>
  <w:num w:numId="9">
    <w:abstractNumId w:val="23"/>
  </w:num>
  <w:num w:numId="10">
    <w:abstractNumId w:val="14"/>
  </w:num>
  <w:num w:numId="11">
    <w:abstractNumId w:val="20"/>
  </w:num>
  <w:num w:numId="12">
    <w:abstractNumId w:val="5"/>
  </w:num>
  <w:num w:numId="13">
    <w:abstractNumId w:val="16"/>
  </w:num>
  <w:num w:numId="14">
    <w:abstractNumId w:val="15"/>
  </w:num>
  <w:num w:numId="15">
    <w:abstractNumId w:val="18"/>
  </w:num>
  <w:num w:numId="16">
    <w:abstractNumId w:val="19"/>
  </w:num>
  <w:num w:numId="17">
    <w:abstractNumId w:val="3"/>
  </w:num>
  <w:num w:numId="18">
    <w:abstractNumId w:val="8"/>
  </w:num>
  <w:num w:numId="19">
    <w:abstractNumId w:val="11"/>
  </w:num>
  <w:num w:numId="20">
    <w:abstractNumId w:val="10"/>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6"/>
  </w:num>
  <w:num w:numId="26">
    <w:abstractNumId w:val="12"/>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C3B39"/>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68B"/>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306"/>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8BC"/>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1968"/>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4F20"/>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4A36"/>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2B17"/>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6060-D0BC-4583-B37E-09829B28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48</cp:revision>
  <cp:lastPrinted>2016-11-23T19:32:00Z</cp:lastPrinted>
  <dcterms:created xsi:type="dcterms:W3CDTF">2016-10-05T20:00:00Z</dcterms:created>
  <dcterms:modified xsi:type="dcterms:W3CDTF">2017-03-09T14:11:00Z</dcterms:modified>
</cp:coreProperties>
</file>