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1" w:rsidRDefault="007742A1" w:rsidP="007C024F">
      <w:pPr>
        <w:jc w:val="both"/>
        <w:rPr>
          <w:rFonts w:ascii="Arial" w:eastAsia="Calibri" w:hAnsi="Arial" w:cs="Arial"/>
          <w:b/>
        </w:rPr>
      </w:pPr>
    </w:p>
    <w:p w:rsidR="007742A1" w:rsidRDefault="007742A1" w:rsidP="007C024F">
      <w:pPr>
        <w:jc w:val="both"/>
        <w:rPr>
          <w:rFonts w:ascii="Arial" w:eastAsia="Calibri" w:hAnsi="Arial" w:cs="Arial"/>
          <w:b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521B94">
        <w:rPr>
          <w:rFonts w:ascii="Arial" w:hAnsi="Arial" w:cs="Arial"/>
          <w:b/>
          <w:bCs/>
          <w:iCs/>
          <w:sz w:val="26"/>
          <w:szCs w:val="22"/>
          <w:lang w:val="es-CR"/>
        </w:rPr>
        <w:t>170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7742A1" w:rsidRPr="00D958BC" w:rsidRDefault="007742A1" w:rsidP="00337455">
      <w:pPr>
        <w:tabs>
          <w:tab w:val="left" w:pos="6612"/>
        </w:tabs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515E4C" w:rsidRDefault="001E08C0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</w:p>
          <w:p w:rsidR="00521B94" w:rsidRDefault="00521B94" w:rsidP="00521B94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Villalta, Vicerrector de Administración</w:t>
            </w:r>
          </w:p>
          <w:p w:rsidR="00521B94" w:rsidRDefault="00521B94" w:rsidP="00521B94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Méndez, Vicerrector de Docencia</w:t>
            </w:r>
          </w:p>
          <w:p w:rsidR="00521B94" w:rsidRDefault="00521B94" w:rsidP="00521B94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Dra. Paola Vega, Vicerrectora de VIE</w:t>
            </w:r>
          </w:p>
          <w:p w:rsidR="00521B94" w:rsidRDefault="00521B94" w:rsidP="00521B94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Dra. Claudia Madrizova, Vicerrectora VIESA</w:t>
            </w:r>
          </w:p>
          <w:p w:rsidR="00521B94" w:rsidRDefault="00521B94" w:rsidP="00521B94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Edgardo Vargas, Director Sede Regional San Carlos</w:t>
            </w:r>
          </w:p>
          <w:p w:rsidR="00521B94" w:rsidRDefault="00521B94" w:rsidP="00521B94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Pereira, Director Centro Académico de Alajuela</w:t>
            </w:r>
          </w:p>
          <w:p w:rsidR="00521B94" w:rsidRDefault="00521B94" w:rsidP="00521B94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Calderón, Directora Centro Académico de Limón</w:t>
            </w:r>
          </w:p>
          <w:p w:rsidR="00521B94" w:rsidRDefault="00521B94" w:rsidP="00521B94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Arq. Marlene Ilama, Directora Centro Académico de San José</w:t>
            </w:r>
          </w:p>
          <w:p w:rsidR="00521B94" w:rsidRDefault="00521B94" w:rsidP="00521B94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MAU. Tatiana Fernández, Directora Oficina Planificación Institucional</w:t>
            </w:r>
          </w:p>
          <w:p w:rsidR="00521B94" w:rsidRDefault="00521B94" w:rsidP="00521B94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Licda. Grettel Ortiz, Directora Oficina Asesoría Legal</w:t>
            </w:r>
          </w:p>
          <w:p w:rsidR="00BD5529" w:rsidRDefault="00BD5529" w:rsidP="00521B94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MSc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Karla Garita, Directora Oficina Comunicación y Mercadeo</w:t>
            </w:r>
            <w:bookmarkStart w:id="0" w:name="_GoBack"/>
            <w:bookmarkEnd w:id="0"/>
          </w:p>
          <w:p w:rsidR="005D234B" w:rsidRPr="006B4FBB" w:rsidRDefault="005D234B" w:rsidP="003A4B48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Instituto Tecnológico de Costa Rica 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742A1" w:rsidRPr="00D958BC" w:rsidRDefault="00C12671" w:rsidP="003A4B48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2</w:t>
            </w:r>
            <w:r w:rsidR="003A4B48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9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6442D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marzo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</w:tc>
      </w:tr>
      <w:tr w:rsidR="007742A1" w:rsidRPr="00D958BC" w:rsidTr="007742A1">
        <w:trPr>
          <w:trHeight w:val="289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1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1E08C0" w:rsidRPr="00D55D15" w:rsidRDefault="007742A1" w:rsidP="00C12671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6442DF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3A4B48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521B94">
              <w:rPr>
                <w:rFonts w:ascii="Arial" w:eastAsia="Calibri" w:hAnsi="Arial" w:cs="Arial"/>
                <w:b/>
                <w:sz w:val="22"/>
                <w:szCs w:val="22"/>
              </w:rPr>
              <w:t>10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C12671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="003A4B48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6442DF">
              <w:rPr>
                <w:rFonts w:ascii="Arial" w:eastAsia="Calibri" w:hAnsi="Arial" w:cs="Arial"/>
                <w:b/>
                <w:sz w:val="22"/>
                <w:szCs w:val="22"/>
              </w:rPr>
              <w:t>marzo</w:t>
            </w:r>
            <w:r w:rsidR="00A772E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2017</w:t>
            </w:r>
            <w:r w:rsidR="001E08C0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3A4B48">
              <w:rPr>
                <w:rFonts w:ascii="Arial" w:eastAsia="Calibri" w:hAnsi="Arial" w:cs="Arial"/>
                <w:b/>
                <w:sz w:val="22"/>
                <w:szCs w:val="22"/>
              </w:rPr>
              <w:t>Políticas Específicas 2018</w:t>
            </w:r>
          </w:p>
          <w:p w:rsidR="00C12671" w:rsidRPr="005D234B" w:rsidRDefault="00C12671" w:rsidP="00C12671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highlight w:val="yellow"/>
                <w:lang w:val="es-CR"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521B94" w:rsidRDefault="00521B94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521B94" w:rsidRPr="00521B94" w:rsidRDefault="00521B94" w:rsidP="00521B94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521B94">
        <w:rPr>
          <w:rFonts w:ascii="Arial" w:hAnsi="Arial" w:cs="Arial"/>
          <w:b/>
          <w:lang w:val="es-CR"/>
        </w:rPr>
        <w:t>RESULTANDO QUE:</w:t>
      </w:r>
    </w:p>
    <w:p w:rsidR="00521B94" w:rsidRPr="00521B94" w:rsidRDefault="00521B94" w:rsidP="00521B94">
      <w:pPr>
        <w:ind w:left="1320" w:hanging="1320"/>
        <w:jc w:val="both"/>
        <w:rPr>
          <w:rFonts w:ascii="Arial" w:hAnsi="Arial" w:cs="Arial"/>
          <w:lang w:val="es-CR"/>
        </w:rPr>
      </w:pPr>
    </w:p>
    <w:p w:rsidR="00521B94" w:rsidRPr="00521B94" w:rsidRDefault="00521B94" w:rsidP="00521B94">
      <w:pPr>
        <w:numPr>
          <w:ilvl w:val="0"/>
          <w:numId w:val="19"/>
        </w:numPr>
        <w:ind w:left="360"/>
        <w:jc w:val="both"/>
        <w:rPr>
          <w:rFonts w:ascii="Arial" w:hAnsi="Arial" w:cs="Arial"/>
          <w:lang w:val="es-CR"/>
        </w:rPr>
      </w:pPr>
      <w:r w:rsidRPr="00521B94">
        <w:rPr>
          <w:rFonts w:ascii="Arial" w:hAnsi="Arial" w:cs="Arial"/>
          <w:lang w:val="es-CR"/>
        </w:rPr>
        <w:t>El Estatuto Orgánico del Instituto Tecnológico de Costa Rica, en sus Artículos 94 Bis 1, inciso d., 96, inciso c, 99, 100  y 101, establece lo siguiente:</w:t>
      </w:r>
    </w:p>
    <w:p w:rsidR="00521B94" w:rsidRPr="00521B94" w:rsidRDefault="00521B94" w:rsidP="00521B94">
      <w:pPr>
        <w:ind w:left="360"/>
        <w:jc w:val="both"/>
        <w:rPr>
          <w:rFonts w:ascii="Arial" w:hAnsi="Arial" w:cs="Arial"/>
          <w:lang w:val="es-CR"/>
        </w:rPr>
      </w:pPr>
    </w:p>
    <w:p w:rsidR="00521B94" w:rsidRPr="00521B94" w:rsidRDefault="00521B94" w:rsidP="00521B94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21B94">
        <w:rPr>
          <w:rFonts w:ascii="Arial" w:hAnsi="Arial" w:cs="Arial"/>
          <w:i/>
          <w:sz w:val="20"/>
          <w:szCs w:val="20"/>
          <w:lang w:val="es-CR"/>
        </w:rPr>
        <w:t>“Artículo 94 BIS 1</w:t>
      </w:r>
    </w:p>
    <w:p w:rsidR="00521B94" w:rsidRPr="00521B94" w:rsidRDefault="00521B94" w:rsidP="00521B94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21B94">
        <w:rPr>
          <w:rFonts w:ascii="Arial" w:hAnsi="Arial" w:cs="Arial"/>
          <w:i/>
          <w:sz w:val="20"/>
          <w:szCs w:val="20"/>
          <w:lang w:val="es-CR"/>
        </w:rPr>
        <w:t>…</w:t>
      </w:r>
    </w:p>
    <w:p w:rsidR="00521B94" w:rsidRPr="00521B94" w:rsidRDefault="00521B94" w:rsidP="00521B94">
      <w:pPr>
        <w:ind w:left="990" w:right="689" w:hanging="27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21B94">
        <w:rPr>
          <w:rFonts w:ascii="Arial" w:hAnsi="Arial" w:cs="Arial"/>
          <w:i/>
          <w:sz w:val="20"/>
          <w:szCs w:val="20"/>
          <w:lang w:val="es-CR"/>
        </w:rPr>
        <w:t>d. Políticas específicas: son formuladas por el Rector y aprobadas por el Consejo Institucional.</w:t>
      </w:r>
    </w:p>
    <w:p w:rsidR="00521B94" w:rsidRPr="00521B94" w:rsidRDefault="00521B94" w:rsidP="00521B94">
      <w:pPr>
        <w:ind w:left="990" w:right="689" w:hanging="27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21B94">
        <w:rPr>
          <w:rFonts w:ascii="Arial" w:hAnsi="Arial" w:cs="Arial"/>
          <w:i/>
          <w:sz w:val="20"/>
          <w:szCs w:val="20"/>
          <w:lang w:val="es-CR"/>
        </w:rPr>
        <w:t>…</w:t>
      </w:r>
    </w:p>
    <w:p w:rsidR="00521B94" w:rsidRPr="00521B94" w:rsidRDefault="00521B94" w:rsidP="00521B94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21B94">
        <w:rPr>
          <w:rFonts w:ascii="Arial" w:hAnsi="Arial" w:cs="Arial"/>
          <w:i/>
          <w:sz w:val="20"/>
          <w:szCs w:val="20"/>
          <w:lang w:val="es-CR"/>
        </w:rPr>
        <w:t>Artículo 96</w:t>
      </w:r>
    </w:p>
    <w:p w:rsidR="00521B94" w:rsidRPr="00521B94" w:rsidRDefault="00521B94" w:rsidP="00521B94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21B94">
        <w:rPr>
          <w:rFonts w:ascii="Arial" w:hAnsi="Arial" w:cs="Arial"/>
          <w:i/>
          <w:sz w:val="20"/>
          <w:szCs w:val="20"/>
          <w:lang w:val="es-CR"/>
        </w:rPr>
        <w:t>…</w:t>
      </w:r>
    </w:p>
    <w:p w:rsidR="00521B94" w:rsidRPr="00521B94" w:rsidRDefault="00521B94" w:rsidP="00521B94">
      <w:pPr>
        <w:ind w:left="900" w:right="689" w:hanging="18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21B94">
        <w:rPr>
          <w:rFonts w:ascii="Arial" w:hAnsi="Arial" w:cs="Arial"/>
          <w:i/>
          <w:sz w:val="20"/>
          <w:szCs w:val="20"/>
          <w:lang w:val="es-CR"/>
        </w:rPr>
        <w:t>c. Las Políticas Específicas, deben derivarse de las Políticas Generales y serán aprobadas por el Consejo Institucional, según los procedimientos establecidos en este Estatuto Orgánico y en los reglamentos respectivos. Constituyen la base para la toma de decisiones de los ejecutivos y cuerpos colegiados.”</w:t>
      </w:r>
    </w:p>
    <w:p w:rsidR="00521B94" w:rsidRPr="00521B94" w:rsidRDefault="00521B94" w:rsidP="00521B94">
      <w:pPr>
        <w:ind w:left="900" w:right="689" w:hanging="18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521B94" w:rsidRPr="00521B94" w:rsidRDefault="00521B94" w:rsidP="00521B94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21B94">
        <w:rPr>
          <w:rFonts w:ascii="Arial" w:hAnsi="Arial" w:cs="Arial"/>
          <w:i/>
          <w:sz w:val="20"/>
          <w:szCs w:val="20"/>
          <w:lang w:val="es-CR"/>
        </w:rPr>
        <w:t xml:space="preserve">Artículo 99 </w:t>
      </w:r>
    </w:p>
    <w:p w:rsidR="00521B94" w:rsidRPr="00521B94" w:rsidRDefault="00521B94" w:rsidP="00521B94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21B94">
        <w:rPr>
          <w:rFonts w:ascii="Arial" w:hAnsi="Arial" w:cs="Arial"/>
          <w:i/>
          <w:sz w:val="20"/>
          <w:szCs w:val="20"/>
          <w:lang w:val="es-CR"/>
        </w:rPr>
        <w:t xml:space="preserve">El Consejo Institucional deberá aprobar anualmente las Políticas Específicas que deben usarse para orientar la elaboración y la ejecución de los Planes anuales operativos del Instituto. </w:t>
      </w:r>
    </w:p>
    <w:p w:rsidR="00521B94" w:rsidRDefault="00521B94" w:rsidP="00521B94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21B94">
        <w:rPr>
          <w:rFonts w:ascii="Arial" w:hAnsi="Arial" w:cs="Arial"/>
          <w:i/>
          <w:sz w:val="20"/>
          <w:szCs w:val="20"/>
          <w:lang w:val="es-CR"/>
        </w:rPr>
        <w:t>Igualmente, el Consejo Institucional deberá aprobar los ajustes que corresponda a las políticas específicas cada vez que la Asamblea Institucional Representativa apruebe nuevas políticas generales o modifique las existentes.</w:t>
      </w:r>
    </w:p>
    <w:p w:rsidR="00521B94" w:rsidRDefault="00521B94" w:rsidP="00521B94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521B94" w:rsidRPr="00521B94" w:rsidRDefault="00521B94" w:rsidP="00521B94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521B94" w:rsidRPr="00521B94" w:rsidRDefault="00521B94" w:rsidP="00521B94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521B94" w:rsidRPr="00521B94" w:rsidRDefault="00521B94" w:rsidP="00521B94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21B94">
        <w:rPr>
          <w:rFonts w:ascii="Arial" w:hAnsi="Arial" w:cs="Arial"/>
          <w:i/>
          <w:sz w:val="20"/>
          <w:szCs w:val="20"/>
          <w:lang w:val="es-CR"/>
        </w:rPr>
        <w:t xml:space="preserve">Artículo 100 </w:t>
      </w:r>
    </w:p>
    <w:p w:rsidR="00521B94" w:rsidRPr="00521B94" w:rsidRDefault="00521B94" w:rsidP="00521B94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21B94">
        <w:rPr>
          <w:rFonts w:ascii="Arial" w:hAnsi="Arial" w:cs="Arial"/>
          <w:i/>
          <w:sz w:val="20"/>
          <w:szCs w:val="20"/>
          <w:lang w:val="es-CR"/>
        </w:rPr>
        <w:t>El Rector deberá formular y presentar anualmente al Consejo Institucional para su discusión y aprobación, las políticas específicas que propone utilizar para orientar la elaboración y la ejecución del Plan Anual Operativo y del Presupuesto institucional, en apego a lo dispuesto por el Plan estratégico institucional.</w:t>
      </w:r>
    </w:p>
    <w:p w:rsidR="00521B94" w:rsidRPr="00521B94" w:rsidRDefault="00521B94" w:rsidP="00521B94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521B94" w:rsidRPr="00521B94" w:rsidRDefault="00521B94" w:rsidP="00521B94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21B94">
        <w:rPr>
          <w:rFonts w:ascii="Arial" w:hAnsi="Arial" w:cs="Arial"/>
          <w:i/>
          <w:sz w:val="20"/>
          <w:szCs w:val="20"/>
          <w:lang w:val="es-CR"/>
        </w:rPr>
        <w:t xml:space="preserve">Artículo 101 </w:t>
      </w:r>
    </w:p>
    <w:p w:rsidR="00521B94" w:rsidRPr="00521B94" w:rsidRDefault="00521B94" w:rsidP="00521B94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21B94">
        <w:rPr>
          <w:rFonts w:ascii="Arial" w:hAnsi="Arial" w:cs="Arial"/>
          <w:i/>
          <w:sz w:val="20"/>
          <w:szCs w:val="20"/>
          <w:lang w:val="es-CR"/>
        </w:rPr>
        <w:t>Las propuestas para crear, modificar o eliminar Políticas Específicas, deberán comunicarse a la Comunidad del Instituto por lo menos dos semanas antes de que se inicie su discusión en el Consejo Institucional, para que los interesados envíen las observaciones que estimen pertinentes.</w:t>
      </w:r>
    </w:p>
    <w:p w:rsidR="00521B94" w:rsidRPr="00521B94" w:rsidRDefault="00521B94" w:rsidP="00521B94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521B94" w:rsidRPr="00521B94" w:rsidRDefault="00521B94" w:rsidP="00521B94">
      <w:pPr>
        <w:numPr>
          <w:ilvl w:val="0"/>
          <w:numId w:val="19"/>
        </w:numPr>
        <w:ind w:left="360"/>
        <w:jc w:val="both"/>
        <w:rPr>
          <w:rFonts w:ascii="Arial" w:hAnsi="Arial" w:cs="Arial"/>
          <w:lang w:val="es-CR"/>
        </w:rPr>
      </w:pPr>
      <w:r w:rsidRPr="00521B94">
        <w:rPr>
          <w:rFonts w:ascii="Arial" w:hAnsi="Arial" w:cs="Arial"/>
          <w:lang w:val="es-CR"/>
        </w:rPr>
        <w:t>El Asamblea Institucional Representativa, en la Sesión Ordinaria 88-2015, del 7 de octubre del 2015, aprobó las Políticas Generales 2015-2019.</w:t>
      </w:r>
    </w:p>
    <w:p w:rsidR="00521B94" w:rsidRPr="00521B94" w:rsidRDefault="00521B94" w:rsidP="00521B94">
      <w:pPr>
        <w:ind w:left="708"/>
        <w:rPr>
          <w:rFonts w:ascii="Arial" w:hAnsi="Arial" w:cs="Arial"/>
          <w:lang w:val="es-CR"/>
        </w:rPr>
      </w:pPr>
    </w:p>
    <w:p w:rsidR="00521B94" w:rsidRPr="00521B94" w:rsidRDefault="00521B94" w:rsidP="00521B94">
      <w:pPr>
        <w:numPr>
          <w:ilvl w:val="0"/>
          <w:numId w:val="19"/>
        </w:numPr>
        <w:ind w:left="360"/>
        <w:jc w:val="both"/>
        <w:rPr>
          <w:rFonts w:ascii="Arial" w:hAnsi="Arial" w:cs="Arial"/>
          <w:lang w:val="es-CR"/>
        </w:rPr>
      </w:pPr>
      <w:r w:rsidRPr="00521B94">
        <w:rPr>
          <w:rFonts w:ascii="Arial" w:hAnsi="Arial" w:cs="Arial"/>
          <w:lang w:val="es-CR"/>
        </w:rPr>
        <w:t>El Consejo Institucional en Sesión Ordinaria No. 2985, Artículo 10, del 17 de agosto de 2016, aprobó las Políticas Específicas 2017.</w:t>
      </w:r>
    </w:p>
    <w:p w:rsidR="00521B94" w:rsidRPr="00521B94" w:rsidRDefault="00521B94" w:rsidP="00521B94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521B94" w:rsidRPr="00521B94" w:rsidRDefault="00521B94" w:rsidP="00521B94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521B94">
        <w:rPr>
          <w:rFonts w:ascii="Arial" w:hAnsi="Arial" w:cs="Arial"/>
          <w:b/>
          <w:lang w:val="es-CR"/>
        </w:rPr>
        <w:t>CONSIDERANDO QUE:</w:t>
      </w:r>
    </w:p>
    <w:p w:rsidR="00521B94" w:rsidRPr="00521B94" w:rsidRDefault="00521B94" w:rsidP="00521B94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521B94" w:rsidRPr="00521B94" w:rsidRDefault="00521B94" w:rsidP="00521B94">
      <w:pPr>
        <w:numPr>
          <w:ilvl w:val="0"/>
          <w:numId w:val="34"/>
        </w:numPr>
        <w:jc w:val="both"/>
        <w:rPr>
          <w:rFonts w:ascii="Arial" w:hAnsi="Arial" w:cs="Arial"/>
          <w:lang w:val="es-CR"/>
        </w:rPr>
      </w:pPr>
      <w:r w:rsidRPr="00521B94">
        <w:rPr>
          <w:rFonts w:ascii="Arial" w:hAnsi="Arial" w:cs="Arial"/>
          <w:lang w:val="es-CR"/>
        </w:rPr>
        <w:t>La Secretaría del Consejo Institucional, recibió oficio R-048-2017, con fecha de recibido 26 de enero de 2017, suscrito por el Dr. Julio Calvo, Rector, dirigido al Dr. Bernal Martínez Gutiérrez, Coordinador de la Comisión de Planificación y Administración, en el cual remite la propuesta de las Políticas Específicas 2018.  Dicho documento fue conocido y avalado por el Consejo de Rectoría, en la Sesión Ordinaria No. 02-2017, Artículo 7, del 23 de enero de 2017. (Anexo 1)</w:t>
      </w:r>
    </w:p>
    <w:p w:rsidR="00521B94" w:rsidRPr="00521B94" w:rsidRDefault="00521B94" w:rsidP="00521B94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521B94" w:rsidRPr="00521B94" w:rsidRDefault="00521B94" w:rsidP="00521B94">
      <w:pPr>
        <w:numPr>
          <w:ilvl w:val="0"/>
          <w:numId w:val="34"/>
        </w:numPr>
        <w:jc w:val="both"/>
        <w:rPr>
          <w:rFonts w:ascii="Arial" w:hAnsi="Arial" w:cs="Arial"/>
          <w:lang w:val="es-CR"/>
        </w:rPr>
      </w:pPr>
      <w:bookmarkStart w:id="1" w:name="_Toc272225920"/>
      <w:bookmarkStart w:id="2" w:name="_Toc272238511"/>
      <w:bookmarkStart w:id="3" w:name="_Toc274319984"/>
      <w:r w:rsidRPr="00521B94">
        <w:rPr>
          <w:rFonts w:ascii="Arial" w:hAnsi="Arial" w:cs="Arial"/>
          <w:lang w:val="es-CR"/>
        </w:rPr>
        <w:t>La Comisión de Planificación y Administración en la reunión No. 710-2017, realizada el día 06 de febrero de 2017, revisa la propuesta remitida por la Rectoría.  Producto de ese análisis se consolidan las observaciones como se muestran en el siguiente cuadro y dispone elevar la propuesta al Pleno para someter a consulta a la comunidad institucional, la reformulación de las Políticas Específicas 2018.</w:t>
      </w:r>
    </w:p>
    <w:p w:rsidR="00521B94" w:rsidRPr="00521B94" w:rsidRDefault="00521B94" w:rsidP="00521B94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521B94" w:rsidRPr="00521B94" w:rsidRDefault="00521B94" w:rsidP="00521B94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pPr w:leftFromText="141" w:rightFromText="141" w:vertAnchor="text" w:tblpX="-608" w:tblpY="1"/>
        <w:tblOverlap w:val="never"/>
        <w:tblW w:w="55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3136"/>
        <w:gridCol w:w="3263"/>
      </w:tblGrid>
      <w:tr w:rsidR="00521B94" w:rsidRPr="00521B94" w:rsidTr="00654BD8">
        <w:trPr>
          <w:trHeight w:val="288"/>
          <w:tblHeader/>
        </w:trPr>
        <w:tc>
          <w:tcPr>
            <w:tcW w:w="180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POLÍTICAS GENERALES</w:t>
            </w:r>
          </w:p>
          <w:p w:rsidR="00521B94" w:rsidRPr="00521B94" w:rsidRDefault="00521B94" w:rsidP="00521B94">
            <w:pPr>
              <w:ind w:left="62" w:right="11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 2015-2019</w:t>
            </w:r>
          </w:p>
        </w:tc>
        <w:tc>
          <w:tcPr>
            <w:tcW w:w="15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1B94" w:rsidRPr="00521B94" w:rsidRDefault="00521B94" w:rsidP="00521B94">
            <w:pPr>
              <w:ind w:left="55" w:right="2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  <w:p w:rsidR="00521B94" w:rsidRPr="00521B94" w:rsidRDefault="00521B94" w:rsidP="00521B94">
            <w:pPr>
              <w:ind w:left="55" w:right="2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PROPUESTA DEL CONSEJO DE RECTORIA </w:t>
            </w:r>
          </w:p>
          <w:p w:rsidR="00521B94" w:rsidRPr="00521B94" w:rsidRDefault="00521B94" w:rsidP="00521B94">
            <w:pPr>
              <w:ind w:left="55" w:right="2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POLITICAS ESPECÍFICAS 2018</w:t>
            </w:r>
          </w:p>
          <w:p w:rsidR="00521B94" w:rsidRPr="00521B94" w:rsidRDefault="00521B94" w:rsidP="00521B94">
            <w:pPr>
              <w:ind w:left="55" w:right="2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6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1B94" w:rsidRPr="00521B94" w:rsidRDefault="00521B94" w:rsidP="00521B94">
            <w:pPr>
              <w:ind w:left="55" w:right="2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  <w:p w:rsidR="00521B94" w:rsidRPr="00521B94" w:rsidRDefault="00521B94" w:rsidP="00521B94">
            <w:pPr>
              <w:ind w:left="55" w:right="2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PROPUESTA DE LA COMISION PLANIFICACIÓN </w:t>
            </w:r>
          </w:p>
          <w:p w:rsidR="00521B94" w:rsidRPr="00521B94" w:rsidRDefault="00521B94" w:rsidP="00521B94">
            <w:pPr>
              <w:ind w:left="55" w:right="2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POLITICAS ESPECÍFICAS 2018</w:t>
            </w:r>
          </w:p>
        </w:tc>
      </w:tr>
      <w:tr w:rsidR="00521B94" w:rsidRPr="00521B94" w:rsidTr="00654BD8">
        <w:trPr>
          <w:trHeight w:val="1155"/>
        </w:trPr>
        <w:tc>
          <w:tcPr>
            <w:tcW w:w="18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numPr>
                <w:ilvl w:val="0"/>
                <w:numId w:val="31"/>
              </w:numPr>
              <w:tabs>
                <w:tab w:val="left" w:pos="412"/>
              </w:tabs>
              <w:ind w:left="62" w:right="118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Se desarrollarán programas académicos en las áreas de ciencia y tecnología en concordancia con los ejes de conocimiento estratégicos, los fines y principios institucionales y con lo establecido en la Ley Orgánica del ITCR.</w:t>
            </w: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1.1 Crear y fortalecer programas académicos en las áreas de ciencia y tecnología de acuerdo con las necesidades del país.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1.1 Crear y fortalecer programas académicos en las áreas de ciencia y tecnología de acuerdo con las necesidades del país.</w:t>
            </w:r>
          </w:p>
        </w:tc>
      </w:tr>
      <w:tr w:rsidR="00521B94" w:rsidRPr="00521B94" w:rsidTr="00521B94">
        <w:trPr>
          <w:trHeight w:val="433"/>
        </w:trPr>
        <w:tc>
          <w:tcPr>
            <w:tcW w:w="180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1.2 Se continuará con los procesos de autoevaluación, acreditación y </w:t>
            </w:r>
            <w:proofErr w:type="spellStart"/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reacreditación</w:t>
            </w:r>
            <w:proofErr w:type="spellEnd"/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 de los programas de grado y posgrado.</w:t>
            </w: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1.2 Se continuará con los procesos de autoevaluación, acreditación y </w:t>
            </w:r>
            <w:proofErr w:type="spellStart"/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reacreditación</w:t>
            </w:r>
            <w:proofErr w:type="spellEnd"/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 de los programas de grado y posgrado.</w:t>
            </w:r>
          </w:p>
        </w:tc>
      </w:tr>
      <w:tr w:rsidR="00521B94" w:rsidRPr="00521B94" w:rsidTr="00521B94">
        <w:trPr>
          <w:trHeight w:val="1815"/>
        </w:trPr>
        <w:tc>
          <w:tcPr>
            <w:tcW w:w="18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numPr>
                <w:ilvl w:val="0"/>
                <w:numId w:val="31"/>
              </w:numPr>
              <w:tabs>
                <w:tab w:val="left" w:pos="412"/>
              </w:tabs>
              <w:ind w:left="62" w:right="118" w:firstLine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lastRenderedPageBreak/>
              <w:t xml:space="preserve">Se destinarán los recursos presupuestarios necesarios para la planificación, ejecución, control y evaluación exitosa de los programas académicos, vida estudiantil y apoyo a la academia acorde con los ejes de conocimiento estratégicos.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2.1 Se fortalecerán la atracción y asignación de recursos destinados al mejoramiento del quehacer académico, atención de los servicios estudiantiles y de apoyo a la academia de acuerdo con los ejes de conocimiento estratégicos.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2.1 Se fortalecerán la atracción y asignación de recursos destinados al mejoramiento del quehacer académico, atención de los servicios estudiantiles y de apoyo a la academia de acuerdo con los ejes de conocimiento estratégicos.</w:t>
            </w:r>
          </w:p>
        </w:tc>
      </w:tr>
      <w:tr w:rsidR="00521B94" w:rsidRPr="00521B94" w:rsidTr="00654BD8">
        <w:trPr>
          <w:trHeight w:val="1270"/>
        </w:trPr>
        <w:tc>
          <w:tcPr>
            <w:tcW w:w="18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numPr>
                <w:ilvl w:val="0"/>
                <w:numId w:val="31"/>
              </w:numPr>
              <w:tabs>
                <w:tab w:val="left" w:pos="412"/>
              </w:tabs>
              <w:ind w:left="62" w:right="118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Se estimulará la visión global, la cultura de la comunicación, la sostenibilidad ambiental, los procesos de internacionalización y la consolidación del </w:t>
            </w:r>
            <w:proofErr w:type="spellStart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emprendedurismo</w:t>
            </w:r>
            <w:proofErr w:type="spellEnd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en los programas académicos.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tabs>
                <w:tab w:val="left" w:pos="497"/>
              </w:tabs>
              <w:ind w:left="55" w:right="24"/>
              <w:jc w:val="both"/>
              <w:rPr>
                <w:rFonts w:ascii="Arial" w:hAnsi="Arial" w:cs="Arial"/>
                <w:sz w:val="16"/>
                <w:szCs w:val="16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3.1. Facilitar los procesos de internacionalización del quehacer académico con miras a lograr retroalimentación positiva, la </w:t>
            </w:r>
            <w:proofErr w:type="gramStart"/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proyección </w:t>
            </w: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 global</w:t>
            </w:r>
            <w:proofErr w:type="gramEnd"/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 y  la comunicación de resultados.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tabs>
                <w:tab w:val="left" w:pos="497"/>
              </w:tabs>
              <w:ind w:left="55" w:right="24"/>
              <w:jc w:val="both"/>
              <w:rPr>
                <w:rFonts w:ascii="Arial" w:hAnsi="Arial" w:cs="Arial"/>
                <w:sz w:val="16"/>
                <w:szCs w:val="16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3.1. Facilitar los procesos de internacionalización del quehacer académico con miras a lograr retroalimentación positiva, la </w:t>
            </w:r>
            <w:proofErr w:type="gramStart"/>
            <w:r w:rsidRPr="00521B94">
              <w:rPr>
                <w:rFonts w:ascii="Arial" w:hAnsi="Arial" w:cs="Arial"/>
                <w:color w:val="0070C0"/>
                <w:sz w:val="20"/>
                <w:szCs w:val="20"/>
                <w:lang w:val="es-CR" w:eastAsia="es-CR"/>
              </w:rPr>
              <w:t xml:space="preserve">proyección  </w:t>
            </w: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global</w:t>
            </w:r>
            <w:proofErr w:type="gramEnd"/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 y  la comunicación de resultados.</w:t>
            </w:r>
          </w:p>
        </w:tc>
      </w:tr>
      <w:tr w:rsidR="00521B94" w:rsidRPr="00521B94" w:rsidTr="00654BD8">
        <w:trPr>
          <w:trHeight w:val="835"/>
        </w:trPr>
        <w:tc>
          <w:tcPr>
            <w:tcW w:w="18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16"/>
                <w:szCs w:val="16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3.2 Se estimulará la cultura de emprendimiento e innovación en los procesos de enseñanza-aprendizaje.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16"/>
                <w:szCs w:val="16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3.2 Se estimulará la cultura de emprendimiento e innovación en los procesos de enseñanza-aprendizaje.</w:t>
            </w:r>
          </w:p>
        </w:tc>
      </w:tr>
      <w:tr w:rsidR="00521B94" w:rsidRPr="00521B94" w:rsidTr="00654BD8">
        <w:trPr>
          <w:trHeight w:val="992"/>
        </w:trPr>
        <w:tc>
          <w:tcPr>
            <w:tcW w:w="18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3.3 Crear y </w:t>
            </w:r>
            <w:proofErr w:type="gramStart"/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fortalecer  acciones</w:t>
            </w:r>
            <w:proofErr w:type="gramEnd"/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  de manera sistemática que contribuyan a la generación de conciencia sobre la sostenibilidad ambiental.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3.3 Crear y </w:t>
            </w:r>
            <w:proofErr w:type="gramStart"/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fortalecer  acciones</w:t>
            </w:r>
            <w:proofErr w:type="gramEnd"/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  de manera sistemática que contribuyan a la generación de conciencia sobre la sostenibilidad ambiental.</w:t>
            </w:r>
          </w:p>
        </w:tc>
      </w:tr>
      <w:tr w:rsidR="00521B94" w:rsidRPr="00521B94" w:rsidTr="00654BD8">
        <w:trPr>
          <w:trHeight w:val="794"/>
        </w:trPr>
        <w:tc>
          <w:tcPr>
            <w:tcW w:w="180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numPr>
                <w:ilvl w:val="0"/>
                <w:numId w:val="31"/>
              </w:numPr>
              <w:tabs>
                <w:tab w:val="left" w:pos="412"/>
              </w:tabs>
              <w:ind w:left="62" w:right="118" w:firstLine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Se planificarán y ejecutarán los procesos académicos, vida estudiantil y apoyo a la academia orientados a favorecer el impacto positivo sobre la salud integral y el ambiente.</w:t>
            </w:r>
          </w:p>
          <w:p w:rsidR="00521B94" w:rsidRPr="00521B94" w:rsidRDefault="00521B94" w:rsidP="00521B94">
            <w:pPr>
              <w:tabs>
                <w:tab w:val="left" w:pos="412"/>
              </w:tabs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1B94" w:rsidRPr="00521B94" w:rsidRDefault="00521B94" w:rsidP="00521B94">
            <w:pPr>
              <w:numPr>
                <w:ilvl w:val="1"/>
                <w:numId w:val="32"/>
              </w:numPr>
              <w:ind w:left="55" w:right="24" w:firstLine="0"/>
              <w:jc w:val="both"/>
              <w:rPr>
                <w:rFonts w:ascii="Arial" w:hAnsi="Arial" w:cs="Arial"/>
                <w:sz w:val="22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0"/>
                <w:lang w:val="es-CR" w:eastAsia="es-CR"/>
              </w:rPr>
              <w:t>Se fortalecerá el desarrollo de sistemas de gestión de los procesos institucionales que incluyan los aspectos de ambiente, calidad, seguridad y salud integral.</w:t>
            </w: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162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1B94" w:rsidRPr="00521B94" w:rsidRDefault="00521B94" w:rsidP="00521B94">
            <w:pPr>
              <w:numPr>
                <w:ilvl w:val="1"/>
                <w:numId w:val="32"/>
              </w:numPr>
              <w:ind w:left="55" w:right="24" w:firstLine="0"/>
              <w:jc w:val="both"/>
              <w:rPr>
                <w:rFonts w:ascii="Arial" w:hAnsi="Arial" w:cs="Arial"/>
                <w:sz w:val="22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0"/>
                <w:lang w:val="es-CR" w:eastAsia="es-CR"/>
              </w:rPr>
              <w:t>Se fortalecerá el desarrollo de sistemas de gestión de los procesos institucionales que incluyan los aspectos de ambiente, calidad, seguridad y salud integral.</w:t>
            </w: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</w:p>
        </w:tc>
      </w:tr>
      <w:tr w:rsidR="00521B94" w:rsidRPr="00521B94" w:rsidTr="00654BD8">
        <w:trPr>
          <w:trHeight w:val="1361"/>
        </w:trPr>
        <w:tc>
          <w:tcPr>
            <w:tcW w:w="18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5. 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Se potenciará el desarrollo del profesorado en aspectos </w:t>
            </w:r>
            <w:proofErr w:type="gramStart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pedagógicos  y</w:t>
            </w:r>
            <w:proofErr w:type="gramEnd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propios de su disciplina para alcanzar la excelencia académica desde una perspectiva humanística y multidisciplinaria.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5.1 Se estimulará la formación continua de los profesores en pedagogía por medio de programas de alta pertinencia para los procesos educativos propios de la Institución.</w:t>
            </w: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5.1 Se estimulará la formación continua de los profesores en pedagogía por medio de programas de alta pertinencia para los procesos educativos propios de la Institución.</w:t>
            </w: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</w:p>
        </w:tc>
      </w:tr>
      <w:tr w:rsidR="00521B94" w:rsidRPr="00521B94" w:rsidTr="00654BD8">
        <w:trPr>
          <w:trHeight w:val="173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6.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Se incrementará la formación, capacitación y superación del personal para alcanzar la excelencia desde una perspectiva humanística que contemple el compromiso con la equidad, el ambiente y una cultura de paz.</w:t>
            </w: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6.1 Se fortalecerá el desarrollo </w:t>
            </w:r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>del P</w:t>
            </w: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lan de formación, capacitación y entrenamiento Institucional que contemple las necesidades de las dependencias, </w:t>
            </w:r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que permitan el cumplimiento de los proyectos estratégicos institucionales </w:t>
            </w: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y promueva la excelencia.</w:t>
            </w: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6.1 Se fortalecerá el desarrollo </w:t>
            </w:r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>del P</w:t>
            </w: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lan de formación, capacitación y entrenamiento Institucional que contemple las necesidades de las dependencias, </w:t>
            </w:r>
            <w:r w:rsidRPr="00521B94">
              <w:rPr>
                <w:rFonts w:ascii="Arial" w:hAnsi="Arial" w:cs="Arial"/>
                <w:color w:val="0070C0"/>
                <w:sz w:val="20"/>
                <w:szCs w:val="20"/>
                <w:lang w:val="es-CR" w:eastAsia="es-CR"/>
              </w:rPr>
              <w:t xml:space="preserve">que permitan el cumplimiento de los proyectos estratégicos institucionales </w:t>
            </w: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y promueva la excelencia.</w:t>
            </w: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</w:p>
        </w:tc>
      </w:tr>
      <w:tr w:rsidR="00521B94" w:rsidRPr="00521B94" w:rsidTr="00521B94">
        <w:trPr>
          <w:trHeight w:val="1507"/>
        </w:trPr>
        <w:tc>
          <w:tcPr>
            <w:tcW w:w="180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7.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Se desarrollarán proyectos de investigación, extensión, acción social y desarrollo tecnológico, innovadores y de impacto científico, tecnológico y social conforme a los fines, principios, valores institucionales y a los ejes de conocimiento estratégicos.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7.1 Se mejorarán las capacidades de las distintas instancias institucionales para el desarrollo de los procesos de innovación, investigación, extensión y acción social, según los ejes de conocimiento estratégicos.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7.1 Se mejorarán las capacidades de las distintas instancias institucionales para el desarrollo de los procesos de innovación, investigación, extensión y acción social, según los ejes de conocimiento estratégicos.</w:t>
            </w:r>
          </w:p>
        </w:tc>
      </w:tr>
      <w:tr w:rsidR="00521B94" w:rsidRPr="00521B94" w:rsidTr="00521B94">
        <w:trPr>
          <w:trHeight w:val="1816"/>
        </w:trPr>
        <w:tc>
          <w:tcPr>
            <w:tcW w:w="18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7.2 Se implementarán estrategias de búsqueda de recursos financieros nacionales e internacionales para fortalecer el desarrollo de la investigación, la extensión, la acción social, la innovación y el desarrollo científico y tecnológico.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7.2 Se implementarán estrategias de búsqueda de recursos financieros nacionales e internacionales para fortalecer el desarrollo de la investigación, la extensión, la acción social, la innovación y el desarrollo científico y tecnológico.</w:t>
            </w:r>
          </w:p>
        </w:tc>
      </w:tr>
      <w:tr w:rsidR="00521B94" w:rsidRPr="00521B94" w:rsidTr="00654BD8">
        <w:trPr>
          <w:trHeight w:val="2149"/>
        </w:trPr>
        <w:tc>
          <w:tcPr>
            <w:tcW w:w="180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7.3 La investigación, extensión y la acción social, responderá a los ejes de conocimiento estratégicos y a criterios de un modelo de excelencia, internacionalización, impacto y pertinencia, para contribuir al desarrollo y el mejoramiento de la calidad de vida.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7.3 La investigación, extensión y la acción social, responderá a los ejes de conocimiento estratégicos y a criterios de un modelo de excelencia, internacionalización, impacto y pertinencia, para contribuir al desarrollo y el mejoramiento de la calidad de vida.</w:t>
            </w:r>
          </w:p>
        </w:tc>
      </w:tr>
      <w:tr w:rsidR="00521B94" w:rsidRPr="00521B94" w:rsidTr="00654BD8">
        <w:trPr>
          <w:trHeight w:val="1398"/>
        </w:trPr>
        <w:tc>
          <w:tcPr>
            <w:tcW w:w="180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8. 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Se desarrollarán estrategias que contribuyan a mejorar el acceso, la vida estudiantil, la formación integral y el éxito académico para los estudiantes del ITCR, procurando la equidad de condiciones para las poblaciones vulnerables y de bajo nivel socioeconómico.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8.1 Se fortalecerán programas y proyectos que promuevan la formación integral, el bienestar estudiantil, la permanencia óptima y la graduación exitosa de los estudiantes. 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 xml:space="preserve">8.1 Se fortalecerán programas y proyectos que promuevan la formación integral, el bienestar estudiantil, la permanencia óptima y la graduación exitosa de los estudiantes. </w:t>
            </w:r>
          </w:p>
        </w:tc>
      </w:tr>
      <w:tr w:rsidR="00521B94" w:rsidRPr="00521B94" w:rsidTr="00654BD8">
        <w:trPr>
          <w:trHeight w:val="1077"/>
        </w:trPr>
        <w:tc>
          <w:tcPr>
            <w:tcW w:w="180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8.2. Se desarrollarán acciones en la comunidad estudiantil</w:t>
            </w:r>
            <w:proofErr w:type="gramStart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,  para</w:t>
            </w:r>
            <w:proofErr w:type="gramEnd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lograr una vida estudiantil integral e impulsar la equidad, igualdad de oportunidades, libertad de expresión, diversidad, respeto a la cultura y al origen étnico, de manera que se logre articular y atender las necesidades del estudiante en su contexto socio cultural.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8.2. Se desarrollarán acciones en la comunidad estudiantil</w:t>
            </w:r>
            <w:proofErr w:type="gramStart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,  para</w:t>
            </w:r>
            <w:proofErr w:type="gramEnd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lograr una vida estudiantil integral e impulsar la equidad, igualdad de oportunidades, libertad de expresión, diversidad, respeto a la cultura y al origen étnico, de manera que se logre articular y atender las necesidades del estudiante en su contexto socio cultural.</w:t>
            </w:r>
          </w:p>
        </w:tc>
      </w:tr>
      <w:tr w:rsidR="00521B94" w:rsidRPr="00521B94" w:rsidTr="00654BD8">
        <w:trPr>
          <w:trHeight w:val="1475"/>
        </w:trPr>
        <w:tc>
          <w:tcPr>
            <w:tcW w:w="180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8.3 Se fortalecerán los programas, proyectos y utilización de tecnologías digitales que tiendan a incrementar el éxito académico.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8.3 Se fortalecerán los programas, proyectos y utilización de tecnologías digitales que tiendan a incrementar el éxito académico.</w:t>
            </w:r>
          </w:p>
        </w:tc>
      </w:tr>
      <w:tr w:rsidR="00521B94" w:rsidRPr="00521B94" w:rsidTr="00654BD8">
        <w:trPr>
          <w:trHeight w:val="954"/>
        </w:trPr>
        <w:tc>
          <w:tcPr>
            <w:tcW w:w="180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9. 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Se promoverán los procesos de investigación, extensión y de desarrollo tecnológico integrados a la enseñanza aprendizaje en los niveles de grado y posgrado. </w:t>
            </w: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9.1 Se impulsará la integración de la docencia, la investigación, la extensión y la acción social, con el fin de enriquecer la formación de los estudiantes.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9.1 Se impulsará la integración de la docencia, la investigación, la extensión y la acción social, con el fin de enriquecer la formación de los estudiantes.</w:t>
            </w:r>
          </w:p>
        </w:tc>
      </w:tr>
      <w:tr w:rsidR="00521B94" w:rsidRPr="00521B94" w:rsidTr="00654BD8">
        <w:trPr>
          <w:trHeight w:val="954"/>
        </w:trPr>
        <w:tc>
          <w:tcPr>
            <w:tcW w:w="180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9.2 Se estimulará la participación estudiantil en los proyectos y actividades de investigación, innovación y extensión.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9.2 Se estimulará la participación estudiantil en los proyectos y actividades de investigación, innovación y extensión.</w:t>
            </w:r>
          </w:p>
        </w:tc>
      </w:tr>
      <w:tr w:rsidR="00521B94" w:rsidRPr="00521B94" w:rsidTr="00654BD8">
        <w:trPr>
          <w:trHeight w:val="964"/>
        </w:trPr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10.</w:t>
            </w:r>
            <w:r w:rsidRPr="00521B94">
              <w:rPr>
                <w:rFonts w:ascii="Arial" w:hAnsi="Arial" w:cs="Arial"/>
                <w:bCs/>
                <w:color w:val="000000"/>
                <w:sz w:val="20"/>
                <w:szCs w:val="20"/>
                <w:lang w:val="es-CR" w:eastAsia="es-CR"/>
              </w:rPr>
              <w:tab/>
              <w:t>Se mantendrá la vinculación permanente con los graduados con el propósito de retroalimentar el quehacer institucional y de fomentar su incorporación exitosa en el mercado laboral.</w:t>
            </w: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lastRenderedPageBreak/>
              <w:t xml:space="preserve">10.1 Se impulsarán actividades de vinculación con los graduados, </w:t>
            </w:r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>con participación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de las Escuelas </w:t>
            </w:r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>y la Federación de Profesionales Egresados del TEC (FEPETEC),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con el propósito de retroalimentar el quehacer institucional.</w:t>
            </w: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10.1 </w:t>
            </w:r>
            <w:r w:rsidRPr="00521B94">
              <w:rPr>
                <w:rFonts w:ascii="Arial" w:hAnsi="Arial" w:cs="Arial"/>
                <w:color w:val="0070C0"/>
                <w:sz w:val="20"/>
                <w:szCs w:val="20"/>
                <w:lang w:val="es-CR" w:eastAsia="es-CR"/>
              </w:rPr>
              <w:t xml:space="preserve">Se impulsarán actividades de vinculación con los graduados u </w:t>
            </w:r>
            <w:proofErr w:type="gramStart"/>
            <w:r w:rsidRPr="00521B94">
              <w:rPr>
                <w:rFonts w:ascii="Arial" w:hAnsi="Arial" w:cs="Arial"/>
                <w:color w:val="0070C0"/>
                <w:sz w:val="20"/>
                <w:szCs w:val="20"/>
                <w:lang w:val="es-CR" w:eastAsia="es-CR"/>
              </w:rPr>
              <w:t>organizaciones  que</w:t>
            </w:r>
            <w:proofErr w:type="gramEnd"/>
            <w:r w:rsidRPr="00521B94">
              <w:rPr>
                <w:rFonts w:ascii="Arial" w:hAnsi="Arial" w:cs="Arial"/>
                <w:color w:val="0070C0"/>
                <w:sz w:val="20"/>
                <w:szCs w:val="20"/>
                <w:lang w:val="es-CR" w:eastAsia="es-CR"/>
              </w:rPr>
              <w:t xml:space="preserve"> los representen, en conjunto con las Escuelas con el propósito de retroalimentar el quehacer institucional.</w:t>
            </w:r>
          </w:p>
        </w:tc>
      </w:tr>
      <w:tr w:rsidR="00521B94" w:rsidRPr="00521B94" w:rsidTr="00654BD8">
        <w:trPr>
          <w:trHeight w:val="1509"/>
        </w:trPr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10.2 Se fortalecerán los programas de educación continua para los graduados, desde las escuelas, con el fin de mejorar su perfil profesional.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10.2 Se fortalecerán los programas de educación continua para los graduados, desde las escuelas, con el fin de mejorar su perfil profesional.</w:t>
            </w:r>
          </w:p>
        </w:tc>
      </w:tr>
      <w:tr w:rsidR="00521B94" w:rsidRPr="00521B94" w:rsidTr="00654BD8">
        <w:trPr>
          <w:trHeight w:val="300"/>
        </w:trPr>
        <w:tc>
          <w:tcPr>
            <w:tcW w:w="18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Cs/>
                <w:color w:val="000000"/>
                <w:sz w:val="20"/>
                <w:szCs w:val="20"/>
                <w:lang w:val="es-CR" w:eastAsia="es-CR"/>
              </w:rPr>
              <w:lastRenderedPageBreak/>
              <w:t>11.  Se desarrollará la prestación de servicios a terceros como una forma de vinculación con la sociedad y fuente adicional de financiamiento, atendiendo a los fines y principios de la Institución, sin que vaya en detrimento de la academia ni el ambiente y no represente una competencia desleal a terceros.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11.1 Se fomentará la prestación de servicios con carácter remunerado a nivel nacional e internacional atendiendo criterios de calidad, con un alto contenido científico-tecnológico y social concordante con los fines y principios institucionales.</w:t>
            </w: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11.1 Se fomentará la prestación de servicios con carácter remunerado a nivel nacional e internacional atendiendo criterios de calidad, con un alto contenido científico-tecnológico y social concordante con los fines y principios institucionales.</w:t>
            </w: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521B94" w:rsidRPr="00521B94" w:rsidTr="00654BD8">
        <w:trPr>
          <w:trHeight w:val="1622"/>
        </w:trPr>
        <w:tc>
          <w:tcPr>
            <w:tcW w:w="18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 12.  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Se fortalecerá la asignación de recursos para la extensión y acción social de manera que se logre una mayor proyección institucional en el ámbito sociocultural, productivo y organizativo.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12.1 Se fortalecerá la extensión y la acción social en los programas, proyectos y actividades institucionales, fundamentados en los ejes de conocimiento estratégicos, que </w:t>
            </w: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respondan a las necesidades de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los diferentes sectores.</w:t>
            </w: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6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12.1 Se fortalecerá la extensión y la acción social en los programas, proyectos y actividades institucionales, fundamentados en los ejes de conocimiento estratégicos, que </w:t>
            </w:r>
            <w:r w:rsidRPr="00521B94">
              <w:rPr>
                <w:rFonts w:ascii="Arial" w:hAnsi="Arial" w:cs="Arial"/>
                <w:sz w:val="20"/>
                <w:szCs w:val="20"/>
                <w:lang w:val="es-CR" w:eastAsia="es-CR"/>
              </w:rPr>
              <w:t>respondan a las necesidades de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los diferentes sectores.</w:t>
            </w:r>
          </w:p>
        </w:tc>
      </w:tr>
      <w:tr w:rsidR="00521B94" w:rsidRPr="00521B94" w:rsidTr="00654BD8">
        <w:trPr>
          <w:trHeight w:val="1596"/>
        </w:trPr>
        <w:tc>
          <w:tcPr>
            <w:tcW w:w="1809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13.  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Se fortalecerá el trabajo </w:t>
            </w:r>
            <w:proofErr w:type="gramStart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conjunto  en</w:t>
            </w:r>
            <w:proofErr w:type="gramEnd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áreas estratégicas con las universidades que conforman el Sistema de  Educación Superior Universitario Público.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13.1 Impulsar el desarrollo de actividades, proyectos y programas conjuntos entre las universidades que conforman el Sistema de Educación Superior Universitario Público.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13.1 Impulsar el desarrollo de actividades, proyectos y programas conjuntos entre las universidades que conforman el Sistema de Educación Superior Universitario Público.</w:t>
            </w:r>
          </w:p>
        </w:tc>
      </w:tr>
      <w:tr w:rsidR="00521B94" w:rsidRPr="00521B94" w:rsidTr="00654BD8">
        <w:trPr>
          <w:trHeight w:val="516"/>
        </w:trPr>
        <w:tc>
          <w:tcPr>
            <w:tcW w:w="180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14.  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Se incrementará la formación, la capacitación y la superación de la comunidad institucional en la formulación, el desarrollo sostenible y la administración de proyectos, actividades de acción social y prestación de servicios.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14.1 Se impulsarán programas de capacitación y formación de la comunidad institucional que contribuyan al logro de los objetivos institucionales en el desarrollo de</w:t>
            </w:r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programas</w:t>
            </w:r>
            <w:proofErr w:type="gramStart"/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>,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proyectos</w:t>
            </w:r>
            <w:proofErr w:type="gramEnd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,</w:t>
            </w:r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actividades de generación y atracción de recursos.</w:t>
            </w:r>
          </w:p>
        </w:tc>
        <w:tc>
          <w:tcPr>
            <w:tcW w:w="162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14.1 Se impulsarán programas de capacitación y formación de la comunidad institucional que contribuyan al logro de los objetivos institucionales en el desarrollo de</w:t>
            </w:r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</w:t>
            </w:r>
            <w:r w:rsidRPr="00521B94">
              <w:rPr>
                <w:rFonts w:ascii="Arial" w:hAnsi="Arial" w:cs="Arial"/>
                <w:color w:val="0070C0"/>
                <w:sz w:val="20"/>
                <w:szCs w:val="20"/>
                <w:lang w:val="es-CR" w:eastAsia="es-CR"/>
              </w:rPr>
              <w:t>programas</w:t>
            </w:r>
            <w:proofErr w:type="gramStart"/>
            <w:r w:rsidRPr="00521B94">
              <w:rPr>
                <w:rFonts w:ascii="Arial" w:hAnsi="Arial" w:cs="Arial"/>
                <w:color w:val="0070C0"/>
                <w:sz w:val="20"/>
                <w:szCs w:val="20"/>
                <w:lang w:val="es-CR" w:eastAsia="es-CR"/>
              </w:rPr>
              <w:t>,  proyectos</w:t>
            </w:r>
            <w:proofErr w:type="gramEnd"/>
            <w:r w:rsidRPr="00521B94">
              <w:rPr>
                <w:rFonts w:ascii="Arial" w:hAnsi="Arial" w:cs="Arial"/>
                <w:color w:val="0070C0"/>
                <w:sz w:val="20"/>
                <w:szCs w:val="20"/>
                <w:lang w:val="es-CR" w:eastAsia="es-CR"/>
              </w:rPr>
              <w:t>, actividades de generación y atracción de recursos.</w:t>
            </w:r>
          </w:p>
        </w:tc>
      </w:tr>
      <w:tr w:rsidR="00521B94" w:rsidRPr="00521B94" w:rsidTr="00654BD8">
        <w:trPr>
          <w:trHeight w:val="1117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15. Los procesos institucionales se desarrollarán con excelencia, sustentados en la evaluación continua que involucre a los usuarios directos.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15.1 Se desarrollarán acciones que permitan evaluar los procesos institucionales para el mejoramiento continuo mediante </w:t>
            </w:r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>un enfoque de excelencia en la gestión, basado en indicadores de desempeño.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15.1 Se desarrollarán acciones que permitan evaluar los procesos institucionales para el mejoramiento continuo </w:t>
            </w:r>
            <w:proofErr w:type="gramStart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mediante  la</w:t>
            </w:r>
            <w:proofErr w:type="gramEnd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utilización de </w:t>
            </w:r>
            <w:r w:rsidRPr="00521B94">
              <w:rPr>
                <w:rFonts w:ascii="Arial" w:hAnsi="Arial" w:cs="Arial"/>
                <w:color w:val="0070C0"/>
                <w:sz w:val="20"/>
                <w:szCs w:val="20"/>
                <w:lang w:val="es-CR" w:eastAsia="es-CR"/>
              </w:rPr>
              <w:t xml:space="preserve">modelos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de excelencia</w:t>
            </w:r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>.</w:t>
            </w:r>
          </w:p>
        </w:tc>
      </w:tr>
      <w:tr w:rsidR="00521B94" w:rsidRPr="00521B94" w:rsidTr="00521B94">
        <w:trPr>
          <w:trHeight w:val="988"/>
        </w:trPr>
        <w:tc>
          <w:tcPr>
            <w:tcW w:w="1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15.2 Se promoverá la utilización de tecnologías digitales en el desarrollo de los procesos institucionales para lograr una mayor eficiencia</w:t>
            </w:r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>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15.2 Se promoverá la utilización de tecnologías digitales en el desarrollo de los procesos institucionales para lograr una mayor eficiencia</w:t>
            </w:r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>.</w:t>
            </w:r>
          </w:p>
        </w:tc>
      </w:tr>
      <w:tr w:rsidR="00521B94" w:rsidRPr="00521B94" w:rsidTr="00521B94">
        <w:trPr>
          <w:trHeight w:val="1110"/>
        </w:trPr>
        <w:tc>
          <w:tcPr>
            <w:tcW w:w="180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16.  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Se ejecutarán los recursos asignados a la Institución de manera oportuna, eficiente,   racional y transparente y se promoverá la consecución de fondos nacionales e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lastRenderedPageBreak/>
              <w:t xml:space="preserve">internacionales que favorezcan el desarrollo y el impacto del </w:t>
            </w:r>
            <w:proofErr w:type="gramStart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quehacer  de</w:t>
            </w:r>
            <w:proofErr w:type="gramEnd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la Institución en la sociedad.</w:t>
            </w: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lastRenderedPageBreak/>
              <w:t xml:space="preserve">16.1 Se implementarán acciones concretas para asegurar una ejecución eficiente, racional y transparente de los recursos asignados a la Institución, así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lastRenderedPageBreak/>
              <w:t>como la rendición de cuentas a la sociedad.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lastRenderedPageBreak/>
              <w:t xml:space="preserve">16.1 Se implementarán acciones concretas para asegurar una ejecución eficiente, racional y transparente de los recursos asignados a la Institución, así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lastRenderedPageBreak/>
              <w:t>como la rendición de cuentas a la sociedad.</w:t>
            </w:r>
          </w:p>
        </w:tc>
      </w:tr>
      <w:tr w:rsidR="00521B94" w:rsidRPr="00521B94" w:rsidTr="00654BD8">
        <w:trPr>
          <w:trHeight w:val="1789"/>
        </w:trPr>
        <w:tc>
          <w:tcPr>
            <w:tcW w:w="18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16.2 Se promoverá la consecución de nuevos recursos en coordinación con las instancias institucionales y actores sociales externos, que </w:t>
            </w:r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permitan nueva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oferta de programas académicos, vida estudiantil y apoyo a la academia.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16.2 Se promoverá la consecución de nuevos recursos en coordinación con las instancias institucionales y actores sociales externos, que </w:t>
            </w:r>
            <w:r w:rsidRPr="00521B94">
              <w:rPr>
                <w:rFonts w:ascii="Arial" w:hAnsi="Arial" w:cs="Arial"/>
                <w:color w:val="0070C0"/>
                <w:sz w:val="20"/>
                <w:szCs w:val="20"/>
                <w:lang w:val="es-CR" w:eastAsia="es-CR"/>
              </w:rPr>
              <w:t xml:space="preserve">permitan incrementar y </w:t>
            </w:r>
            <w:proofErr w:type="gramStart"/>
            <w:r w:rsidRPr="00521B94">
              <w:rPr>
                <w:rFonts w:ascii="Arial" w:hAnsi="Arial" w:cs="Arial"/>
                <w:color w:val="0070C0"/>
                <w:sz w:val="20"/>
                <w:szCs w:val="20"/>
                <w:lang w:val="es-CR" w:eastAsia="es-CR"/>
              </w:rPr>
              <w:t>mejorar  la</w:t>
            </w:r>
            <w:proofErr w:type="gramEnd"/>
            <w:r w:rsidRPr="00521B94">
              <w:rPr>
                <w:rFonts w:ascii="Arial" w:hAnsi="Arial" w:cs="Arial"/>
                <w:color w:val="0070C0"/>
                <w:sz w:val="20"/>
                <w:szCs w:val="20"/>
                <w:lang w:val="es-CR" w:eastAsia="es-CR"/>
              </w:rPr>
              <w:t xml:space="preserve">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oferta de programas académicos, vida estudiantil y apoyo a la academia.</w:t>
            </w:r>
          </w:p>
        </w:tc>
      </w:tr>
      <w:tr w:rsidR="00521B94" w:rsidRPr="00521B94" w:rsidTr="00654BD8">
        <w:trPr>
          <w:trHeight w:val="1362"/>
        </w:trPr>
        <w:tc>
          <w:tcPr>
            <w:tcW w:w="180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17.  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Se desarrollarán acciones en  distintas regiones para ampliar el acceso a la educación superior y contribuir con el desarrollo integral de la población, con atención a  necesidades de grupos vulnerables, en condición de desventaja social</w:t>
            </w: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17.1 Se fortalecerán las acciones para brindar mayor acceso a la educación superior en distintas regiones del país, así como a población de grupos vulnerables </w:t>
            </w:r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o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en condición de desventaja social.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17.1 Se fortalecerán las acciones para brindar mayor acceso a la educación superior en distintas regiones del país, así como a población de grupos vulnerables </w:t>
            </w:r>
            <w:r w:rsidRPr="00521B94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o </w:t>
            </w: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en condición de desventaja social.</w:t>
            </w:r>
          </w:p>
        </w:tc>
      </w:tr>
      <w:tr w:rsidR="00521B94" w:rsidRPr="00521B94" w:rsidTr="00654BD8">
        <w:trPr>
          <w:trHeight w:val="1438"/>
        </w:trPr>
        <w:tc>
          <w:tcPr>
            <w:tcW w:w="180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17.2. Articulación de esfuerzos institucionales e </w:t>
            </w:r>
            <w:proofErr w:type="gramStart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interinstitucionales  con</w:t>
            </w:r>
            <w:proofErr w:type="gramEnd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las estrategias de desarrollo local de esos territorios, para lograr  un mayor  acceso a la educación superior de los sectores vulnerables</w:t>
            </w:r>
            <w:r w:rsidRPr="00521B94">
              <w:rPr>
                <w:color w:val="000000"/>
                <w:sz w:val="20"/>
                <w:szCs w:val="20"/>
                <w:lang w:val="es-CR" w:eastAsia="es-CR"/>
              </w:rPr>
              <w:t>.</w:t>
            </w:r>
          </w:p>
        </w:tc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17.2. Articulación de esfuerzos institucionales e interinstitucionales con las estrategias de desarrollo local de esos territorios, para </w:t>
            </w:r>
            <w:proofErr w:type="gramStart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lograr  un</w:t>
            </w:r>
            <w:proofErr w:type="gramEnd"/>
            <w:r w:rsidRPr="00521B94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mayor  acceso a la educación superior de los sectores vulnerables</w:t>
            </w:r>
            <w:r w:rsidRPr="00521B94">
              <w:rPr>
                <w:color w:val="000000"/>
                <w:sz w:val="20"/>
                <w:szCs w:val="20"/>
                <w:lang w:val="es-CR" w:eastAsia="es-CR"/>
              </w:rPr>
              <w:t>.</w:t>
            </w:r>
          </w:p>
        </w:tc>
      </w:tr>
    </w:tbl>
    <w:p w:rsidR="00521B94" w:rsidRPr="00521B94" w:rsidRDefault="00521B94" w:rsidP="00521B94">
      <w:pPr>
        <w:ind w:left="360"/>
        <w:jc w:val="both"/>
        <w:rPr>
          <w:rFonts w:ascii="Arial" w:hAnsi="Arial" w:cs="Arial"/>
          <w:sz w:val="8"/>
          <w:szCs w:val="8"/>
          <w:lang w:val="es-CR"/>
        </w:rPr>
      </w:pPr>
    </w:p>
    <w:p w:rsidR="00521B94" w:rsidRPr="00521B94" w:rsidRDefault="00521B94" w:rsidP="00521B94">
      <w:pPr>
        <w:ind w:left="360"/>
        <w:jc w:val="both"/>
        <w:rPr>
          <w:rFonts w:ascii="Arial" w:hAnsi="Arial" w:cs="Arial"/>
          <w:sz w:val="8"/>
          <w:szCs w:val="8"/>
          <w:lang w:val="es-CR"/>
        </w:rPr>
      </w:pPr>
    </w:p>
    <w:p w:rsidR="00521B94" w:rsidRPr="00521B94" w:rsidRDefault="00521B94" w:rsidP="00521B94">
      <w:pPr>
        <w:ind w:left="360"/>
        <w:jc w:val="both"/>
        <w:rPr>
          <w:rFonts w:ascii="Arial" w:hAnsi="Arial" w:cs="Arial"/>
          <w:sz w:val="8"/>
          <w:szCs w:val="8"/>
          <w:lang w:val="es-CR"/>
        </w:rPr>
      </w:pPr>
    </w:p>
    <w:p w:rsidR="00521B94" w:rsidRPr="00521B94" w:rsidRDefault="00521B94" w:rsidP="00521B94">
      <w:pPr>
        <w:numPr>
          <w:ilvl w:val="0"/>
          <w:numId w:val="34"/>
        </w:numPr>
        <w:ind w:left="142"/>
        <w:jc w:val="both"/>
        <w:rPr>
          <w:rFonts w:ascii="Arial" w:hAnsi="Arial" w:cs="Arial"/>
          <w:lang w:val="es-CR"/>
        </w:rPr>
      </w:pPr>
      <w:r w:rsidRPr="00521B94">
        <w:rPr>
          <w:rFonts w:ascii="Arial" w:hAnsi="Arial" w:cs="Arial"/>
          <w:lang w:val="es-CR"/>
        </w:rPr>
        <w:t>En la Sesión No. 3007, del Consejo Institucional realizada el 13 de febrero de 2017, se presenta la Propuesta “Consulta a la comunidad institucional “Políticas Específicas 2018”, a cargo de la Comisión de Planificación y Administración, las mismas son discutidas ampliamente; sin embargo, ante la imposibilidad del pleno de no poder tomar acuerdos en firme por la ausencia de uno de sus miembros, se dispuso solicitarle a la presidencia del Consejo Institucional que remitiera la consulta para no atrasar el proceso que es requerido en el artículo 101 del Estatuto Orgánico y que presentara las respuestas a la Comisión de Planificación y Administración para el análisis respectivo.</w:t>
      </w:r>
    </w:p>
    <w:p w:rsidR="00521B94" w:rsidRPr="00521B94" w:rsidRDefault="00521B94" w:rsidP="00521B94">
      <w:pPr>
        <w:jc w:val="both"/>
        <w:rPr>
          <w:rFonts w:ascii="Arial" w:hAnsi="Arial" w:cs="Arial"/>
          <w:sz w:val="16"/>
          <w:szCs w:val="16"/>
          <w:lang w:val="es-CR"/>
        </w:rPr>
      </w:pPr>
    </w:p>
    <w:p w:rsidR="00521B94" w:rsidRPr="00521B94" w:rsidRDefault="00521B94" w:rsidP="00521B94">
      <w:pPr>
        <w:numPr>
          <w:ilvl w:val="0"/>
          <w:numId w:val="34"/>
        </w:numPr>
        <w:ind w:left="142"/>
        <w:jc w:val="both"/>
        <w:rPr>
          <w:rFonts w:ascii="Arial" w:hAnsi="Arial" w:cs="Arial"/>
          <w:lang w:val="es-CR"/>
        </w:rPr>
      </w:pPr>
      <w:r w:rsidRPr="00521B94">
        <w:rPr>
          <w:rFonts w:ascii="Arial" w:hAnsi="Arial" w:cs="Arial"/>
          <w:lang w:val="es-CR"/>
        </w:rPr>
        <w:t xml:space="preserve"> La Secretaría del Consejo Institucional, recibió copia oficio R-147-2017, con fecha de recibido 14 de febrero de 2017, suscrito por el Ing. Luis Paulino Méndez, Rector </w:t>
      </w:r>
      <w:proofErr w:type="spellStart"/>
      <w:r w:rsidRPr="00521B94">
        <w:rPr>
          <w:rFonts w:ascii="Arial" w:hAnsi="Arial" w:cs="Arial"/>
          <w:lang w:val="es-CR"/>
        </w:rPr>
        <w:t>ai</w:t>
      </w:r>
      <w:proofErr w:type="spellEnd"/>
      <w:r w:rsidRPr="00521B94">
        <w:rPr>
          <w:rFonts w:ascii="Arial" w:hAnsi="Arial" w:cs="Arial"/>
          <w:lang w:val="es-CR"/>
        </w:rPr>
        <w:t xml:space="preserve">, dirigido a la  Comunidad Institucional, con copia al Consejo Institucional, en el cual remite consulta sobre las Políticas Específicas 2018.  Dicho documento fue conocido y avalado por el Consejo de Rectoría, en la Sesión Ordinaria No. 02-2017, Artículo 7, del 23 de enero de 2017; asimismo, indica que las observaciones deberán ser </w:t>
      </w:r>
      <w:proofErr w:type="gramStart"/>
      <w:r w:rsidRPr="00521B94">
        <w:rPr>
          <w:rFonts w:ascii="Arial" w:hAnsi="Arial" w:cs="Arial"/>
          <w:lang w:val="es-CR"/>
        </w:rPr>
        <w:t>remitidas  a</w:t>
      </w:r>
      <w:proofErr w:type="gramEnd"/>
      <w:r w:rsidRPr="00521B94">
        <w:rPr>
          <w:rFonts w:ascii="Arial" w:hAnsi="Arial" w:cs="Arial"/>
          <w:lang w:val="es-CR"/>
        </w:rPr>
        <w:t xml:space="preserve">  la Rectoría  a más tardar el 28 de febrero  del presente año.  (Anexo 2)</w:t>
      </w:r>
    </w:p>
    <w:p w:rsidR="00521B94" w:rsidRPr="00521B94" w:rsidRDefault="00521B94" w:rsidP="00521B94">
      <w:pPr>
        <w:ind w:left="360"/>
        <w:jc w:val="both"/>
        <w:rPr>
          <w:rFonts w:ascii="Arial" w:hAnsi="Arial" w:cs="Arial"/>
          <w:sz w:val="8"/>
          <w:szCs w:val="8"/>
          <w:lang w:val="es-CR"/>
        </w:rPr>
      </w:pPr>
    </w:p>
    <w:p w:rsidR="00521B94" w:rsidRPr="00521B94" w:rsidRDefault="00521B94" w:rsidP="00521B94">
      <w:pPr>
        <w:ind w:left="360"/>
        <w:jc w:val="both"/>
        <w:rPr>
          <w:rFonts w:ascii="Arial" w:hAnsi="Arial" w:cs="Arial"/>
          <w:sz w:val="8"/>
          <w:szCs w:val="8"/>
          <w:lang w:val="es-CR"/>
        </w:rPr>
      </w:pPr>
    </w:p>
    <w:p w:rsidR="00521B94" w:rsidRPr="00521B94" w:rsidRDefault="00521B94" w:rsidP="00521B94">
      <w:pPr>
        <w:ind w:left="360"/>
        <w:jc w:val="both"/>
        <w:rPr>
          <w:rFonts w:ascii="Arial" w:hAnsi="Arial" w:cs="Arial"/>
          <w:sz w:val="8"/>
          <w:szCs w:val="8"/>
          <w:lang w:val="es-CR"/>
        </w:rPr>
      </w:pPr>
    </w:p>
    <w:p w:rsidR="00521B94" w:rsidRPr="00521B94" w:rsidRDefault="00521B94" w:rsidP="00521B94">
      <w:pPr>
        <w:numPr>
          <w:ilvl w:val="0"/>
          <w:numId w:val="34"/>
        </w:numPr>
        <w:ind w:left="142"/>
        <w:jc w:val="both"/>
        <w:rPr>
          <w:rFonts w:ascii="Arial" w:hAnsi="Arial" w:cs="Arial"/>
          <w:lang w:val="es-CR"/>
        </w:rPr>
      </w:pPr>
      <w:r w:rsidRPr="00521B94">
        <w:rPr>
          <w:rFonts w:ascii="Arial" w:hAnsi="Arial" w:cs="Arial"/>
          <w:lang w:val="es-CR"/>
        </w:rPr>
        <w:t xml:space="preserve">La Secretaría del Consejo Institucional, recibió oficio R-219-2017, con fecha de recibido 1° de marzo de 2017, suscrito por el Dr. Julio Calvo, Rector, dirigido al Dr. Bernal Martínez Gutiérrez, Coordinador de la Comisión de Planificación y Administración, con copia al Consejo Institucional, en el cual remite las observaciones sobre la consulta a la Comunidad Institucional de las Políticas Específicas 2018.  </w:t>
      </w:r>
    </w:p>
    <w:p w:rsidR="00521B94" w:rsidRPr="00521B94" w:rsidRDefault="00521B94" w:rsidP="00521B94">
      <w:pPr>
        <w:ind w:left="142"/>
        <w:jc w:val="both"/>
        <w:rPr>
          <w:rFonts w:ascii="Arial" w:hAnsi="Arial" w:cs="Arial"/>
          <w:lang w:val="es-CR"/>
        </w:rPr>
      </w:pPr>
    </w:p>
    <w:p w:rsidR="00521B94" w:rsidRPr="00521B94" w:rsidRDefault="00521B94" w:rsidP="00521B94">
      <w:pPr>
        <w:ind w:left="142"/>
        <w:jc w:val="both"/>
        <w:rPr>
          <w:rFonts w:ascii="Arial" w:hAnsi="Arial" w:cs="Arial"/>
          <w:lang w:val="es-CR"/>
        </w:rPr>
      </w:pPr>
      <w:r w:rsidRPr="00521B94">
        <w:rPr>
          <w:rFonts w:ascii="Arial" w:hAnsi="Arial" w:cs="Arial"/>
          <w:lang w:val="es-CR"/>
        </w:rPr>
        <w:lastRenderedPageBreak/>
        <w:t xml:space="preserve">Al vencimiento del plazo concedido en la consulta (28 de febrero de 2017), se </w:t>
      </w:r>
      <w:proofErr w:type="gramStart"/>
      <w:r w:rsidRPr="00521B94">
        <w:rPr>
          <w:rFonts w:ascii="Arial" w:hAnsi="Arial" w:cs="Arial"/>
          <w:lang w:val="es-CR"/>
        </w:rPr>
        <w:t>recibieron  las</w:t>
      </w:r>
      <w:proofErr w:type="gramEnd"/>
      <w:r w:rsidRPr="00521B94">
        <w:rPr>
          <w:rFonts w:ascii="Arial" w:hAnsi="Arial" w:cs="Arial"/>
          <w:lang w:val="es-CR"/>
        </w:rPr>
        <w:t xml:space="preserve"> siguientes observaciones:</w:t>
      </w:r>
    </w:p>
    <w:p w:rsidR="00521B94" w:rsidRPr="00521B94" w:rsidRDefault="00521B94" w:rsidP="00521B94">
      <w:pPr>
        <w:tabs>
          <w:tab w:val="left" w:pos="996"/>
        </w:tabs>
        <w:jc w:val="both"/>
        <w:rPr>
          <w:rFonts w:ascii="Arial" w:hAnsi="Arial" w:cs="Arial"/>
          <w:lang w:val="es-CR"/>
        </w:rPr>
      </w:pPr>
      <w:r w:rsidRPr="00521B94">
        <w:rPr>
          <w:rFonts w:ascii="Arial" w:hAnsi="Arial" w:cs="Arial"/>
          <w:lang w:val="es-CR"/>
        </w:rPr>
        <w:tab/>
      </w:r>
    </w:p>
    <w:p w:rsidR="00521B94" w:rsidRPr="00521B94" w:rsidRDefault="00521B94" w:rsidP="00521B94">
      <w:pPr>
        <w:tabs>
          <w:tab w:val="left" w:pos="996"/>
        </w:tabs>
        <w:jc w:val="both"/>
        <w:rPr>
          <w:rFonts w:ascii="Arial" w:hAnsi="Arial" w:cs="Arial"/>
          <w:lang w:val="es-CR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1"/>
        <w:gridCol w:w="1903"/>
      </w:tblGrid>
      <w:tr w:rsidR="00521B94" w:rsidRPr="00521B94" w:rsidTr="00654BD8">
        <w:trPr>
          <w:trHeight w:val="205"/>
          <w:jc w:val="center"/>
        </w:trPr>
        <w:tc>
          <w:tcPr>
            <w:tcW w:w="3828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971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Dependencia</w:t>
            </w:r>
          </w:p>
        </w:tc>
        <w:tc>
          <w:tcPr>
            <w:tcW w:w="1903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Oficio</w:t>
            </w:r>
          </w:p>
        </w:tc>
      </w:tr>
      <w:tr w:rsidR="00521B94" w:rsidRPr="00521B94" w:rsidTr="00654BD8">
        <w:trPr>
          <w:trHeight w:val="680"/>
          <w:jc w:val="center"/>
        </w:trPr>
        <w:tc>
          <w:tcPr>
            <w:tcW w:w="3828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Ing. Geovanny Rojas Rodríguez, </w:t>
            </w:r>
            <w:proofErr w:type="spellStart"/>
            <w:r w:rsidRPr="00521B94">
              <w:rPr>
                <w:rFonts w:ascii="Arial" w:hAnsi="Arial" w:cs="Arial"/>
                <w:bCs/>
                <w:sz w:val="20"/>
                <w:szCs w:val="20"/>
                <w:lang w:val="es-MX"/>
              </w:rPr>
              <w:t>M.Ed</w:t>
            </w:r>
            <w:proofErr w:type="spellEnd"/>
            <w:r w:rsidRPr="00521B94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MX"/>
              </w:rPr>
              <w:t>Depto.  de Admisión y Registro</w:t>
            </w:r>
          </w:p>
        </w:tc>
        <w:tc>
          <w:tcPr>
            <w:tcW w:w="1903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MX"/>
              </w:rPr>
              <w:t>DAR-100-2017</w:t>
            </w:r>
          </w:p>
        </w:tc>
      </w:tr>
      <w:tr w:rsidR="00521B94" w:rsidRPr="00521B94" w:rsidTr="00654BD8">
        <w:trPr>
          <w:trHeight w:val="348"/>
          <w:jc w:val="center"/>
        </w:trPr>
        <w:tc>
          <w:tcPr>
            <w:tcW w:w="3828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proofErr w:type="spellStart"/>
            <w:r w:rsidRPr="00521B94">
              <w:rPr>
                <w:rFonts w:ascii="Arial" w:hAnsi="Arial" w:cs="Arial"/>
                <w:bCs/>
                <w:sz w:val="20"/>
                <w:szCs w:val="20"/>
                <w:lang w:val="es-MX"/>
              </w:rPr>
              <w:t>M.Sc</w:t>
            </w:r>
            <w:proofErr w:type="spellEnd"/>
            <w:r w:rsidRPr="00521B94">
              <w:rPr>
                <w:rFonts w:ascii="Arial" w:hAnsi="Arial" w:cs="Arial"/>
                <w:bCs/>
                <w:sz w:val="20"/>
                <w:szCs w:val="20"/>
                <w:lang w:val="es-MX"/>
              </w:rPr>
              <w:t>. Laura Pizarro Aguilar</w:t>
            </w:r>
          </w:p>
        </w:tc>
        <w:tc>
          <w:tcPr>
            <w:tcW w:w="2971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MX"/>
              </w:rPr>
              <w:t>Depto. Orientación y Psicología</w:t>
            </w:r>
          </w:p>
        </w:tc>
        <w:tc>
          <w:tcPr>
            <w:tcW w:w="1903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MX"/>
              </w:rPr>
              <w:t>DOP-065-2017</w:t>
            </w:r>
          </w:p>
        </w:tc>
      </w:tr>
      <w:tr w:rsidR="00521B94" w:rsidRPr="00521B94" w:rsidTr="00654BD8">
        <w:trPr>
          <w:trHeight w:val="332"/>
          <w:jc w:val="center"/>
        </w:trPr>
        <w:tc>
          <w:tcPr>
            <w:tcW w:w="3828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bCs/>
                <w:sz w:val="20"/>
                <w:szCs w:val="20"/>
                <w:lang w:val="es-MX"/>
              </w:rPr>
              <w:t>Dr. Luis Gerardo Meza Cascante</w:t>
            </w:r>
          </w:p>
        </w:tc>
        <w:tc>
          <w:tcPr>
            <w:tcW w:w="2971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MX"/>
              </w:rPr>
              <w:t>Escuela de Matemática</w:t>
            </w:r>
          </w:p>
        </w:tc>
        <w:tc>
          <w:tcPr>
            <w:tcW w:w="1903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MX"/>
              </w:rPr>
              <w:t>Vía correo electrónico</w:t>
            </w:r>
          </w:p>
        </w:tc>
      </w:tr>
      <w:tr w:rsidR="00521B94" w:rsidRPr="00521B94" w:rsidTr="00654BD8">
        <w:trPr>
          <w:trHeight w:val="348"/>
          <w:jc w:val="center"/>
        </w:trPr>
        <w:tc>
          <w:tcPr>
            <w:tcW w:w="3828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proofErr w:type="spellStart"/>
            <w:r w:rsidRPr="00521B94">
              <w:rPr>
                <w:rFonts w:ascii="Arial" w:hAnsi="Arial" w:cs="Arial"/>
                <w:bCs/>
                <w:sz w:val="20"/>
                <w:szCs w:val="20"/>
                <w:lang w:val="es-MX"/>
              </w:rPr>
              <w:t>M.Sc</w:t>
            </w:r>
            <w:proofErr w:type="spellEnd"/>
            <w:r w:rsidRPr="00521B9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. Roberto </w:t>
            </w:r>
            <w:proofErr w:type="spellStart"/>
            <w:r w:rsidRPr="00521B94">
              <w:rPr>
                <w:rFonts w:ascii="Arial" w:hAnsi="Arial" w:cs="Arial"/>
                <w:bCs/>
                <w:sz w:val="20"/>
                <w:szCs w:val="20"/>
                <w:lang w:val="es-MX"/>
              </w:rPr>
              <w:t>Azofeifa</w:t>
            </w:r>
            <w:proofErr w:type="spellEnd"/>
            <w:r w:rsidRPr="00521B9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Cubero</w:t>
            </w:r>
          </w:p>
        </w:tc>
        <w:tc>
          <w:tcPr>
            <w:tcW w:w="2971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MX"/>
              </w:rPr>
              <w:t>Escuela de Matemática</w:t>
            </w:r>
          </w:p>
        </w:tc>
        <w:tc>
          <w:tcPr>
            <w:tcW w:w="1903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MX"/>
              </w:rPr>
              <w:t>Vía correo electrónico</w:t>
            </w:r>
          </w:p>
        </w:tc>
      </w:tr>
      <w:tr w:rsidR="00521B94" w:rsidRPr="00521B94" w:rsidTr="00654BD8">
        <w:trPr>
          <w:trHeight w:val="348"/>
          <w:jc w:val="center"/>
        </w:trPr>
        <w:tc>
          <w:tcPr>
            <w:tcW w:w="3828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proofErr w:type="spellStart"/>
            <w:r w:rsidRPr="00521B94">
              <w:rPr>
                <w:rFonts w:ascii="Arial" w:hAnsi="Arial" w:cs="Arial"/>
                <w:bCs/>
                <w:sz w:val="20"/>
                <w:szCs w:val="20"/>
                <w:lang w:val="es-MX"/>
              </w:rPr>
              <w:t>Ph.D</w:t>
            </w:r>
            <w:proofErr w:type="spellEnd"/>
            <w:r w:rsidRPr="00521B94">
              <w:rPr>
                <w:rFonts w:ascii="Arial" w:hAnsi="Arial" w:cs="Arial"/>
                <w:bCs/>
                <w:sz w:val="20"/>
                <w:szCs w:val="20"/>
                <w:lang w:val="es-MX"/>
              </w:rPr>
              <w:t>. Edgardo Vargas Jarquín</w:t>
            </w:r>
          </w:p>
        </w:tc>
        <w:tc>
          <w:tcPr>
            <w:tcW w:w="2971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MX"/>
              </w:rPr>
              <w:t>Sede Regional San Carlos</w:t>
            </w:r>
          </w:p>
        </w:tc>
        <w:tc>
          <w:tcPr>
            <w:tcW w:w="1903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MX"/>
              </w:rPr>
              <w:t>DSC-094-2017</w:t>
            </w:r>
          </w:p>
        </w:tc>
      </w:tr>
      <w:tr w:rsidR="00521B94" w:rsidRPr="00521B94" w:rsidTr="00654BD8">
        <w:trPr>
          <w:trHeight w:val="348"/>
          <w:jc w:val="center"/>
        </w:trPr>
        <w:tc>
          <w:tcPr>
            <w:tcW w:w="3828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bCs/>
                <w:sz w:val="20"/>
                <w:szCs w:val="20"/>
                <w:lang w:val="es-MX"/>
              </w:rPr>
              <w:t>MD. Laura Sancho</w:t>
            </w:r>
          </w:p>
        </w:tc>
        <w:tc>
          <w:tcPr>
            <w:tcW w:w="2971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MX"/>
              </w:rPr>
              <w:t>Escuela de Cultura y Deporte</w:t>
            </w:r>
          </w:p>
        </w:tc>
        <w:tc>
          <w:tcPr>
            <w:tcW w:w="1903" w:type="dxa"/>
            <w:shd w:val="clear" w:color="auto" w:fill="auto"/>
          </w:tcPr>
          <w:p w:rsidR="00521B94" w:rsidRPr="00521B94" w:rsidRDefault="00521B94" w:rsidP="00521B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1B94">
              <w:rPr>
                <w:rFonts w:ascii="Arial" w:hAnsi="Arial" w:cs="Arial"/>
                <w:sz w:val="20"/>
                <w:szCs w:val="20"/>
                <w:lang w:val="es-MX"/>
              </w:rPr>
              <w:t xml:space="preserve">CD-64-2017 </w:t>
            </w:r>
          </w:p>
        </w:tc>
      </w:tr>
    </w:tbl>
    <w:p w:rsidR="00521B94" w:rsidRPr="00521B94" w:rsidRDefault="00521B94" w:rsidP="00521B94">
      <w:pPr>
        <w:jc w:val="both"/>
        <w:rPr>
          <w:rFonts w:ascii="Arial" w:hAnsi="Arial" w:cs="Arial"/>
          <w:color w:val="000000"/>
          <w:sz w:val="20"/>
          <w:szCs w:val="20"/>
          <w:lang w:val="es-CR"/>
        </w:rPr>
      </w:pPr>
    </w:p>
    <w:p w:rsidR="00521B94" w:rsidRPr="00521B94" w:rsidRDefault="00521B94" w:rsidP="00521B94">
      <w:pPr>
        <w:jc w:val="both"/>
        <w:rPr>
          <w:rFonts w:ascii="Arial" w:hAnsi="Arial" w:cs="Arial"/>
          <w:color w:val="000000"/>
          <w:sz w:val="20"/>
          <w:szCs w:val="20"/>
          <w:lang w:val="es-CR"/>
        </w:rPr>
      </w:pPr>
    </w:p>
    <w:p w:rsidR="00521B94" w:rsidRPr="00521B94" w:rsidRDefault="00521B94" w:rsidP="00521B94">
      <w:pPr>
        <w:numPr>
          <w:ilvl w:val="0"/>
          <w:numId w:val="34"/>
        </w:numPr>
        <w:ind w:left="142"/>
        <w:jc w:val="both"/>
        <w:rPr>
          <w:rFonts w:ascii="Arial" w:hAnsi="Arial" w:cs="Arial"/>
          <w:lang w:val="es-CR"/>
        </w:rPr>
      </w:pPr>
      <w:r w:rsidRPr="00521B94">
        <w:rPr>
          <w:rFonts w:ascii="Arial" w:hAnsi="Arial" w:cs="Arial"/>
          <w:lang w:val="es-CR"/>
        </w:rPr>
        <w:t>La Secretaría del Consejo Institucional, recibió oficio R-312-2017, con fecha de recibido 17 de marzo de 2017, suscrito por el Dr. Julio Calvo, Rector, dirigido al Dr. Bernal Martínez Gutiérrez, Coordinador de la Comisión de Planificación y Administración, con copia al Consejo Institucional, en el cual adjunta las  observaciones  a las Políticas Específicas 2018, emitidas por la Escuela de Arquitectura y Urbanismo, según oficio EAU-163-2017, con el fin de que la Comisión de Planificación valore si acoge las mismas, dado que el período de consulta venció el 28 de   febrero del presente año.</w:t>
      </w:r>
    </w:p>
    <w:p w:rsidR="00521B94" w:rsidRPr="00521B94" w:rsidRDefault="00521B94" w:rsidP="00521B94">
      <w:pPr>
        <w:jc w:val="both"/>
        <w:rPr>
          <w:rFonts w:ascii="Arial" w:hAnsi="Arial" w:cs="Arial"/>
          <w:lang w:val="es-CR"/>
        </w:rPr>
      </w:pPr>
    </w:p>
    <w:p w:rsidR="00521B94" w:rsidRPr="00521B94" w:rsidRDefault="00521B94" w:rsidP="00521B94">
      <w:pPr>
        <w:numPr>
          <w:ilvl w:val="0"/>
          <w:numId w:val="34"/>
        </w:numPr>
        <w:ind w:left="142"/>
        <w:jc w:val="both"/>
        <w:rPr>
          <w:rFonts w:ascii="Arial" w:hAnsi="Arial" w:cs="Arial"/>
          <w:lang w:val="es-ES_tradnl"/>
        </w:rPr>
      </w:pPr>
      <w:r w:rsidRPr="00521B94">
        <w:rPr>
          <w:rFonts w:ascii="Arial" w:hAnsi="Arial" w:cs="Arial"/>
          <w:lang w:val="es-ES_tradnl"/>
        </w:rPr>
        <w:t xml:space="preserve">La Comisión de Planificación y Administración en diversas reuniones  revisa las observaciones </w:t>
      </w:r>
      <w:proofErr w:type="spellStart"/>
      <w:r w:rsidRPr="00521B94">
        <w:rPr>
          <w:rFonts w:ascii="Arial" w:hAnsi="Arial" w:cs="Arial"/>
          <w:lang w:val="es-ES_tradnl"/>
        </w:rPr>
        <w:t>supracitadas</w:t>
      </w:r>
      <w:proofErr w:type="spellEnd"/>
      <w:r w:rsidRPr="00521B94">
        <w:rPr>
          <w:rFonts w:ascii="Arial" w:hAnsi="Arial" w:cs="Arial"/>
          <w:lang w:val="es-ES_tradnl"/>
        </w:rPr>
        <w:t>, y en la reunión No.  716-2017, realizada  el 27 de marzo de 2017 concluye la revisión de las Políticas Específicas incorpora  los cambios  que se considera oportunos. Se dispone elevar la siguiente al Pleno.</w:t>
      </w:r>
    </w:p>
    <w:p w:rsidR="00521B94" w:rsidRPr="00521B94" w:rsidRDefault="00521B94" w:rsidP="00521B94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521B94" w:rsidRPr="00521B94" w:rsidRDefault="00521B94" w:rsidP="00521B94">
      <w:pPr>
        <w:jc w:val="both"/>
        <w:rPr>
          <w:rFonts w:ascii="Arial" w:hAnsi="Arial" w:cs="Arial"/>
          <w:b/>
          <w:lang w:val="es-CR"/>
        </w:rPr>
      </w:pPr>
      <w:r w:rsidRPr="00521B94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521B94">
        <w:rPr>
          <w:rFonts w:ascii="Arial" w:hAnsi="Arial" w:cs="Arial"/>
          <w:b/>
          <w:lang w:val="es-CR"/>
        </w:rPr>
        <w:t>:</w:t>
      </w:r>
    </w:p>
    <w:p w:rsidR="00521B94" w:rsidRPr="00521B94" w:rsidRDefault="00521B94" w:rsidP="00521B94">
      <w:pPr>
        <w:jc w:val="both"/>
        <w:rPr>
          <w:rFonts w:ascii="Arial" w:hAnsi="Arial" w:cs="Arial"/>
        </w:rPr>
      </w:pPr>
    </w:p>
    <w:p w:rsidR="00521B94" w:rsidRPr="00521B94" w:rsidRDefault="00521B94" w:rsidP="00521B94">
      <w:pPr>
        <w:numPr>
          <w:ilvl w:val="0"/>
          <w:numId w:val="30"/>
        </w:numPr>
        <w:ind w:left="378" w:right="-91"/>
        <w:jc w:val="both"/>
        <w:rPr>
          <w:rFonts w:ascii="Arial" w:hAnsi="Arial" w:cs="Arial"/>
          <w:lang w:val="es-CR"/>
        </w:rPr>
      </w:pPr>
      <w:r w:rsidRPr="00521B94">
        <w:rPr>
          <w:rFonts w:ascii="Arial" w:hAnsi="Arial" w:cs="Arial"/>
          <w:lang w:val="es-CR"/>
        </w:rPr>
        <w:t>Aprobar las siguientes Políticas Específicas 2018, las que regirán a partir del 1° de enero de 2018.</w:t>
      </w:r>
    </w:p>
    <w:p w:rsidR="00521B94" w:rsidRPr="00521B94" w:rsidRDefault="00521B94" w:rsidP="00521B94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pPr w:leftFromText="141" w:rightFromText="141" w:vertAnchor="text" w:tblpX="-608" w:tblpY="1"/>
        <w:tblOverlap w:val="never"/>
        <w:tblW w:w="57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8"/>
        <w:gridCol w:w="5091"/>
      </w:tblGrid>
      <w:tr w:rsidR="00521B94" w:rsidRPr="00521B94" w:rsidTr="00654BD8">
        <w:trPr>
          <w:trHeight w:val="288"/>
          <w:tblHeader/>
        </w:trPr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POLÍTICAS GENERALES</w:t>
            </w:r>
          </w:p>
          <w:p w:rsidR="00521B94" w:rsidRPr="00521B94" w:rsidRDefault="00521B94" w:rsidP="00521B94">
            <w:pPr>
              <w:ind w:left="62" w:right="11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2015-2019</w:t>
            </w:r>
          </w:p>
        </w:tc>
        <w:tc>
          <w:tcPr>
            <w:tcW w:w="2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1B94" w:rsidRPr="00521B94" w:rsidRDefault="00521B94" w:rsidP="00521B94">
            <w:pPr>
              <w:ind w:left="55" w:right="2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</w:pPr>
          </w:p>
          <w:p w:rsidR="00521B94" w:rsidRPr="00521B94" w:rsidRDefault="00521B94" w:rsidP="00521B94">
            <w:pPr>
              <w:ind w:left="55" w:right="2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  <w:t xml:space="preserve">PROPUESTA DE LA </w:t>
            </w:r>
          </w:p>
          <w:p w:rsidR="00521B94" w:rsidRPr="00521B94" w:rsidRDefault="00521B94" w:rsidP="00521B94">
            <w:pPr>
              <w:ind w:left="55" w:right="2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  <w:t>POLITICAS ESPECÍFICAS 2018</w:t>
            </w:r>
          </w:p>
        </w:tc>
      </w:tr>
      <w:tr w:rsidR="00521B94" w:rsidRPr="00521B94" w:rsidTr="00654BD8">
        <w:trPr>
          <w:trHeight w:val="1155"/>
        </w:trPr>
        <w:tc>
          <w:tcPr>
            <w:tcW w:w="2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numPr>
                <w:ilvl w:val="0"/>
                <w:numId w:val="33"/>
              </w:numPr>
              <w:tabs>
                <w:tab w:val="left" w:pos="412"/>
              </w:tabs>
              <w:ind w:left="62" w:right="118"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desarrollarán programas académicos en las áreas de ciencia y tecnología en concordancia con los ejes de conocimiento estratégicos, los fines y principios institucionales y con lo establecido en la Ley Orgánica del ITCR.</w:t>
            </w: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1.1 Crear y fortalecer programas académicos de grado y </w:t>
            </w:r>
            <w:proofErr w:type="gramStart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posgrado  en</w:t>
            </w:r>
            <w:proofErr w:type="gramEnd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las áreas de ciencia y tecnología de acuerdo con las necesidades del país y de las particularidades de los territorios específicos.</w:t>
            </w:r>
          </w:p>
        </w:tc>
      </w:tr>
      <w:tr w:rsidR="00521B94" w:rsidRPr="00521B94" w:rsidTr="00654BD8">
        <w:trPr>
          <w:trHeight w:val="1155"/>
        </w:trPr>
        <w:tc>
          <w:tcPr>
            <w:tcW w:w="2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B94" w:rsidRPr="00521B94" w:rsidRDefault="00521B94" w:rsidP="00521B94">
            <w:pPr>
              <w:numPr>
                <w:ilvl w:val="0"/>
                <w:numId w:val="33"/>
              </w:numPr>
              <w:tabs>
                <w:tab w:val="left" w:pos="412"/>
              </w:tabs>
              <w:ind w:left="62" w:right="118"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1.2 Se establecerán programas de </w:t>
            </w:r>
            <w:proofErr w:type="gramStart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formación  técnica</w:t>
            </w:r>
            <w:proofErr w:type="gramEnd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en </w:t>
            </w:r>
            <w:proofErr w:type="spellStart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coadyuvancia</w:t>
            </w:r>
            <w:proofErr w:type="spellEnd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con FUNDATEC, en áreas donde el TEC tenga fortalezas académicas y exista alta demanda en el mercado laboral, </w:t>
            </w: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lastRenderedPageBreak/>
              <w:t>facilitando el acceso a poblaciones vulnerables y de bajo nivel socioeconómico.</w:t>
            </w:r>
          </w:p>
        </w:tc>
      </w:tr>
      <w:tr w:rsidR="00521B94" w:rsidRPr="00521B94" w:rsidTr="00654BD8">
        <w:trPr>
          <w:trHeight w:val="433"/>
        </w:trPr>
        <w:tc>
          <w:tcPr>
            <w:tcW w:w="2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1.3 Se continuará con los procesos de autoevaluación, acreditación y </w:t>
            </w:r>
            <w:proofErr w:type="spellStart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reacreditación</w:t>
            </w:r>
            <w:proofErr w:type="spellEnd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de carreras de grado y posgrado, desde una perspectiva de autonomía universitaria.</w:t>
            </w: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</w:p>
        </w:tc>
      </w:tr>
      <w:tr w:rsidR="00521B94" w:rsidRPr="00521B94" w:rsidTr="00654BD8">
        <w:trPr>
          <w:trHeight w:val="18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numPr>
                <w:ilvl w:val="0"/>
                <w:numId w:val="33"/>
              </w:numPr>
              <w:tabs>
                <w:tab w:val="left" w:pos="412"/>
              </w:tabs>
              <w:ind w:left="62" w:right="118" w:firstLine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destinarán los recursos presupuestarios necesarios para la planificación, ejecución, control y evaluación exitosa de los programas académicos, vida estudiantil y apoyo a la academia acorde con los ejes de conocimiento estratégicos. 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2.1 Se fortalecerán la atracción y asignación de recursos presupuestarios destinados al mejoramiento del quehacer académico, atención de los programas, la regionalización, los servicios estudiantiles y de apoyo a la academia todos ellos de acuerdo con los ejes de conocimiento estratégicos.</w:t>
            </w:r>
          </w:p>
        </w:tc>
      </w:tr>
      <w:tr w:rsidR="00521B94" w:rsidRPr="00521B94" w:rsidTr="00654BD8">
        <w:trPr>
          <w:trHeight w:val="1270"/>
        </w:trPr>
        <w:tc>
          <w:tcPr>
            <w:tcW w:w="2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numPr>
                <w:ilvl w:val="0"/>
                <w:numId w:val="33"/>
              </w:numPr>
              <w:tabs>
                <w:tab w:val="left" w:pos="412"/>
              </w:tabs>
              <w:ind w:left="62" w:right="118"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estimulará la visión global, la cultura de la comunicación, la sostenibilidad ambiental, los procesos de internacionalización y la consolidación del </w:t>
            </w:r>
            <w:proofErr w:type="spellStart"/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emprendedurismo</w:t>
            </w:r>
            <w:proofErr w:type="spellEnd"/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 en los programas académicos.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tabs>
                <w:tab w:val="left" w:pos="497"/>
              </w:tabs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3.1. Facilitar los procesos de internacionalización del quehacer académico con miras a lograr retroalimentación positiva, la </w:t>
            </w:r>
            <w:proofErr w:type="gramStart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proyección  global</w:t>
            </w:r>
            <w:proofErr w:type="gramEnd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y  la comunicación de resultados.</w:t>
            </w:r>
          </w:p>
        </w:tc>
      </w:tr>
      <w:tr w:rsidR="00521B94" w:rsidRPr="00521B94" w:rsidTr="00654BD8">
        <w:trPr>
          <w:trHeight w:val="835"/>
        </w:trPr>
        <w:tc>
          <w:tcPr>
            <w:tcW w:w="2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3.2 Se estimulará la cultura de emprendimiento e innovación en los procesos de enseñanza-aprendizaje.</w:t>
            </w:r>
          </w:p>
        </w:tc>
      </w:tr>
      <w:tr w:rsidR="00521B94" w:rsidRPr="00521B94" w:rsidTr="00654BD8">
        <w:trPr>
          <w:trHeight w:val="992"/>
        </w:trPr>
        <w:tc>
          <w:tcPr>
            <w:tcW w:w="2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3.3 Crear y </w:t>
            </w:r>
            <w:proofErr w:type="gramStart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fortalecer  acciones</w:t>
            </w:r>
            <w:proofErr w:type="gramEnd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 de manera sistemática que contribuyan a la generación de conciencia sobre la sostenibilidad ambiental, económica, social y cultural.</w:t>
            </w:r>
          </w:p>
        </w:tc>
      </w:tr>
      <w:tr w:rsidR="00521B94" w:rsidRPr="00521B94" w:rsidTr="00654BD8">
        <w:trPr>
          <w:trHeight w:val="794"/>
        </w:trPr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numPr>
                <w:ilvl w:val="0"/>
                <w:numId w:val="33"/>
              </w:numPr>
              <w:tabs>
                <w:tab w:val="left" w:pos="412"/>
              </w:tabs>
              <w:ind w:left="62" w:right="118" w:firstLine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planificarán y ejecutarán los procesos académicos, vida estudiantil y apoyo a la academia orientados a favorecer el impacto positivo sobre la salud integral y el ambiente.</w:t>
            </w:r>
          </w:p>
          <w:p w:rsidR="00521B94" w:rsidRPr="00521B94" w:rsidRDefault="00521B94" w:rsidP="00521B94">
            <w:pPr>
              <w:tabs>
                <w:tab w:val="left" w:pos="412"/>
              </w:tabs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1B94" w:rsidRPr="00521B94" w:rsidRDefault="00521B94" w:rsidP="00521B94">
            <w:pPr>
              <w:numPr>
                <w:ilvl w:val="1"/>
                <w:numId w:val="33"/>
              </w:numPr>
              <w:ind w:left="355" w:right="24" w:hanging="355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Se fortalecerá el desarrollo de sistemas de gestión de los procesos institucionales que incluyan los aspectos de ambiente, calidad, seguridad y salud integral.</w:t>
            </w: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</w:p>
        </w:tc>
      </w:tr>
      <w:tr w:rsidR="00521B94" w:rsidRPr="00521B94" w:rsidTr="00654BD8">
        <w:trPr>
          <w:trHeight w:val="1361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tabs>
                <w:tab w:val="left" w:pos="412"/>
              </w:tabs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5.  </w:t>
            </w:r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potenciará el desarrollo del profesorado en aspectos </w:t>
            </w:r>
            <w:proofErr w:type="gramStart"/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pedagógicos  y</w:t>
            </w:r>
            <w:proofErr w:type="gramEnd"/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 propios de su disciplina para alcanzar la excelencia académica desde una perspectiva humanística y multidisciplinaria.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5.1 Se estimulará la formación pedagógica de los profesores por medio de programas de alta pertinencia. </w:t>
            </w:r>
          </w:p>
        </w:tc>
      </w:tr>
      <w:tr w:rsidR="00521B94" w:rsidRPr="00521B94" w:rsidTr="00654BD8">
        <w:trPr>
          <w:trHeight w:val="1735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tabs>
                <w:tab w:val="left" w:pos="412"/>
              </w:tabs>
              <w:ind w:left="62" w:right="1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6. </w:t>
            </w:r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incrementará la formación, capacitación y superación del personal para alcanzar la excelencia desde una perspectiva humanística que contemple el compromiso con la equidad, el ambiente y una cultura de paz.</w:t>
            </w: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6.1 Se fortalecerán los </w:t>
            </w:r>
            <w:proofErr w:type="gramStart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planes  de</w:t>
            </w:r>
            <w:proofErr w:type="gramEnd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formación, capacitación y entrenamiento Institucional que contemple las necesidades de las dependencias, que permitan el cumplimiento de los proyectos estratégicos institucionales y promueva la excelencia.</w:t>
            </w: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</w:p>
        </w:tc>
      </w:tr>
      <w:tr w:rsidR="00521B94" w:rsidRPr="00521B94" w:rsidTr="00654BD8">
        <w:trPr>
          <w:trHeight w:val="1507"/>
        </w:trPr>
        <w:tc>
          <w:tcPr>
            <w:tcW w:w="253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7. </w:t>
            </w:r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desarrollarán proyectos de investigación, extensión, acción social y desarrollo tecnológico, innovadores y de impacto científico, tecnológico y social conforme a los fines, principios, valores </w:t>
            </w:r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lastRenderedPageBreak/>
              <w:t>institucionales y a los ejes de conocimiento estratégicos.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lastRenderedPageBreak/>
              <w:t>7.1 Se mejorarán las capacidades de las distintas instancias institucionales para el desarrollo de los procesos de innovación, investigación, extensión y acción social, según los ejes de conocimiento estratégicos.</w:t>
            </w:r>
          </w:p>
        </w:tc>
      </w:tr>
      <w:tr w:rsidR="00521B94" w:rsidRPr="00521B94" w:rsidTr="00654BD8">
        <w:trPr>
          <w:trHeight w:val="1816"/>
        </w:trPr>
        <w:tc>
          <w:tcPr>
            <w:tcW w:w="2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7.2 Se implementarán estrategias de búsqueda de recursos financieros nacionales e internacionales para fortalecer el desarrollo de la investigación, la extensión, la acción social, la innovación</w:t>
            </w:r>
            <w:proofErr w:type="gramStart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,  el</w:t>
            </w:r>
            <w:proofErr w:type="gramEnd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desarrollo científico y tecnológico y el desarrollo regional.</w:t>
            </w:r>
          </w:p>
        </w:tc>
      </w:tr>
      <w:tr w:rsidR="00521B94" w:rsidRPr="00521B94" w:rsidTr="00654BD8">
        <w:trPr>
          <w:trHeight w:val="2149"/>
        </w:trPr>
        <w:tc>
          <w:tcPr>
            <w:tcW w:w="25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7.3 La investigación, extensión y la acción social, responderá a los ejes de conocimiento estratégicos y a criterios de excelencia, internacionalización, impacto y pertinencia, para contribuir al desarrollo y el mejoramiento de la calidad de vida.</w:t>
            </w:r>
          </w:p>
        </w:tc>
      </w:tr>
      <w:tr w:rsidR="00521B94" w:rsidRPr="00521B94" w:rsidTr="00654BD8">
        <w:trPr>
          <w:trHeight w:val="1398"/>
        </w:trPr>
        <w:tc>
          <w:tcPr>
            <w:tcW w:w="253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8.  </w:t>
            </w:r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desarrollarán estrategias que contribuyan a mejorar el acceso, la vida estudiantil, la formación integral y el éxito académico para los estudiantes del ITCR, procurando la equidad de condiciones para las poblaciones vulnerables y de bajo nivel socioeconómico.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8.1 Se fortalecerán y crearán programas y proyectos que promuevan la formación integral, el bienestar estudiantil, la permanencia óptima y la graduación exitosa de los estudiantes. </w:t>
            </w:r>
          </w:p>
        </w:tc>
      </w:tr>
      <w:tr w:rsidR="00521B94" w:rsidRPr="00521B94" w:rsidTr="00654BD8">
        <w:trPr>
          <w:trHeight w:val="1077"/>
        </w:trPr>
        <w:tc>
          <w:tcPr>
            <w:tcW w:w="25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8.2. Se desarrollarán acciones en la comunidad Institucional,  para lograr una vida estudiantil integral e impulsar la equidad, igualdad de oportunidades, libertad de expresión, diversidad, respeto a la cultura y al origen étnico, de manera que se logre articular y atender las necesidades del estudiante en su contexto socio cultural.</w:t>
            </w:r>
          </w:p>
        </w:tc>
      </w:tr>
      <w:tr w:rsidR="00521B94" w:rsidRPr="00521B94" w:rsidTr="00654BD8">
        <w:trPr>
          <w:trHeight w:val="1475"/>
        </w:trPr>
        <w:tc>
          <w:tcPr>
            <w:tcW w:w="253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8.3 Se fortalecerán los programas, proyectos y utilización de tecnologías digitales que tiendan a incrementar el éxito académico.</w:t>
            </w:r>
          </w:p>
        </w:tc>
      </w:tr>
      <w:tr w:rsidR="00521B94" w:rsidRPr="00521B94" w:rsidTr="00654BD8">
        <w:trPr>
          <w:trHeight w:val="954"/>
        </w:trPr>
        <w:tc>
          <w:tcPr>
            <w:tcW w:w="253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9.  </w:t>
            </w:r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promoverán los procesos de investigación, extensión y de desarrollo tecnológico integrados a la enseñanza aprendizaje en los niveles de grado y posgrado. </w:t>
            </w: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9.1 Se impulsará la integración de la docencia, la investigación, la extensión y la acción social, con el fin de enriquecer la formación de los estudiantes.</w:t>
            </w:r>
          </w:p>
        </w:tc>
      </w:tr>
      <w:tr w:rsidR="00521B94" w:rsidRPr="00521B94" w:rsidTr="00654BD8">
        <w:trPr>
          <w:trHeight w:val="954"/>
        </w:trPr>
        <w:tc>
          <w:tcPr>
            <w:tcW w:w="253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9.2 Se estimulará la participación estudiantil en los proyectos y actividades de investigación, innovación y extensión.</w:t>
            </w:r>
          </w:p>
        </w:tc>
      </w:tr>
      <w:tr w:rsidR="00521B94" w:rsidRPr="00521B94" w:rsidTr="00654BD8">
        <w:trPr>
          <w:trHeight w:val="964"/>
        </w:trPr>
        <w:tc>
          <w:tcPr>
            <w:tcW w:w="2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10.</w:t>
            </w:r>
            <w:r w:rsidRPr="00521B94">
              <w:rPr>
                <w:rFonts w:ascii="Arial" w:hAnsi="Arial" w:cs="Arial"/>
                <w:bCs/>
                <w:color w:val="000000"/>
                <w:sz w:val="22"/>
                <w:szCs w:val="22"/>
                <w:lang w:val="es-CR" w:eastAsia="es-CR"/>
              </w:rPr>
              <w:tab/>
              <w:t>Se mantendrá la vinculación permanente con los graduados con el propósito de retroalimentar el quehacer institucional y de fomentar su incorporación exitosa en el mercado laboral.</w:t>
            </w: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10.1 Se impulsarán actividades de vinculación con los graduados u </w:t>
            </w:r>
            <w:proofErr w:type="gramStart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organizaciones  que</w:t>
            </w:r>
            <w:proofErr w:type="gramEnd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los representen, en conjunto con las Escuelas con el propósito de retroalimentar el quehacer institucional.</w:t>
            </w:r>
          </w:p>
        </w:tc>
      </w:tr>
      <w:tr w:rsidR="00521B94" w:rsidRPr="00521B94" w:rsidTr="00654BD8">
        <w:trPr>
          <w:trHeight w:val="1509"/>
        </w:trPr>
        <w:tc>
          <w:tcPr>
            <w:tcW w:w="2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10.2 Se fortalecerán los programas de educación continua para los graduados, desde las escuelas, con el fin de mejorar y ampliar su perfil profesional.</w:t>
            </w:r>
          </w:p>
        </w:tc>
      </w:tr>
      <w:tr w:rsidR="00521B94" w:rsidRPr="00521B94" w:rsidTr="00654BD8">
        <w:trPr>
          <w:trHeight w:val="300"/>
        </w:trPr>
        <w:tc>
          <w:tcPr>
            <w:tcW w:w="25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bCs/>
                <w:color w:val="000000"/>
                <w:sz w:val="22"/>
                <w:szCs w:val="22"/>
                <w:lang w:val="es-CR" w:eastAsia="es-CR"/>
              </w:rPr>
              <w:lastRenderedPageBreak/>
              <w:t>11.  Se desarrollará la prestación de servicios a terceros como una forma de vinculación con la sociedad y fuente adicional de financiamiento, atendiendo a los fines y principios de la Institución, sin que vaya en detrimento de la academia ni el ambiente y no represente una competencia desleal a terceros.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11.1 Se fomentará la prestación de servicios con carácter remunerado a nivel nacional e internacional atendiendo criterios de calidad, con un alto contenido científico-tecnológico y social concordante con los fines y principios institucionales.</w:t>
            </w: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</w:p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</w:p>
        </w:tc>
      </w:tr>
      <w:tr w:rsidR="00521B94" w:rsidRPr="00521B94" w:rsidTr="00654BD8">
        <w:trPr>
          <w:trHeight w:val="1622"/>
        </w:trPr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 12.   </w:t>
            </w:r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fortalecerá la asignación de recursos para la extensión y acción social de manera que se logre una mayor proyección institucional en el ámbito sociocultural, productivo y organizativo.</w:t>
            </w:r>
          </w:p>
        </w:tc>
        <w:tc>
          <w:tcPr>
            <w:tcW w:w="2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12.1 Se fortalecerá la extensión y la acción social en los programas, proyectos y actividades institucionales, fundamentados en los ejes de conocimiento estratégicos, que respondan a las necesidades de los diferentes sectores.</w:t>
            </w:r>
          </w:p>
        </w:tc>
      </w:tr>
      <w:tr w:rsidR="00521B94" w:rsidRPr="00521B94" w:rsidTr="00654BD8">
        <w:trPr>
          <w:trHeight w:val="1596"/>
        </w:trPr>
        <w:tc>
          <w:tcPr>
            <w:tcW w:w="253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13.   </w:t>
            </w:r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fortalecerá el trabajo </w:t>
            </w:r>
            <w:proofErr w:type="gramStart"/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conjunto  en</w:t>
            </w:r>
            <w:proofErr w:type="gramEnd"/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 áreas estratégicas con las universidades que conforman el Sistema de  Educación Superior Universitario Público.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13.1 Impulsar el desarrollo de actividades, proyectos y programas conjuntos entre las universidades que conforman el Sistema de Educación Superior Universitario Público.</w:t>
            </w:r>
          </w:p>
        </w:tc>
      </w:tr>
      <w:tr w:rsidR="00521B94" w:rsidRPr="00521B94" w:rsidTr="00654BD8">
        <w:trPr>
          <w:trHeight w:val="516"/>
        </w:trPr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14.   </w:t>
            </w:r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incrementará la formación, la capacitación y la superación de la comunidad institucional en la formulación, el desarrollo sostenible y la administración de proyectos, actividades de acción social y prestación de servicios.</w:t>
            </w:r>
          </w:p>
        </w:tc>
        <w:tc>
          <w:tcPr>
            <w:tcW w:w="24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14.1 Se impulsarán programas de capacitación y formación de la comunidad institucional que contribuyan al logro de los objetivos institucionales en el desarrollo de programas</w:t>
            </w:r>
            <w:proofErr w:type="gramStart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,  proyectos</w:t>
            </w:r>
            <w:proofErr w:type="gramEnd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, actividades de generación y atracción de recursos.</w:t>
            </w:r>
          </w:p>
        </w:tc>
      </w:tr>
      <w:tr w:rsidR="00521B94" w:rsidRPr="00521B94" w:rsidTr="00654BD8">
        <w:trPr>
          <w:trHeight w:val="1117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15. Los procesos institucionales se desarrollarán con excelencia, sustentados en la evaluación continua que involucre a los usuarios directos.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15.1 Se desarrollarán acciones que permitan evaluar los procesos institucionales para el mejoramiento continuo </w:t>
            </w:r>
            <w:proofErr w:type="gramStart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mediante  la</w:t>
            </w:r>
            <w:proofErr w:type="gramEnd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utilización de modelos de excelencia  acordes con el contexto institucional.</w:t>
            </w:r>
          </w:p>
        </w:tc>
      </w:tr>
      <w:tr w:rsidR="00521B94" w:rsidRPr="00521B94" w:rsidTr="00654BD8">
        <w:trPr>
          <w:trHeight w:val="988"/>
        </w:trPr>
        <w:tc>
          <w:tcPr>
            <w:tcW w:w="2533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15.2 Se promoverá la utilización de tecnologías digitales en el desarrollo de los procesos institucionales para lograr una mayor eficiencia.</w:t>
            </w:r>
          </w:p>
        </w:tc>
      </w:tr>
      <w:tr w:rsidR="00521B94" w:rsidRPr="00521B94" w:rsidTr="00654BD8">
        <w:trPr>
          <w:trHeight w:val="1110"/>
        </w:trPr>
        <w:tc>
          <w:tcPr>
            <w:tcW w:w="2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16.   </w:t>
            </w:r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ejecutarán los recursos asignados a la Institución de manera oportuna, eficiente,   racional y transparente y se promoverá la consecución de fondos nacionales e internacionales que favorezcan el desarrollo y el impacto del </w:t>
            </w:r>
            <w:proofErr w:type="gramStart"/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quehacer  de</w:t>
            </w:r>
            <w:proofErr w:type="gramEnd"/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 la Institución en la sociedad.</w:t>
            </w: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16.1 Se implementarán acciones concretas para asegurar una ejecución eficiente, racional y transparente de los recursos asignados a la Institución, así como la rendición de cuentas a la sociedad.</w:t>
            </w:r>
          </w:p>
        </w:tc>
      </w:tr>
      <w:tr w:rsidR="00521B94" w:rsidRPr="00521B94" w:rsidTr="00521B94">
        <w:trPr>
          <w:trHeight w:val="1789"/>
        </w:trPr>
        <w:tc>
          <w:tcPr>
            <w:tcW w:w="25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16.2 Se promoverá la consecución de nuevos recursos en coordinación con las instancias institucionales y actores sociales externos, que permitan incrementar y </w:t>
            </w:r>
            <w:proofErr w:type="gramStart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mejorar  la</w:t>
            </w:r>
            <w:proofErr w:type="gramEnd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oferta de programas académicos, la vida estudiantil y el apoyo a la academia.</w:t>
            </w:r>
          </w:p>
        </w:tc>
      </w:tr>
      <w:tr w:rsidR="00521B94" w:rsidRPr="00521B94" w:rsidTr="00521B94">
        <w:trPr>
          <w:trHeight w:val="1362"/>
        </w:trPr>
        <w:tc>
          <w:tcPr>
            <w:tcW w:w="253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17.   </w:t>
            </w:r>
            <w:r w:rsidRPr="00521B9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desarrollarán acciones en  distintas regiones para ampliar el acceso a la educación superior y contribuir con el desarrollo integral de la población, con atención a  necesidades de grupos vulnerables, en condición de desventaja social</w:t>
            </w: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lastRenderedPageBreak/>
              <w:t>17.1 Se fortalecerán las acciones para brindar mayor acceso a la educación superior en distintas regiones del país, así como a población de grupos vulnerables o en condición de desventaja social.</w:t>
            </w:r>
          </w:p>
        </w:tc>
      </w:tr>
      <w:tr w:rsidR="00521B94" w:rsidRPr="00521B94" w:rsidTr="00521B94">
        <w:trPr>
          <w:trHeight w:val="1438"/>
        </w:trPr>
        <w:tc>
          <w:tcPr>
            <w:tcW w:w="25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4" w:rsidRPr="00521B94" w:rsidRDefault="00521B94" w:rsidP="00521B94">
            <w:pPr>
              <w:ind w:left="62" w:right="11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B94" w:rsidRPr="00521B94" w:rsidRDefault="00521B94" w:rsidP="00521B94">
            <w:pPr>
              <w:ind w:left="55" w:right="24"/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17.2. Articulación de esfuerzos institucionales e </w:t>
            </w:r>
            <w:proofErr w:type="gramStart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>interinstitucionales  con</w:t>
            </w:r>
            <w:proofErr w:type="gramEnd"/>
            <w:r w:rsidRPr="00521B94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las estrategias de desarrollo local, para lograr  un mayor  acceso a la educación superior de los sectores vulnerables.</w:t>
            </w:r>
          </w:p>
        </w:tc>
      </w:tr>
    </w:tbl>
    <w:p w:rsidR="00521B94" w:rsidRPr="00521B94" w:rsidRDefault="00521B94" w:rsidP="00521B94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521B94" w:rsidRPr="00521B94" w:rsidRDefault="00521B94" w:rsidP="00521B94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bookmarkEnd w:id="1"/>
    <w:bookmarkEnd w:id="2"/>
    <w:bookmarkEnd w:id="3"/>
    <w:p w:rsidR="00515E4C" w:rsidRDefault="00515E4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CB682F" w:rsidRDefault="007742A1" w:rsidP="00521B94">
      <w:pPr>
        <w:numPr>
          <w:ilvl w:val="0"/>
          <w:numId w:val="30"/>
        </w:numPr>
        <w:ind w:left="378" w:right="-91"/>
        <w:jc w:val="both"/>
        <w:rPr>
          <w:rFonts w:ascii="Arial" w:hAnsi="Arial" w:cs="Arial"/>
          <w:b/>
          <w:lang w:val="es-CR"/>
        </w:rPr>
      </w:pPr>
      <w:r w:rsidRPr="0026727D">
        <w:rPr>
          <w:rFonts w:ascii="Arial" w:hAnsi="Arial" w:cs="Arial"/>
          <w:lang w:val="es-CR"/>
        </w:rPr>
        <w:t xml:space="preserve">Comunicar. </w:t>
      </w:r>
      <w:r w:rsidRPr="0026727D">
        <w:rPr>
          <w:rFonts w:ascii="Arial" w:hAnsi="Arial" w:cs="Arial"/>
          <w:b/>
          <w:lang w:val="es-CR"/>
        </w:rPr>
        <w:t xml:space="preserve"> ACUERDO FIRME.</w:t>
      </w:r>
      <w:r w:rsidR="007C46B5" w:rsidRPr="0026727D">
        <w:rPr>
          <w:rFonts w:ascii="Arial" w:hAnsi="Arial" w:cs="Arial"/>
          <w:b/>
          <w:lang w:val="es-CR"/>
        </w:rPr>
        <w:t xml:space="preserve">  </w:t>
      </w:r>
    </w:p>
    <w:p w:rsidR="00474B22" w:rsidRDefault="00474B22" w:rsidP="00474B22">
      <w:pPr>
        <w:spacing w:line="360" w:lineRule="auto"/>
        <w:jc w:val="both"/>
        <w:outlineLvl w:val="0"/>
        <w:rPr>
          <w:rFonts w:ascii="Arial" w:eastAsia="Cambria" w:hAnsi="Arial" w:cs="Arial"/>
          <w:sz w:val="18"/>
          <w:szCs w:val="18"/>
          <w:lang w:val="es-CR" w:eastAsia="en-US"/>
        </w:rPr>
      </w:pPr>
    </w:p>
    <w:p w:rsidR="005D234B" w:rsidRPr="00521B94" w:rsidRDefault="00521B94" w:rsidP="00521B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521B94">
        <w:rPr>
          <w:rFonts w:ascii="Arial" w:hAnsi="Arial" w:cs="Arial"/>
          <w:b/>
          <w:sz w:val="22"/>
          <w:szCs w:val="22"/>
          <w:lang w:val="es-CR"/>
        </w:rPr>
        <w:t xml:space="preserve">PALABRAS CLAVE:   </w:t>
      </w:r>
      <w:proofErr w:type="gramStart"/>
      <w:r w:rsidRPr="00521B94">
        <w:rPr>
          <w:rFonts w:ascii="Arial" w:hAnsi="Arial" w:cs="Arial"/>
          <w:b/>
          <w:sz w:val="22"/>
          <w:szCs w:val="22"/>
          <w:lang w:val="es-CR"/>
        </w:rPr>
        <w:t>Políticas  –</w:t>
      </w:r>
      <w:proofErr w:type="gramEnd"/>
      <w:r w:rsidRPr="00521B94">
        <w:rPr>
          <w:rFonts w:ascii="Arial" w:hAnsi="Arial" w:cs="Arial"/>
          <w:b/>
          <w:sz w:val="22"/>
          <w:szCs w:val="22"/>
          <w:lang w:val="es-CR"/>
        </w:rPr>
        <w:t xml:space="preserve"> Específicas  -  2018</w:t>
      </w: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474B22" w:rsidRPr="00474B22" w:rsidTr="00437F0F">
        <w:trPr>
          <w:trHeight w:val="183"/>
        </w:trPr>
        <w:tc>
          <w:tcPr>
            <w:tcW w:w="4361" w:type="dxa"/>
          </w:tcPr>
          <w:p w:rsidR="00474B22" w:rsidRPr="00474B22" w:rsidRDefault="00474B22" w:rsidP="00515E4C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474B22" w:rsidRPr="00474B22" w:rsidTr="00437F0F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515E4C" w:rsidRPr="00474B22" w:rsidRDefault="00474B22" w:rsidP="00521B94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</w:t>
            </w:r>
            <w:r w:rsidR="00521B94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l</w:t>
            </w:r>
          </w:p>
        </w:tc>
        <w:tc>
          <w:tcPr>
            <w:tcW w:w="4361" w:type="dxa"/>
          </w:tcPr>
          <w:p w:rsidR="00CB682F" w:rsidRPr="00474B22" w:rsidRDefault="00515E4C" w:rsidP="00521B94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 </w:t>
            </w: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 </w:t>
            </w: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521B94" w:rsidRPr="00474B22" w:rsidRDefault="00521B94" w:rsidP="00521B94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Oficina Asesoría Legal </w:t>
      </w: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(PUBLICAR)</w:t>
      </w:r>
    </w:p>
    <w:p w:rsidR="00521B94" w:rsidRPr="00474B22" w:rsidRDefault="00521B94" w:rsidP="00521B94">
      <w:pPr>
        <w:ind w:firstLine="34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521B94" w:rsidRPr="00474B22" w:rsidRDefault="00521B94" w:rsidP="00521B94">
      <w:pPr>
        <w:ind w:left="720" w:hanging="720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Comunicación y Mercadeo </w:t>
      </w:r>
    </w:p>
    <w:p w:rsidR="00521B94" w:rsidRPr="00474B22" w:rsidRDefault="00521B94" w:rsidP="00521B94">
      <w:pPr>
        <w:ind w:left="720" w:hanging="720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Centro de Archivo y Comunicaciones</w:t>
      </w:r>
    </w:p>
    <w:p w:rsidR="00521B94" w:rsidRDefault="00521B94" w:rsidP="00521B94">
      <w:pPr>
        <w:rPr>
          <w:rFonts w:ascii="Arial" w:eastAsia="Cambria" w:hAnsi="Arial" w:cs="Arial"/>
          <w:b/>
          <w:sz w:val="16"/>
          <w:szCs w:val="16"/>
          <w:lang w:val="es-CR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CR" w:eastAsia="en-US"/>
        </w:rPr>
        <w:t>FEITEC</w:t>
      </w:r>
    </w:p>
    <w:p w:rsidR="004D5B06" w:rsidRDefault="004D5B06" w:rsidP="008D0FE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21B94" w:rsidRDefault="00521B94" w:rsidP="008D0FE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21B94" w:rsidRDefault="00521B94" w:rsidP="008D0FE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21B94" w:rsidRPr="00521B94" w:rsidRDefault="00521B94" w:rsidP="00521B94">
      <w:pPr>
        <w:jc w:val="both"/>
        <w:rPr>
          <w:rFonts w:ascii="Arial" w:hAnsi="Arial" w:cs="Arial"/>
          <w:b/>
          <w:i/>
          <w:lang w:val="es-CR"/>
        </w:rPr>
      </w:pPr>
      <w:r w:rsidRPr="00521B94">
        <w:rPr>
          <w:rFonts w:ascii="Arial" w:hAnsi="Arial" w:cs="Arial"/>
          <w:b/>
          <w:i/>
          <w:lang w:val="es-CR"/>
        </w:rPr>
        <w:t>ANEXOS</w:t>
      </w:r>
    </w:p>
    <w:p w:rsidR="00521B94" w:rsidRPr="00521B94" w:rsidRDefault="00521B94" w:rsidP="00521B94">
      <w:pPr>
        <w:jc w:val="both"/>
        <w:rPr>
          <w:rFonts w:ascii="Arial" w:hAnsi="Arial" w:cs="Arial"/>
          <w:i/>
          <w:sz w:val="16"/>
          <w:szCs w:val="16"/>
          <w:lang w:val="es-CR"/>
        </w:rPr>
      </w:pPr>
    </w:p>
    <w:p w:rsidR="00521B94" w:rsidRPr="00521B94" w:rsidRDefault="00521B94" w:rsidP="00521B94">
      <w:pPr>
        <w:jc w:val="both"/>
        <w:rPr>
          <w:rFonts w:ascii="Arial" w:hAnsi="Arial" w:cs="Arial"/>
          <w:i/>
          <w:sz w:val="16"/>
          <w:szCs w:val="16"/>
          <w:lang w:val="es-CR"/>
        </w:rPr>
      </w:pPr>
    </w:p>
    <w:p w:rsidR="00521B94" w:rsidRPr="00521B94" w:rsidRDefault="00521B94" w:rsidP="00521B94">
      <w:pPr>
        <w:jc w:val="both"/>
        <w:rPr>
          <w:rFonts w:ascii="Arial" w:hAnsi="Arial" w:cs="Arial"/>
          <w:i/>
          <w:sz w:val="16"/>
          <w:szCs w:val="16"/>
          <w:lang w:val="es-CR"/>
        </w:rPr>
      </w:pPr>
      <w:r w:rsidRPr="00521B94">
        <w:rPr>
          <w:rFonts w:ascii="Arial" w:hAnsi="Arial" w:cs="Arial"/>
          <w:i/>
          <w:sz w:val="16"/>
          <w:szCs w:val="16"/>
          <w:lang w:val="es-CR"/>
        </w:rPr>
        <w:object w:dxaOrig="1513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8" o:title=""/>
          </v:shape>
          <o:OLEObject Type="Link" ProgID="Word.Document.8" ShapeID="_x0000_i1025" DrawAspect="Icon" r:id="rId9" UpdateMode="OnCall">
            <o:LinkType>EnhancedMetaFile</o:LinkType>
            <o:LockedField>false</o:LockedField>
            <o:FieldCodes>\f 0</o:FieldCodes>
          </o:OLEObject>
        </w:object>
      </w:r>
      <w:r w:rsidRPr="00521B94">
        <w:rPr>
          <w:rFonts w:ascii="Arial" w:hAnsi="Arial" w:cs="Arial"/>
          <w:i/>
          <w:sz w:val="16"/>
          <w:szCs w:val="16"/>
          <w:lang w:val="es-CR"/>
        </w:rPr>
        <w:object w:dxaOrig="1513" w:dyaOrig="984">
          <v:shape id="_x0000_i1026" type="#_x0000_t75" style="width:75.6pt;height:49.2pt" o:ole="">
            <v:imagedata r:id="rId8" o:title=""/>
          </v:shape>
          <o:OLEObject Type="Link" ProgID="Word.Document.12" ShapeID="_x0000_i1026" DrawAspect="Icon" r:id="rId10" UpdateMode="OnCall">
            <o:LinkType>EnhancedMetaFile</o:LinkType>
            <o:LockedField>false</o:LockedField>
            <o:FieldCodes>\f 0</o:FieldCodes>
          </o:OLEObject>
        </w:object>
      </w:r>
    </w:p>
    <w:p w:rsidR="008D0FEC" w:rsidRDefault="008D0FEC" w:rsidP="008D0FEC">
      <w:pPr>
        <w:jc w:val="both"/>
        <w:rPr>
          <w:rFonts w:ascii="Arial" w:hAnsi="Arial" w:cs="Arial"/>
          <w:b/>
        </w:rPr>
      </w:pPr>
    </w:p>
    <w:sectPr w:rsidR="008D0FEC" w:rsidSect="00CE0215">
      <w:headerReference w:type="default" r:id="rId11"/>
      <w:footerReference w:type="default" r:id="rId12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AD" w:rsidRDefault="004F1FAD">
      <w:r>
        <w:separator/>
      </w:r>
    </w:p>
  </w:endnote>
  <w:endnote w:type="continuationSeparator" w:id="0">
    <w:p w:rsidR="004F1FAD" w:rsidRDefault="004F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86538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Default="00437F0F">
    <w:pPr>
      <w:pStyle w:val="Piedepgina"/>
      <w:jc w:val="center"/>
    </w:pPr>
  </w:p>
  <w:p w:rsidR="00437F0F" w:rsidRDefault="00437F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AD" w:rsidRDefault="004F1FAD">
      <w:r>
        <w:separator/>
      </w:r>
    </w:p>
  </w:footnote>
  <w:footnote w:type="continuationSeparator" w:id="0">
    <w:p w:rsidR="004F1FAD" w:rsidRDefault="004F1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Pr="00D958BC" w:rsidRDefault="00437F0F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437F0F" w:rsidRPr="00D958BC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3A4B48">
      <w:rPr>
        <w:rFonts w:ascii="Arial" w:eastAsia="Cambria" w:hAnsi="Arial" w:cs="Arial"/>
        <w:i/>
        <w:sz w:val="18"/>
        <w:szCs w:val="18"/>
        <w:lang w:val="es-ES_tradnl" w:eastAsia="x-none"/>
      </w:rPr>
      <w:t>6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521B94">
      <w:rPr>
        <w:rFonts w:ascii="Arial" w:eastAsia="Cambria" w:hAnsi="Arial" w:cs="Arial"/>
        <w:i/>
        <w:sz w:val="18"/>
        <w:szCs w:val="18"/>
        <w:lang w:val="es-ES_tradnl" w:eastAsia="x-none"/>
      </w:rPr>
      <w:t>10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515E4C">
      <w:rPr>
        <w:rFonts w:ascii="Arial" w:eastAsia="Cambria" w:hAnsi="Arial" w:cs="Arial"/>
        <w:i/>
        <w:sz w:val="18"/>
        <w:szCs w:val="18"/>
        <w:lang w:val="es-ES_tradnl" w:eastAsia="x-none"/>
      </w:rPr>
      <w:t>2</w:t>
    </w:r>
    <w:r w:rsidR="003A4B48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marzo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BD5529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876"/>
    <w:multiLevelType w:val="hybridMultilevel"/>
    <w:tmpl w:val="DBB086F8"/>
    <w:lvl w:ilvl="0" w:tplc="3A926D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30D4D"/>
    <w:multiLevelType w:val="hybridMultilevel"/>
    <w:tmpl w:val="68249218"/>
    <w:lvl w:ilvl="0" w:tplc="50FEA7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31DCA"/>
    <w:multiLevelType w:val="hybridMultilevel"/>
    <w:tmpl w:val="F45278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AB5"/>
    <w:multiLevelType w:val="hybridMultilevel"/>
    <w:tmpl w:val="CFA697B8"/>
    <w:lvl w:ilvl="0" w:tplc="14C8A8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C3EBE"/>
    <w:multiLevelType w:val="hybridMultilevel"/>
    <w:tmpl w:val="868E5AEA"/>
    <w:lvl w:ilvl="0" w:tplc="50FEA78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45479"/>
    <w:multiLevelType w:val="multilevel"/>
    <w:tmpl w:val="C5528156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7D5D73"/>
    <w:multiLevelType w:val="hybridMultilevel"/>
    <w:tmpl w:val="BA841164"/>
    <w:lvl w:ilvl="0" w:tplc="F37459BE">
      <w:start w:val="2"/>
      <w:numFmt w:val="decimal"/>
      <w:lvlText w:val="%1."/>
      <w:lvlJc w:val="left"/>
      <w:pPr>
        <w:ind w:left="6239" w:hanging="852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F40FA"/>
    <w:multiLevelType w:val="hybridMultilevel"/>
    <w:tmpl w:val="D0AAC59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700B"/>
    <w:multiLevelType w:val="hybridMultilevel"/>
    <w:tmpl w:val="13562FEA"/>
    <w:lvl w:ilvl="0" w:tplc="2D28D13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44CDB"/>
    <w:multiLevelType w:val="hybridMultilevel"/>
    <w:tmpl w:val="6922BBA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832C3"/>
    <w:multiLevelType w:val="hybridMultilevel"/>
    <w:tmpl w:val="CCA4600E"/>
    <w:lvl w:ilvl="0" w:tplc="585070A4">
      <w:start w:val="1"/>
      <w:numFmt w:val="lowerLetter"/>
      <w:lvlText w:val="%1."/>
      <w:lvlJc w:val="left"/>
      <w:pPr>
        <w:ind w:left="720" w:hanging="360"/>
      </w:pPr>
      <w:rPr>
        <w:rFonts w:cs="TTE1865388t00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7C37"/>
    <w:multiLevelType w:val="hybridMultilevel"/>
    <w:tmpl w:val="F934CA1A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146DA"/>
    <w:multiLevelType w:val="multilevel"/>
    <w:tmpl w:val="9BB4E8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BE7ED4"/>
    <w:multiLevelType w:val="hybridMultilevel"/>
    <w:tmpl w:val="83CA5C96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33555"/>
    <w:multiLevelType w:val="hybridMultilevel"/>
    <w:tmpl w:val="84F05C7A"/>
    <w:lvl w:ilvl="0" w:tplc="0BC0457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26C4D"/>
    <w:multiLevelType w:val="hybridMultilevel"/>
    <w:tmpl w:val="FC783BC6"/>
    <w:lvl w:ilvl="0" w:tplc="A3E4157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D0577"/>
    <w:multiLevelType w:val="hybridMultilevel"/>
    <w:tmpl w:val="82AEBC50"/>
    <w:lvl w:ilvl="0" w:tplc="D852576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05C6A"/>
    <w:multiLevelType w:val="hybridMultilevel"/>
    <w:tmpl w:val="A628CC94"/>
    <w:lvl w:ilvl="0" w:tplc="061CDA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E75FE5"/>
    <w:multiLevelType w:val="hybridMultilevel"/>
    <w:tmpl w:val="3C2CB4A0"/>
    <w:lvl w:ilvl="0" w:tplc="2D3E04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C067A"/>
    <w:multiLevelType w:val="hybridMultilevel"/>
    <w:tmpl w:val="7054D8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65D96"/>
    <w:multiLevelType w:val="hybridMultilevel"/>
    <w:tmpl w:val="9F1CA502"/>
    <w:lvl w:ilvl="0" w:tplc="A51A5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3718F"/>
    <w:multiLevelType w:val="hybridMultilevel"/>
    <w:tmpl w:val="9F1CA502"/>
    <w:lvl w:ilvl="0" w:tplc="A51A5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0AB"/>
    <w:multiLevelType w:val="hybridMultilevel"/>
    <w:tmpl w:val="5BF414BC"/>
    <w:lvl w:ilvl="0" w:tplc="ADDEB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D41EE"/>
    <w:multiLevelType w:val="hybridMultilevel"/>
    <w:tmpl w:val="0142C38E"/>
    <w:lvl w:ilvl="0" w:tplc="98740F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A647D"/>
    <w:multiLevelType w:val="hybridMultilevel"/>
    <w:tmpl w:val="B00080FE"/>
    <w:lvl w:ilvl="0" w:tplc="140A000F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7" w15:restartNumberingAfterBreak="0">
    <w:nsid w:val="6F6660C0"/>
    <w:multiLevelType w:val="hybridMultilevel"/>
    <w:tmpl w:val="9306BCA6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DA320A"/>
    <w:multiLevelType w:val="hybridMultilevel"/>
    <w:tmpl w:val="1C3815D4"/>
    <w:lvl w:ilvl="0" w:tplc="DB1C68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210CE"/>
    <w:multiLevelType w:val="hybridMultilevel"/>
    <w:tmpl w:val="79645ADE"/>
    <w:lvl w:ilvl="0" w:tplc="69600E3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0A37EB"/>
    <w:multiLevelType w:val="hybridMultilevel"/>
    <w:tmpl w:val="A19434C4"/>
    <w:lvl w:ilvl="0" w:tplc="A97A48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76163"/>
    <w:multiLevelType w:val="multilevel"/>
    <w:tmpl w:val="C5528156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9545D6"/>
    <w:multiLevelType w:val="hybridMultilevel"/>
    <w:tmpl w:val="6F742828"/>
    <w:lvl w:ilvl="0" w:tplc="FFA0489A">
      <w:start w:val="1"/>
      <w:numFmt w:val="lowerLetter"/>
      <w:lvlText w:val="%1."/>
      <w:lvlJc w:val="left"/>
      <w:pPr>
        <w:ind w:left="720" w:hanging="360"/>
      </w:pPr>
      <w:rPr>
        <w:rFonts w:cs="TTE1865388t00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C588E"/>
    <w:multiLevelType w:val="hybridMultilevel"/>
    <w:tmpl w:val="586A3188"/>
    <w:lvl w:ilvl="0" w:tplc="83EA1C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7"/>
  </w:num>
  <w:num w:numId="6">
    <w:abstractNumId w:val="4"/>
  </w:num>
  <w:num w:numId="7">
    <w:abstractNumId w:val="2"/>
  </w:num>
  <w:num w:numId="8">
    <w:abstractNumId w:val="30"/>
  </w:num>
  <w:num w:numId="9">
    <w:abstractNumId w:val="29"/>
  </w:num>
  <w:num w:numId="10">
    <w:abstractNumId w:val="17"/>
  </w:num>
  <w:num w:numId="11">
    <w:abstractNumId w:val="23"/>
  </w:num>
  <w:num w:numId="12">
    <w:abstractNumId w:val="5"/>
  </w:num>
  <w:num w:numId="13">
    <w:abstractNumId w:val="19"/>
  </w:num>
  <w:num w:numId="14">
    <w:abstractNumId w:val="18"/>
  </w:num>
  <w:num w:numId="15">
    <w:abstractNumId w:val="21"/>
  </w:num>
  <w:num w:numId="16">
    <w:abstractNumId w:val="22"/>
  </w:num>
  <w:num w:numId="17">
    <w:abstractNumId w:val="3"/>
  </w:num>
  <w:num w:numId="18">
    <w:abstractNumId w:val="8"/>
  </w:num>
  <w:num w:numId="19">
    <w:abstractNumId w:val="14"/>
  </w:num>
  <w:num w:numId="20">
    <w:abstractNumId w:val="12"/>
  </w:num>
  <w:num w:numId="21">
    <w:abstractNumId w:val="11"/>
  </w:num>
  <w:num w:numId="22">
    <w:abstractNumId w:val="20"/>
  </w:num>
  <w:num w:numId="23">
    <w:abstractNumId w:val="9"/>
  </w:num>
  <w:num w:numId="24">
    <w:abstractNumId w:val="33"/>
  </w:num>
  <w:num w:numId="25">
    <w:abstractNumId w:val="7"/>
  </w:num>
  <w:num w:numId="26">
    <w:abstractNumId w:val="0"/>
  </w:num>
  <w:num w:numId="27">
    <w:abstractNumId w:val="10"/>
  </w:num>
  <w:num w:numId="28">
    <w:abstractNumId w:val="24"/>
  </w:num>
  <w:num w:numId="29">
    <w:abstractNumId w:val="26"/>
  </w:num>
  <w:num w:numId="30">
    <w:abstractNumId w:val="25"/>
  </w:num>
  <w:num w:numId="31">
    <w:abstractNumId w:val="31"/>
  </w:num>
  <w:num w:numId="32">
    <w:abstractNumId w:val="13"/>
  </w:num>
  <w:num w:numId="33">
    <w:abstractNumId w:val="6"/>
  </w:num>
  <w:num w:numId="3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21A3"/>
    <w:rsid w:val="000040EF"/>
    <w:rsid w:val="0000518D"/>
    <w:rsid w:val="00010592"/>
    <w:rsid w:val="000128E2"/>
    <w:rsid w:val="00017DE2"/>
    <w:rsid w:val="000213DD"/>
    <w:rsid w:val="00024564"/>
    <w:rsid w:val="00024BA5"/>
    <w:rsid w:val="000254A5"/>
    <w:rsid w:val="00034CE3"/>
    <w:rsid w:val="000359F5"/>
    <w:rsid w:val="00036DAC"/>
    <w:rsid w:val="000401D6"/>
    <w:rsid w:val="000414FE"/>
    <w:rsid w:val="000428F8"/>
    <w:rsid w:val="000437DE"/>
    <w:rsid w:val="00043B22"/>
    <w:rsid w:val="00047F2B"/>
    <w:rsid w:val="00050123"/>
    <w:rsid w:val="000602DE"/>
    <w:rsid w:val="00060CCC"/>
    <w:rsid w:val="00067296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A0756"/>
    <w:rsid w:val="000A5D85"/>
    <w:rsid w:val="000B10B4"/>
    <w:rsid w:val="000B10C0"/>
    <w:rsid w:val="000B39AF"/>
    <w:rsid w:val="000B55D7"/>
    <w:rsid w:val="000B6841"/>
    <w:rsid w:val="000B6B41"/>
    <w:rsid w:val="000B7C5A"/>
    <w:rsid w:val="000C0A23"/>
    <w:rsid w:val="000C3E9F"/>
    <w:rsid w:val="000C52B7"/>
    <w:rsid w:val="000C68C0"/>
    <w:rsid w:val="000D2AD1"/>
    <w:rsid w:val="000D34C2"/>
    <w:rsid w:val="000D5ACC"/>
    <w:rsid w:val="000D5C6B"/>
    <w:rsid w:val="000D7162"/>
    <w:rsid w:val="000E1F4D"/>
    <w:rsid w:val="000E420E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50F07"/>
    <w:rsid w:val="00153E19"/>
    <w:rsid w:val="00155121"/>
    <w:rsid w:val="00156111"/>
    <w:rsid w:val="001644B1"/>
    <w:rsid w:val="00165556"/>
    <w:rsid w:val="00165902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62C2"/>
    <w:rsid w:val="001B1E0E"/>
    <w:rsid w:val="001B208D"/>
    <w:rsid w:val="001B59CC"/>
    <w:rsid w:val="001C1124"/>
    <w:rsid w:val="001C1335"/>
    <w:rsid w:val="001D40F5"/>
    <w:rsid w:val="001E0224"/>
    <w:rsid w:val="001E08C0"/>
    <w:rsid w:val="001E11D4"/>
    <w:rsid w:val="001E684C"/>
    <w:rsid w:val="001E69A6"/>
    <w:rsid w:val="001E69C9"/>
    <w:rsid w:val="001F0C0F"/>
    <w:rsid w:val="001F3C06"/>
    <w:rsid w:val="0020019E"/>
    <w:rsid w:val="0020223D"/>
    <w:rsid w:val="00204A01"/>
    <w:rsid w:val="00204A3D"/>
    <w:rsid w:val="00210743"/>
    <w:rsid w:val="002118B2"/>
    <w:rsid w:val="002127EE"/>
    <w:rsid w:val="002139D9"/>
    <w:rsid w:val="00217BCB"/>
    <w:rsid w:val="002207D9"/>
    <w:rsid w:val="00220ED5"/>
    <w:rsid w:val="00221713"/>
    <w:rsid w:val="00225D59"/>
    <w:rsid w:val="002279E5"/>
    <w:rsid w:val="00227D3E"/>
    <w:rsid w:val="00230EB0"/>
    <w:rsid w:val="00234BB0"/>
    <w:rsid w:val="00235258"/>
    <w:rsid w:val="00242D06"/>
    <w:rsid w:val="00246D38"/>
    <w:rsid w:val="00250B47"/>
    <w:rsid w:val="00253D5C"/>
    <w:rsid w:val="00255202"/>
    <w:rsid w:val="002569E9"/>
    <w:rsid w:val="00260F3E"/>
    <w:rsid w:val="00261D4A"/>
    <w:rsid w:val="00263233"/>
    <w:rsid w:val="00266024"/>
    <w:rsid w:val="002668E5"/>
    <w:rsid w:val="0026727D"/>
    <w:rsid w:val="00267A3B"/>
    <w:rsid w:val="002743B7"/>
    <w:rsid w:val="00275822"/>
    <w:rsid w:val="00275FE3"/>
    <w:rsid w:val="00280C7B"/>
    <w:rsid w:val="00281B37"/>
    <w:rsid w:val="00283360"/>
    <w:rsid w:val="00283375"/>
    <w:rsid w:val="00284956"/>
    <w:rsid w:val="0029068F"/>
    <w:rsid w:val="00293149"/>
    <w:rsid w:val="00293595"/>
    <w:rsid w:val="00294D1D"/>
    <w:rsid w:val="002A285B"/>
    <w:rsid w:val="002A39D6"/>
    <w:rsid w:val="002A51A3"/>
    <w:rsid w:val="002A57B5"/>
    <w:rsid w:val="002A7751"/>
    <w:rsid w:val="002B2032"/>
    <w:rsid w:val="002B2346"/>
    <w:rsid w:val="002C19F4"/>
    <w:rsid w:val="002C228F"/>
    <w:rsid w:val="002C2B58"/>
    <w:rsid w:val="002C468D"/>
    <w:rsid w:val="002C4D2C"/>
    <w:rsid w:val="002C6BE2"/>
    <w:rsid w:val="002E03BF"/>
    <w:rsid w:val="002E1507"/>
    <w:rsid w:val="002E2751"/>
    <w:rsid w:val="002E49F2"/>
    <w:rsid w:val="002E5A2A"/>
    <w:rsid w:val="002F1374"/>
    <w:rsid w:val="00300778"/>
    <w:rsid w:val="003011A3"/>
    <w:rsid w:val="0030153B"/>
    <w:rsid w:val="00301B0B"/>
    <w:rsid w:val="00310865"/>
    <w:rsid w:val="003162A0"/>
    <w:rsid w:val="00316937"/>
    <w:rsid w:val="00322446"/>
    <w:rsid w:val="00322B8A"/>
    <w:rsid w:val="00323397"/>
    <w:rsid w:val="00323590"/>
    <w:rsid w:val="00324AB0"/>
    <w:rsid w:val="00325DEA"/>
    <w:rsid w:val="00325E1C"/>
    <w:rsid w:val="00332808"/>
    <w:rsid w:val="00333402"/>
    <w:rsid w:val="00334300"/>
    <w:rsid w:val="00337455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2B56"/>
    <w:rsid w:val="00394733"/>
    <w:rsid w:val="00395647"/>
    <w:rsid w:val="00396AAA"/>
    <w:rsid w:val="003A434F"/>
    <w:rsid w:val="003A49BC"/>
    <w:rsid w:val="003A4B48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2233"/>
    <w:rsid w:val="003E2804"/>
    <w:rsid w:val="003E369B"/>
    <w:rsid w:val="003E6A14"/>
    <w:rsid w:val="003E7EDF"/>
    <w:rsid w:val="003F0204"/>
    <w:rsid w:val="003F7807"/>
    <w:rsid w:val="003F7A14"/>
    <w:rsid w:val="00400C92"/>
    <w:rsid w:val="0040137C"/>
    <w:rsid w:val="004023E1"/>
    <w:rsid w:val="004060DD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7F0F"/>
    <w:rsid w:val="0044013A"/>
    <w:rsid w:val="00443B63"/>
    <w:rsid w:val="00445CED"/>
    <w:rsid w:val="00447784"/>
    <w:rsid w:val="004505E8"/>
    <w:rsid w:val="004511A1"/>
    <w:rsid w:val="00452394"/>
    <w:rsid w:val="00456A37"/>
    <w:rsid w:val="00460D38"/>
    <w:rsid w:val="00461FB2"/>
    <w:rsid w:val="00462436"/>
    <w:rsid w:val="00464247"/>
    <w:rsid w:val="00465585"/>
    <w:rsid w:val="00467089"/>
    <w:rsid w:val="004730AC"/>
    <w:rsid w:val="00473A47"/>
    <w:rsid w:val="00474B22"/>
    <w:rsid w:val="00476861"/>
    <w:rsid w:val="00480A91"/>
    <w:rsid w:val="00481E38"/>
    <w:rsid w:val="0048333E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5FB"/>
    <w:rsid w:val="004E6E23"/>
    <w:rsid w:val="004F1FAD"/>
    <w:rsid w:val="004F319C"/>
    <w:rsid w:val="00502116"/>
    <w:rsid w:val="00503263"/>
    <w:rsid w:val="005032E7"/>
    <w:rsid w:val="00504D5D"/>
    <w:rsid w:val="00506EDE"/>
    <w:rsid w:val="00510C22"/>
    <w:rsid w:val="00511246"/>
    <w:rsid w:val="005121D8"/>
    <w:rsid w:val="005156CF"/>
    <w:rsid w:val="00515CEC"/>
    <w:rsid w:val="00515E4C"/>
    <w:rsid w:val="00521B94"/>
    <w:rsid w:val="00523260"/>
    <w:rsid w:val="0052523D"/>
    <w:rsid w:val="00525250"/>
    <w:rsid w:val="00525FBA"/>
    <w:rsid w:val="005300C8"/>
    <w:rsid w:val="00531529"/>
    <w:rsid w:val="005318C7"/>
    <w:rsid w:val="00531D6E"/>
    <w:rsid w:val="00532545"/>
    <w:rsid w:val="00532698"/>
    <w:rsid w:val="00533095"/>
    <w:rsid w:val="00533D6D"/>
    <w:rsid w:val="00540263"/>
    <w:rsid w:val="00540BF7"/>
    <w:rsid w:val="005428FF"/>
    <w:rsid w:val="00542FD2"/>
    <w:rsid w:val="005447D0"/>
    <w:rsid w:val="00546B67"/>
    <w:rsid w:val="005578CB"/>
    <w:rsid w:val="005579A5"/>
    <w:rsid w:val="00561FD4"/>
    <w:rsid w:val="00563E83"/>
    <w:rsid w:val="0056674D"/>
    <w:rsid w:val="005766E0"/>
    <w:rsid w:val="00577426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B2823"/>
    <w:rsid w:val="005B465B"/>
    <w:rsid w:val="005C0755"/>
    <w:rsid w:val="005C2C87"/>
    <w:rsid w:val="005C52A3"/>
    <w:rsid w:val="005C56A6"/>
    <w:rsid w:val="005D234B"/>
    <w:rsid w:val="005E06F0"/>
    <w:rsid w:val="005E4831"/>
    <w:rsid w:val="005E6F3F"/>
    <w:rsid w:val="005F3429"/>
    <w:rsid w:val="005F3B68"/>
    <w:rsid w:val="005F40F5"/>
    <w:rsid w:val="005F6B28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42DF"/>
    <w:rsid w:val="006465AB"/>
    <w:rsid w:val="00646ED5"/>
    <w:rsid w:val="00651E73"/>
    <w:rsid w:val="00653936"/>
    <w:rsid w:val="00656B1D"/>
    <w:rsid w:val="00661406"/>
    <w:rsid w:val="00664E8B"/>
    <w:rsid w:val="00665335"/>
    <w:rsid w:val="0066604E"/>
    <w:rsid w:val="0066690B"/>
    <w:rsid w:val="00672900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A579C"/>
    <w:rsid w:val="006B0D38"/>
    <w:rsid w:val="006B20B4"/>
    <w:rsid w:val="006B4FBB"/>
    <w:rsid w:val="006B5EC0"/>
    <w:rsid w:val="006B7D15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36E"/>
    <w:rsid w:val="006F7C62"/>
    <w:rsid w:val="00704042"/>
    <w:rsid w:val="007133B5"/>
    <w:rsid w:val="007140BA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3178"/>
    <w:rsid w:val="00734993"/>
    <w:rsid w:val="007369BA"/>
    <w:rsid w:val="00740752"/>
    <w:rsid w:val="0074284B"/>
    <w:rsid w:val="00744C74"/>
    <w:rsid w:val="0075179A"/>
    <w:rsid w:val="00751AB1"/>
    <w:rsid w:val="007553D4"/>
    <w:rsid w:val="00760AD1"/>
    <w:rsid w:val="00761133"/>
    <w:rsid w:val="007619FB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593"/>
    <w:rsid w:val="007D5BC0"/>
    <w:rsid w:val="007D77B2"/>
    <w:rsid w:val="007D7B7B"/>
    <w:rsid w:val="007E0809"/>
    <w:rsid w:val="007E12A1"/>
    <w:rsid w:val="007E7814"/>
    <w:rsid w:val="007F49BB"/>
    <w:rsid w:val="007F5314"/>
    <w:rsid w:val="007F60AC"/>
    <w:rsid w:val="007F625C"/>
    <w:rsid w:val="007F63D0"/>
    <w:rsid w:val="007F6D48"/>
    <w:rsid w:val="007F7114"/>
    <w:rsid w:val="00804036"/>
    <w:rsid w:val="008071A7"/>
    <w:rsid w:val="00807CCB"/>
    <w:rsid w:val="008101FC"/>
    <w:rsid w:val="008108E8"/>
    <w:rsid w:val="0081353F"/>
    <w:rsid w:val="00816407"/>
    <w:rsid w:val="00825809"/>
    <w:rsid w:val="00825F93"/>
    <w:rsid w:val="00831982"/>
    <w:rsid w:val="0083257F"/>
    <w:rsid w:val="00837AFC"/>
    <w:rsid w:val="008434BA"/>
    <w:rsid w:val="00845D24"/>
    <w:rsid w:val="00851093"/>
    <w:rsid w:val="008544DB"/>
    <w:rsid w:val="00862FA3"/>
    <w:rsid w:val="00865845"/>
    <w:rsid w:val="008765DF"/>
    <w:rsid w:val="00876EC4"/>
    <w:rsid w:val="00877453"/>
    <w:rsid w:val="0088064F"/>
    <w:rsid w:val="008833CD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B0272"/>
    <w:rsid w:val="008B43F5"/>
    <w:rsid w:val="008C0ED3"/>
    <w:rsid w:val="008C0FFF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900ABC"/>
    <w:rsid w:val="00902B37"/>
    <w:rsid w:val="0090700F"/>
    <w:rsid w:val="00911F70"/>
    <w:rsid w:val="009120EB"/>
    <w:rsid w:val="00914F38"/>
    <w:rsid w:val="00917F97"/>
    <w:rsid w:val="00924AA2"/>
    <w:rsid w:val="009258C6"/>
    <w:rsid w:val="00930A02"/>
    <w:rsid w:val="009401C7"/>
    <w:rsid w:val="009526A4"/>
    <w:rsid w:val="00953CA5"/>
    <w:rsid w:val="0096004A"/>
    <w:rsid w:val="00961770"/>
    <w:rsid w:val="00962660"/>
    <w:rsid w:val="00963F04"/>
    <w:rsid w:val="009651B9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C11B1"/>
    <w:rsid w:val="009C402F"/>
    <w:rsid w:val="009D587E"/>
    <w:rsid w:val="009D680A"/>
    <w:rsid w:val="009D7E35"/>
    <w:rsid w:val="009E5AB7"/>
    <w:rsid w:val="009E65F6"/>
    <w:rsid w:val="009E74DA"/>
    <w:rsid w:val="009F2039"/>
    <w:rsid w:val="009F26A6"/>
    <w:rsid w:val="009F2D9A"/>
    <w:rsid w:val="009F4734"/>
    <w:rsid w:val="009F4B6B"/>
    <w:rsid w:val="009F79DC"/>
    <w:rsid w:val="00A00DE4"/>
    <w:rsid w:val="00A034D6"/>
    <w:rsid w:val="00A04B4B"/>
    <w:rsid w:val="00A07231"/>
    <w:rsid w:val="00A07BF1"/>
    <w:rsid w:val="00A1609F"/>
    <w:rsid w:val="00A22594"/>
    <w:rsid w:val="00A22FC1"/>
    <w:rsid w:val="00A258C2"/>
    <w:rsid w:val="00A261DF"/>
    <w:rsid w:val="00A276D0"/>
    <w:rsid w:val="00A305BA"/>
    <w:rsid w:val="00A35122"/>
    <w:rsid w:val="00A354D5"/>
    <w:rsid w:val="00A405DB"/>
    <w:rsid w:val="00A54E67"/>
    <w:rsid w:val="00A57051"/>
    <w:rsid w:val="00A602B0"/>
    <w:rsid w:val="00A60666"/>
    <w:rsid w:val="00A60DB0"/>
    <w:rsid w:val="00A618D1"/>
    <w:rsid w:val="00A71CCB"/>
    <w:rsid w:val="00A72D3C"/>
    <w:rsid w:val="00A772EF"/>
    <w:rsid w:val="00A77F8A"/>
    <w:rsid w:val="00A82FEA"/>
    <w:rsid w:val="00A8408D"/>
    <w:rsid w:val="00AA4A78"/>
    <w:rsid w:val="00AA5259"/>
    <w:rsid w:val="00AB0454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598C"/>
    <w:rsid w:val="00B05C4B"/>
    <w:rsid w:val="00B05D21"/>
    <w:rsid w:val="00B10D6F"/>
    <w:rsid w:val="00B124AA"/>
    <w:rsid w:val="00B219FF"/>
    <w:rsid w:val="00B227C4"/>
    <w:rsid w:val="00B229A7"/>
    <w:rsid w:val="00B23A76"/>
    <w:rsid w:val="00B269D8"/>
    <w:rsid w:val="00B26FFA"/>
    <w:rsid w:val="00B40B55"/>
    <w:rsid w:val="00B415F0"/>
    <w:rsid w:val="00B47959"/>
    <w:rsid w:val="00B500C3"/>
    <w:rsid w:val="00B50C53"/>
    <w:rsid w:val="00B544F0"/>
    <w:rsid w:val="00B545A7"/>
    <w:rsid w:val="00B60382"/>
    <w:rsid w:val="00B65D67"/>
    <w:rsid w:val="00B715D6"/>
    <w:rsid w:val="00B7167E"/>
    <w:rsid w:val="00B7392D"/>
    <w:rsid w:val="00B74005"/>
    <w:rsid w:val="00B80A64"/>
    <w:rsid w:val="00B87D56"/>
    <w:rsid w:val="00B9004B"/>
    <w:rsid w:val="00B904C4"/>
    <w:rsid w:val="00B90CD4"/>
    <w:rsid w:val="00B91F8D"/>
    <w:rsid w:val="00B93728"/>
    <w:rsid w:val="00B93D3F"/>
    <w:rsid w:val="00B9565B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1253"/>
    <w:rsid w:val="00BD5529"/>
    <w:rsid w:val="00BD64C2"/>
    <w:rsid w:val="00BD72A1"/>
    <w:rsid w:val="00BE11A5"/>
    <w:rsid w:val="00BE546A"/>
    <w:rsid w:val="00BF7038"/>
    <w:rsid w:val="00BF7AAD"/>
    <w:rsid w:val="00C0001A"/>
    <w:rsid w:val="00C00074"/>
    <w:rsid w:val="00C06CDD"/>
    <w:rsid w:val="00C1061F"/>
    <w:rsid w:val="00C11B55"/>
    <w:rsid w:val="00C11CB1"/>
    <w:rsid w:val="00C12671"/>
    <w:rsid w:val="00C16E0E"/>
    <w:rsid w:val="00C229B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AE1"/>
    <w:rsid w:val="00C940BF"/>
    <w:rsid w:val="00C947EB"/>
    <w:rsid w:val="00C95610"/>
    <w:rsid w:val="00C971F9"/>
    <w:rsid w:val="00C97317"/>
    <w:rsid w:val="00CA3E94"/>
    <w:rsid w:val="00CA406B"/>
    <w:rsid w:val="00CB0CB0"/>
    <w:rsid w:val="00CB0ED4"/>
    <w:rsid w:val="00CB1EFF"/>
    <w:rsid w:val="00CB4C4E"/>
    <w:rsid w:val="00CB682F"/>
    <w:rsid w:val="00CB7A61"/>
    <w:rsid w:val="00CC64CA"/>
    <w:rsid w:val="00CC68BB"/>
    <w:rsid w:val="00CD4387"/>
    <w:rsid w:val="00CE0215"/>
    <w:rsid w:val="00CE6A7A"/>
    <w:rsid w:val="00CF025B"/>
    <w:rsid w:val="00CF0602"/>
    <w:rsid w:val="00CF1711"/>
    <w:rsid w:val="00CF1C87"/>
    <w:rsid w:val="00CF1E9D"/>
    <w:rsid w:val="00CF22B9"/>
    <w:rsid w:val="00D0233D"/>
    <w:rsid w:val="00D0240D"/>
    <w:rsid w:val="00D0436A"/>
    <w:rsid w:val="00D111F5"/>
    <w:rsid w:val="00D12861"/>
    <w:rsid w:val="00D14DDC"/>
    <w:rsid w:val="00D20378"/>
    <w:rsid w:val="00D24A4B"/>
    <w:rsid w:val="00D31B0E"/>
    <w:rsid w:val="00D3376F"/>
    <w:rsid w:val="00D350A6"/>
    <w:rsid w:val="00D3783E"/>
    <w:rsid w:val="00D41CFB"/>
    <w:rsid w:val="00D43FD9"/>
    <w:rsid w:val="00D45874"/>
    <w:rsid w:val="00D46755"/>
    <w:rsid w:val="00D479AF"/>
    <w:rsid w:val="00D500A1"/>
    <w:rsid w:val="00D51BB1"/>
    <w:rsid w:val="00D558F9"/>
    <w:rsid w:val="00D55D15"/>
    <w:rsid w:val="00D60137"/>
    <w:rsid w:val="00D6173A"/>
    <w:rsid w:val="00D65680"/>
    <w:rsid w:val="00D6604C"/>
    <w:rsid w:val="00D66756"/>
    <w:rsid w:val="00D67BAD"/>
    <w:rsid w:val="00D729A5"/>
    <w:rsid w:val="00D72ECB"/>
    <w:rsid w:val="00D91190"/>
    <w:rsid w:val="00D91D3F"/>
    <w:rsid w:val="00D91FDE"/>
    <w:rsid w:val="00D9781D"/>
    <w:rsid w:val="00DA005F"/>
    <w:rsid w:val="00DA0942"/>
    <w:rsid w:val="00DA0D04"/>
    <w:rsid w:val="00DB11AA"/>
    <w:rsid w:val="00DC17C3"/>
    <w:rsid w:val="00DC2CBA"/>
    <w:rsid w:val="00DC33A5"/>
    <w:rsid w:val="00DC33AD"/>
    <w:rsid w:val="00DC34D3"/>
    <w:rsid w:val="00DC5266"/>
    <w:rsid w:val="00DD46A3"/>
    <w:rsid w:val="00DD50B4"/>
    <w:rsid w:val="00DD739B"/>
    <w:rsid w:val="00DD760F"/>
    <w:rsid w:val="00DE4B08"/>
    <w:rsid w:val="00DE7014"/>
    <w:rsid w:val="00DE7BB8"/>
    <w:rsid w:val="00DF2BAA"/>
    <w:rsid w:val="00DF2F90"/>
    <w:rsid w:val="00DF45FF"/>
    <w:rsid w:val="00DF7755"/>
    <w:rsid w:val="00E01250"/>
    <w:rsid w:val="00E05701"/>
    <w:rsid w:val="00E0753C"/>
    <w:rsid w:val="00E11488"/>
    <w:rsid w:val="00E16F62"/>
    <w:rsid w:val="00E22D17"/>
    <w:rsid w:val="00E26992"/>
    <w:rsid w:val="00E30502"/>
    <w:rsid w:val="00E359B9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4C9D"/>
    <w:rsid w:val="00E6544B"/>
    <w:rsid w:val="00E718A6"/>
    <w:rsid w:val="00E80FBE"/>
    <w:rsid w:val="00E82183"/>
    <w:rsid w:val="00E9331A"/>
    <w:rsid w:val="00E96B6D"/>
    <w:rsid w:val="00E97F75"/>
    <w:rsid w:val="00EA5044"/>
    <w:rsid w:val="00EA7D5B"/>
    <w:rsid w:val="00EB118F"/>
    <w:rsid w:val="00EB1F53"/>
    <w:rsid w:val="00EB4683"/>
    <w:rsid w:val="00EB7E2E"/>
    <w:rsid w:val="00EC05E8"/>
    <w:rsid w:val="00EC20F1"/>
    <w:rsid w:val="00EC2289"/>
    <w:rsid w:val="00EC2B3F"/>
    <w:rsid w:val="00EC30C2"/>
    <w:rsid w:val="00EC3C5B"/>
    <w:rsid w:val="00EC3FA1"/>
    <w:rsid w:val="00EC6EDE"/>
    <w:rsid w:val="00ED0DA7"/>
    <w:rsid w:val="00ED3841"/>
    <w:rsid w:val="00ED4A69"/>
    <w:rsid w:val="00ED4BF0"/>
    <w:rsid w:val="00ED5E2F"/>
    <w:rsid w:val="00EE0E1C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BC"/>
    <w:rsid w:val="00F245F7"/>
    <w:rsid w:val="00F25DC2"/>
    <w:rsid w:val="00F30E9B"/>
    <w:rsid w:val="00F3442B"/>
    <w:rsid w:val="00F35A19"/>
    <w:rsid w:val="00F36F9F"/>
    <w:rsid w:val="00F37610"/>
    <w:rsid w:val="00F41878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A31A5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C2047"/>
    <w:rsid w:val="00FC2763"/>
    <w:rsid w:val="00FC322D"/>
    <w:rsid w:val="00FD13B7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file:///\\itcr.ac.cr\datos\sci\COMISIONES\COMISIONES%20PERMANENTES\COMISI&#211;N%20DE%20PLANIFICACION%20Y%20ADMINISTRACION\2017\PROPUESTAS\S%203007\POLITICAS%20ESPECIFICAS%202018\PROPUESTA%20DE%20POLITICAS%20ESPECIFICAS%202018.docx" TargetMode="External"/><Relationship Id="rId4" Type="http://schemas.openxmlformats.org/officeDocument/2006/relationships/settings" Target="settings.xml"/><Relationship Id="rId9" Type="http://schemas.openxmlformats.org/officeDocument/2006/relationships/oleObject" Target="file:///\\itcr.ac.cr\datos\sci\COMISIONES\COMISIONES%20PERMANENTES\COMISI&#211;N%20DE%20PLANIFICACION%20Y%20ADMINISTRACION\2017\PROPUESTAS\S%203007\POLITICAS%20ESPECIFICAS%202018\R-048-2017%20%20Propuesta%20%20Pol&#237;ticas%20Espec&#237;ficas%20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ED9F-8792-4FCE-B94E-850DE045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5027</Words>
  <Characters>27651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32613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54</cp:revision>
  <cp:lastPrinted>2016-11-23T19:32:00Z</cp:lastPrinted>
  <dcterms:created xsi:type="dcterms:W3CDTF">2016-10-05T20:00:00Z</dcterms:created>
  <dcterms:modified xsi:type="dcterms:W3CDTF">2017-03-29T21:02:00Z</dcterms:modified>
</cp:coreProperties>
</file>