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57547">
        <w:rPr>
          <w:rFonts w:ascii="Arial" w:hAnsi="Arial" w:cs="Arial"/>
          <w:b/>
          <w:bCs/>
          <w:iCs/>
          <w:sz w:val="26"/>
          <w:szCs w:val="22"/>
          <w:lang w:val="es-CR"/>
        </w:rPr>
        <w:t>189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3E0C89" w:rsidRPr="00D958BC" w:rsidRDefault="003E0C89"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3E0C89" w:rsidRPr="00D958BC" w:rsidRDefault="003E0C89" w:rsidP="003E0C8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D958BC">
              <w:rPr>
                <w:rFonts w:ascii="Arial" w:eastAsia="Cambria" w:hAnsi="Arial" w:cs="Arial"/>
                <w:sz w:val="22"/>
                <w:szCs w:val="22"/>
                <w:lang w:val="es-ES_tradnl" w:eastAsia="en-US"/>
              </w:rPr>
              <w:t>, Director Centro Académico de Alajuela</w:t>
            </w:r>
          </w:p>
          <w:p w:rsidR="003E0C89" w:rsidRPr="00D958BC" w:rsidRDefault="003E0C89" w:rsidP="003E0C89">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3E0C89" w:rsidRDefault="003E0C89" w:rsidP="003E0C89">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M.A.U. Tatiana Fernández, Directora Oficina Planificación Institucional</w:t>
            </w:r>
          </w:p>
          <w:p w:rsidR="003E0C89" w:rsidRDefault="003E0C89" w:rsidP="003E0C8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3E0C89" w:rsidRPr="00D958BC" w:rsidRDefault="003E0C89" w:rsidP="003E0C8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Roy D’Avanzo, Director Departamento </w:t>
            </w:r>
            <w:r w:rsidR="00CB5DCD">
              <w:rPr>
                <w:rFonts w:ascii="Arial" w:eastAsia="Cambria" w:hAnsi="Arial" w:cs="Arial"/>
                <w:sz w:val="22"/>
                <w:szCs w:val="22"/>
                <w:lang w:val="es-ES_tradnl" w:eastAsia="en-US"/>
              </w:rPr>
              <w:t>Financiero Contable</w:t>
            </w:r>
            <w:bookmarkStart w:id="0" w:name="_GoBack"/>
            <w:bookmarkEnd w:id="0"/>
          </w:p>
          <w:p w:rsidR="005D234B" w:rsidRPr="006B4FBB" w:rsidRDefault="005D234B" w:rsidP="0047360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7A2D73" w:rsidP="007A2D73">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5318C" w:rsidRDefault="007742A1" w:rsidP="0045318C">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7A2D73">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6C4FFB">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7A2D73">
              <w:rPr>
                <w:rFonts w:ascii="Arial" w:eastAsia="Calibri" w:hAnsi="Arial" w:cs="Arial"/>
                <w:b/>
                <w:sz w:val="22"/>
                <w:szCs w:val="22"/>
              </w:rPr>
              <w:t>05</w:t>
            </w:r>
            <w:r w:rsidRPr="00D958BC">
              <w:rPr>
                <w:rFonts w:ascii="Arial" w:eastAsia="Calibri" w:hAnsi="Arial" w:cs="Arial"/>
                <w:b/>
                <w:sz w:val="22"/>
                <w:szCs w:val="22"/>
              </w:rPr>
              <w:t xml:space="preserve"> de </w:t>
            </w:r>
            <w:r w:rsidR="007A2D73">
              <w:rPr>
                <w:rFonts w:ascii="Arial" w:eastAsia="Calibri" w:hAnsi="Arial" w:cs="Arial"/>
                <w:b/>
                <w:sz w:val="22"/>
                <w:szCs w:val="22"/>
              </w:rPr>
              <w:t xml:space="preserve">abril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7A2D73">
              <w:rPr>
                <w:rFonts w:ascii="Arial" w:eastAsia="Calibri" w:hAnsi="Arial" w:cs="Arial"/>
                <w:b/>
                <w:sz w:val="22"/>
                <w:szCs w:val="22"/>
              </w:rPr>
              <w:t xml:space="preserve">Modificación Artículos 2 y 6 del Reglamento para la aplicación de Modificaciones Presupuestarias en el ITCR </w:t>
            </w:r>
          </w:p>
          <w:p w:rsidR="0045318C" w:rsidRPr="0047360D" w:rsidRDefault="0045318C" w:rsidP="0045318C">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6C4FFB" w:rsidRPr="006C4FFB" w:rsidRDefault="006C4FFB" w:rsidP="006C4FFB">
      <w:pPr>
        <w:rPr>
          <w:rFonts w:ascii="Arial" w:eastAsia="Calibri" w:hAnsi="Arial" w:cs="Arial"/>
          <w:b/>
          <w:lang w:val="es-ES_tradnl"/>
        </w:rPr>
      </w:pPr>
      <w:r w:rsidRPr="006C4FFB">
        <w:rPr>
          <w:rFonts w:ascii="Arial" w:eastAsia="Calibri" w:hAnsi="Arial" w:cs="Arial"/>
          <w:b/>
          <w:lang w:val="es-ES_tradnl"/>
        </w:rPr>
        <w:t xml:space="preserve">RESULTANDO QUE: </w:t>
      </w:r>
    </w:p>
    <w:p w:rsidR="006C4FFB" w:rsidRPr="006C4FFB" w:rsidRDefault="006C4FFB" w:rsidP="006C4FFB">
      <w:pPr>
        <w:rPr>
          <w:rFonts w:ascii="Arial" w:eastAsia="Calibri" w:hAnsi="Arial" w:cs="Arial"/>
          <w:b/>
          <w:lang w:val="es-ES_tradnl"/>
        </w:rPr>
      </w:pPr>
    </w:p>
    <w:p w:rsidR="006C4FFB" w:rsidRPr="006C4FFB" w:rsidRDefault="006C4FFB" w:rsidP="006C4FFB">
      <w:pPr>
        <w:numPr>
          <w:ilvl w:val="0"/>
          <w:numId w:val="34"/>
        </w:numPr>
        <w:tabs>
          <w:tab w:val="left" w:pos="426"/>
        </w:tabs>
        <w:ind w:left="426" w:right="-1" w:hanging="426"/>
        <w:contextualSpacing/>
        <w:jc w:val="both"/>
        <w:rPr>
          <w:rFonts w:ascii="Arial" w:eastAsia="Calibri" w:hAnsi="Arial" w:cs="Arial"/>
          <w:bCs/>
          <w:lang w:val="es-CR"/>
        </w:rPr>
      </w:pPr>
      <w:r w:rsidRPr="006C4FFB">
        <w:rPr>
          <w:rFonts w:ascii="Arial" w:eastAsia="Calibri" w:hAnsi="Arial" w:cs="Arial"/>
          <w:bCs/>
          <w:lang w:val="es-CR"/>
        </w:rPr>
        <w:t>El inciso f del Artículo 18, del Estatuto Orgánico del ITCR, establece:</w:t>
      </w:r>
    </w:p>
    <w:p w:rsidR="006C4FFB" w:rsidRPr="006C4FFB" w:rsidRDefault="006C4FFB" w:rsidP="006C4FFB">
      <w:pPr>
        <w:ind w:left="284" w:right="-1"/>
        <w:contextualSpacing/>
        <w:jc w:val="both"/>
        <w:rPr>
          <w:rFonts w:ascii="Arial" w:eastAsia="Calibri" w:hAnsi="Arial" w:cs="Arial"/>
          <w:bCs/>
          <w:sz w:val="20"/>
          <w:szCs w:val="20"/>
          <w:lang w:val="es-CR"/>
        </w:rPr>
      </w:pPr>
    </w:p>
    <w:p w:rsidR="006C4FFB" w:rsidRPr="006C4FFB" w:rsidRDefault="006C4FFB" w:rsidP="006C4FFB">
      <w:pPr>
        <w:tabs>
          <w:tab w:val="left" w:pos="8505"/>
        </w:tabs>
        <w:ind w:left="851" w:right="476"/>
        <w:contextualSpacing/>
        <w:jc w:val="both"/>
        <w:rPr>
          <w:rFonts w:ascii="Arial" w:eastAsia="Calibri" w:hAnsi="Arial" w:cs="Arial"/>
          <w:bCs/>
          <w:i/>
          <w:sz w:val="22"/>
          <w:szCs w:val="22"/>
          <w:lang w:val="es-CR"/>
        </w:rPr>
      </w:pPr>
      <w:r w:rsidRPr="006C4FFB">
        <w:rPr>
          <w:rFonts w:ascii="Arial" w:eastAsia="Calibri" w:hAnsi="Arial" w:cs="Arial"/>
          <w:bCs/>
          <w:i/>
          <w:sz w:val="22"/>
          <w:szCs w:val="22"/>
          <w:lang w:val="es-CR"/>
        </w:rPr>
        <w:t>“Son funciones del Consejo Institucional:</w:t>
      </w:r>
    </w:p>
    <w:p w:rsidR="006C4FFB" w:rsidRPr="006C4FFB" w:rsidRDefault="006C4FFB" w:rsidP="006C4FFB">
      <w:pPr>
        <w:tabs>
          <w:tab w:val="left" w:pos="8505"/>
        </w:tabs>
        <w:ind w:left="851" w:right="476"/>
        <w:jc w:val="both"/>
        <w:rPr>
          <w:rFonts w:ascii="Arial" w:hAnsi="Arial" w:cs="Arial"/>
          <w:bCs/>
          <w:i/>
          <w:sz w:val="22"/>
          <w:szCs w:val="22"/>
          <w:lang w:val="es-CR"/>
        </w:rPr>
      </w:pPr>
    </w:p>
    <w:p w:rsidR="006C4FFB" w:rsidRPr="006C4FFB" w:rsidRDefault="006C4FFB" w:rsidP="006C4FFB">
      <w:pPr>
        <w:tabs>
          <w:tab w:val="left" w:pos="8505"/>
        </w:tabs>
        <w:ind w:left="993" w:right="476" w:hanging="142"/>
        <w:jc w:val="both"/>
        <w:rPr>
          <w:rFonts w:ascii="Arial" w:hAnsi="Arial" w:cs="Arial"/>
          <w:i/>
          <w:sz w:val="22"/>
          <w:szCs w:val="22"/>
          <w:lang w:val="es-CR"/>
        </w:rPr>
      </w:pPr>
      <w:r w:rsidRPr="006C4FFB">
        <w:rPr>
          <w:rFonts w:ascii="Arial" w:hAnsi="Arial" w:cs="Arial"/>
          <w:bCs/>
          <w:i/>
          <w:sz w:val="22"/>
          <w:szCs w:val="22"/>
          <w:lang w:val="es-CR"/>
        </w:rPr>
        <w:t xml:space="preserve">f. </w:t>
      </w:r>
      <w:r w:rsidRPr="006C4FFB">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6C4FFB" w:rsidRPr="006C4FFB" w:rsidRDefault="006C4FFB" w:rsidP="006C4FFB">
      <w:pPr>
        <w:ind w:left="709" w:hanging="142"/>
        <w:jc w:val="both"/>
        <w:rPr>
          <w:rFonts w:ascii="Arial" w:hAnsi="Arial" w:cs="Arial"/>
          <w:i/>
          <w:sz w:val="22"/>
          <w:szCs w:val="22"/>
          <w:lang w:val="es-CR"/>
        </w:rPr>
      </w:pPr>
    </w:p>
    <w:p w:rsidR="006C4FFB" w:rsidRPr="006C4FFB" w:rsidRDefault="006C4FFB" w:rsidP="006C4FFB">
      <w:pPr>
        <w:numPr>
          <w:ilvl w:val="0"/>
          <w:numId w:val="34"/>
        </w:numPr>
        <w:tabs>
          <w:tab w:val="left" w:pos="426"/>
        </w:tabs>
        <w:ind w:left="426" w:right="-1" w:hanging="426"/>
        <w:contextualSpacing/>
        <w:jc w:val="both"/>
        <w:rPr>
          <w:rFonts w:ascii="Arial" w:eastAsia="Cambria" w:hAnsi="Arial" w:cs="Arial"/>
          <w:lang w:val="es-ES_tradnl" w:eastAsia="en-US"/>
        </w:rPr>
      </w:pPr>
      <w:r w:rsidRPr="006C4FFB">
        <w:rPr>
          <w:rFonts w:ascii="Arial" w:eastAsia="Cambria" w:hAnsi="Arial" w:cs="Arial"/>
          <w:lang w:val="es-ES_tradnl" w:eastAsia="en-US"/>
        </w:rPr>
        <w:t xml:space="preserve">El </w:t>
      </w:r>
      <w:r w:rsidRPr="006C4FFB">
        <w:rPr>
          <w:rFonts w:ascii="Arial" w:eastAsia="Calibri" w:hAnsi="Arial" w:cs="Arial"/>
          <w:bCs/>
          <w:lang w:val="es-CR"/>
        </w:rPr>
        <w:t>Reglamento</w:t>
      </w:r>
      <w:r w:rsidRPr="006C4FFB">
        <w:rPr>
          <w:rFonts w:ascii="Arial" w:eastAsia="Cambria" w:hAnsi="Arial" w:cs="Arial"/>
          <w:lang w:val="es-ES_tradnl" w:eastAsia="en-US"/>
        </w:rPr>
        <w:t xml:space="preserve"> para la Aplicación de Modificaciones Presupuestarias en el ITCR, aprobado por el Consejo Institucional, en Sesión No. 2849, Artículo 8, del 28 de noviembre de 2013,  en su artículo 6, dice) establece:</w:t>
      </w:r>
    </w:p>
    <w:p w:rsidR="006C4FFB" w:rsidRPr="006C4FFB" w:rsidRDefault="006C4FFB" w:rsidP="006C4FFB">
      <w:pPr>
        <w:ind w:left="1080" w:right="474"/>
        <w:jc w:val="both"/>
        <w:rPr>
          <w:rFonts w:ascii="Arial" w:eastAsia="Cambria" w:hAnsi="Arial" w:cs="Arial"/>
          <w:i/>
          <w:color w:val="000000" w:themeColor="text1"/>
          <w:sz w:val="20"/>
          <w:szCs w:val="20"/>
          <w:lang w:val="es-ES_tradnl" w:eastAsia="es-CR"/>
        </w:rPr>
      </w:pPr>
    </w:p>
    <w:p w:rsidR="006C4FFB" w:rsidRPr="006C4FFB" w:rsidRDefault="006C4FFB" w:rsidP="006C4FFB">
      <w:pPr>
        <w:ind w:left="709" w:right="474"/>
        <w:jc w:val="both"/>
        <w:rPr>
          <w:rFonts w:ascii="Arial" w:eastAsia="Cambria" w:hAnsi="Arial" w:cs="Arial"/>
          <w:i/>
          <w:color w:val="000000" w:themeColor="text1"/>
          <w:sz w:val="22"/>
          <w:szCs w:val="22"/>
          <w:lang w:val="es-ES_tradnl" w:eastAsia="es-CR"/>
        </w:rPr>
      </w:pPr>
      <w:r w:rsidRPr="006C4FFB">
        <w:rPr>
          <w:rFonts w:ascii="Arial" w:eastAsia="Cambria" w:hAnsi="Arial" w:cs="Arial"/>
          <w:i/>
          <w:color w:val="000000" w:themeColor="text1"/>
          <w:sz w:val="22"/>
          <w:szCs w:val="22"/>
          <w:lang w:val="es-ES_tradnl" w:eastAsia="es-CR"/>
        </w:rPr>
        <w:t xml:space="preserve"> “Artículo 6 </w:t>
      </w:r>
    </w:p>
    <w:p w:rsidR="006C4FFB" w:rsidRPr="006C4FFB" w:rsidRDefault="006C4FFB" w:rsidP="006C4FFB">
      <w:pPr>
        <w:ind w:left="709" w:right="474"/>
        <w:jc w:val="both"/>
        <w:rPr>
          <w:rFonts w:ascii="Arial" w:eastAsia="Cambria" w:hAnsi="Arial" w:cs="Arial"/>
          <w:i/>
          <w:color w:val="000000" w:themeColor="text1"/>
          <w:sz w:val="22"/>
          <w:szCs w:val="22"/>
          <w:lang w:val="es-ES_tradnl" w:eastAsia="es-CR"/>
        </w:rPr>
      </w:pPr>
    </w:p>
    <w:p w:rsidR="006C4FFB" w:rsidRPr="006C4FFB" w:rsidRDefault="006C4FFB" w:rsidP="006C4FFB">
      <w:pPr>
        <w:tabs>
          <w:tab w:val="left" w:pos="9214"/>
        </w:tabs>
        <w:ind w:left="709" w:right="474" w:hanging="14"/>
        <w:jc w:val="both"/>
        <w:rPr>
          <w:rFonts w:ascii="Arial" w:eastAsia="Cambria" w:hAnsi="Arial" w:cs="Arial"/>
          <w:i/>
          <w:color w:val="000000" w:themeColor="text1"/>
          <w:sz w:val="22"/>
          <w:szCs w:val="22"/>
          <w:lang w:val="es-ES_tradnl" w:eastAsia="es-CR"/>
        </w:rPr>
      </w:pPr>
      <w:r w:rsidRPr="006C4FFB">
        <w:rPr>
          <w:rFonts w:ascii="Arial" w:eastAsia="Cambria" w:hAnsi="Arial" w:cs="Arial"/>
          <w:i/>
          <w:color w:val="000000" w:themeColor="text1"/>
          <w:sz w:val="22"/>
          <w:szCs w:val="22"/>
          <w:lang w:val="es-CR" w:eastAsia="es-CR"/>
        </w:rPr>
        <w:tab/>
        <w:t>Los encargados de las unidades ejecutoras tramitarán las solicitudes de modificación al presupuesto, las cuales deben ser aprobadas por el encargado del programa, siempre que no impliquen variaciones al Plan Anual Operativo y no sean partidas especiales. En caso contrario dichas solicitudes deberán ser analizadas y aprobadas por el Consejo Institucional, con excepción de lo indicado en el Artículo 7 de este Reglamento.”</w:t>
      </w:r>
    </w:p>
    <w:p w:rsidR="006C4FFB" w:rsidRPr="006C4FFB" w:rsidRDefault="006C4FFB" w:rsidP="006C4FFB">
      <w:pPr>
        <w:jc w:val="both"/>
        <w:outlineLvl w:val="0"/>
        <w:rPr>
          <w:rFonts w:ascii="Arial" w:eastAsia="Cambria" w:hAnsi="Arial" w:cs="Arial"/>
          <w:b/>
          <w:lang w:val="es-ES_tradnl" w:eastAsia="en-US"/>
        </w:rPr>
      </w:pPr>
    </w:p>
    <w:p w:rsidR="006C4FFB" w:rsidRPr="006C4FFB" w:rsidRDefault="006C4FFB" w:rsidP="006C4FFB">
      <w:pPr>
        <w:jc w:val="both"/>
        <w:outlineLvl w:val="0"/>
        <w:rPr>
          <w:rFonts w:ascii="Arial" w:eastAsia="Cambria" w:hAnsi="Arial" w:cs="Arial"/>
          <w:b/>
          <w:lang w:val="es-ES_tradnl" w:eastAsia="en-US"/>
        </w:rPr>
      </w:pPr>
      <w:r w:rsidRPr="006C4FFB">
        <w:rPr>
          <w:rFonts w:ascii="Arial" w:eastAsia="Cambria" w:hAnsi="Arial" w:cs="Arial"/>
          <w:b/>
          <w:lang w:val="es-ES_tradnl" w:eastAsia="en-US"/>
        </w:rPr>
        <w:lastRenderedPageBreak/>
        <w:t>CONSIDERANDO QUE:</w:t>
      </w:r>
    </w:p>
    <w:p w:rsidR="006C4FFB" w:rsidRPr="006C4FFB" w:rsidRDefault="006C4FFB" w:rsidP="006C4FFB">
      <w:pPr>
        <w:jc w:val="both"/>
        <w:outlineLvl w:val="0"/>
        <w:rPr>
          <w:rFonts w:ascii="Arial" w:eastAsia="Cambria" w:hAnsi="Arial" w:cs="Arial"/>
          <w:b/>
          <w:lang w:val="es-ES_tradnl" w:eastAsia="en-US"/>
        </w:rPr>
      </w:pPr>
    </w:p>
    <w:p w:rsidR="006C4FFB" w:rsidRPr="006C4FFB" w:rsidRDefault="006C4FFB" w:rsidP="006C4FFB">
      <w:pPr>
        <w:numPr>
          <w:ilvl w:val="0"/>
          <w:numId w:val="35"/>
        </w:numPr>
        <w:tabs>
          <w:tab w:val="left" w:pos="426"/>
        </w:tabs>
        <w:ind w:left="426" w:right="-1" w:hanging="426"/>
        <w:contextualSpacing/>
        <w:jc w:val="both"/>
        <w:rPr>
          <w:rFonts w:ascii="Arial" w:eastAsia="Cambria" w:hAnsi="Arial" w:cs="Arial"/>
          <w:lang w:val="es-ES_tradnl" w:eastAsia="en-US"/>
        </w:rPr>
      </w:pPr>
      <w:r w:rsidRPr="006C4FFB">
        <w:rPr>
          <w:rFonts w:ascii="Arial" w:eastAsia="Cambria" w:hAnsi="Arial" w:cs="Arial"/>
          <w:lang w:val="es-ES_tradnl" w:eastAsia="en-US"/>
        </w:rPr>
        <w:t>El  Consejo Institucional en la Sesión Ordinaria No. 2981, Artículo 12, del 20 de julio de 2016, tomó el acuerdo</w:t>
      </w:r>
      <w:proofErr w:type="gramStart"/>
      <w:r w:rsidRPr="006C4FFB">
        <w:rPr>
          <w:rFonts w:ascii="Arial" w:eastAsia="Cambria" w:hAnsi="Arial" w:cs="Arial"/>
          <w:lang w:val="es-ES_tradnl" w:eastAsia="en-US"/>
        </w:rPr>
        <w:t xml:space="preserve">:  </w:t>
      </w:r>
      <w:r w:rsidRPr="006C4FFB">
        <w:rPr>
          <w:rFonts w:ascii="Arial" w:eastAsia="Cambria" w:hAnsi="Arial" w:cs="Arial"/>
          <w:i/>
          <w:lang w:val="es-ES_tradnl" w:eastAsia="en-US"/>
        </w:rPr>
        <w:t>“</w:t>
      </w:r>
      <w:proofErr w:type="gramEnd"/>
      <w:r w:rsidRPr="006C4FFB">
        <w:rPr>
          <w:rFonts w:ascii="Arial" w:eastAsia="Cambria" w:hAnsi="Arial" w:cs="Arial"/>
          <w:i/>
          <w:lang w:val="es-ES_tradnl" w:eastAsia="en-US"/>
        </w:rPr>
        <w:t>Solicitud de Asesoría sobre la construcción del puente de ingreso vehicular por el sector de La Puebla</w:t>
      </w:r>
      <w:r w:rsidRPr="006C4FFB">
        <w:rPr>
          <w:rFonts w:ascii="Arial" w:eastAsia="Cambria" w:hAnsi="Arial" w:cs="Arial"/>
          <w:lang w:val="es-ES_tradnl" w:eastAsia="en-US"/>
        </w:rPr>
        <w:t>”. (Anexo 1)</w:t>
      </w:r>
    </w:p>
    <w:p w:rsidR="006C4FFB" w:rsidRPr="006C4FFB" w:rsidRDefault="006C4FFB" w:rsidP="006C4FFB">
      <w:pPr>
        <w:jc w:val="both"/>
        <w:outlineLvl w:val="0"/>
        <w:rPr>
          <w:rFonts w:ascii="Arial" w:eastAsia="Cambria" w:hAnsi="Arial" w:cs="Arial"/>
          <w:b/>
          <w:lang w:val="es-ES_tradnl" w:eastAsia="en-US"/>
        </w:rPr>
      </w:pPr>
    </w:p>
    <w:p w:rsidR="006C4FFB" w:rsidRPr="006C4FFB" w:rsidRDefault="006C4FFB" w:rsidP="006C4FFB">
      <w:pPr>
        <w:numPr>
          <w:ilvl w:val="0"/>
          <w:numId w:val="35"/>
        </w:numPr>
        <w:tabs>
          <w:tab w:val="left" w:pos="426"/>
        </w:tabs>
        <w:ind w:left="426" w:right="-1" w:hanging="426"/>
        <w:contextualSpacing/>
        <w:jc w:val="both"/>
        <w:rPr>
          <w:rFonts w:ascii="Arial" w:eastAsia="Cambria" w:hAnsi="Arial" w:cs="Arial"/>
          <w:lang w:val="es-ES_tradnl" w:eastAsia="en-US"/>
        </w:rPr>
      </w:pPr>
      <w:r w:rsidRPr="006C4FFB">
        <w:rPr>
          <w:rFonts w:ascii="Arial" w:eastAsia="Cambria" w:hAnsi="Arial" w:cs="Arial"/>
          <w:lang w:val="es-ES_tradnl" w:eastAsia="en-US"/>
        </w:rPr>
        <w:t>La Secretaría del Consejo Institucional recibió el oficio AUDI-248-2016, con fecha de recibido 08 de setiembre de 2016, suscrito por el Lic. Isidro Álvarez, Auditor Interno, dirigido al Dr. Julio Calvo, Presidente del Consejo Institucional, en el cual remite informe AUDI-AS-007-2016 “Solicitud de Asesoría sobre la construcción del puente de ingreso vehicular por el sector de La Puebla. Sesión Ordinaria No. 2981, Artículo 12, del 20 de julio de 2016”. Dicho informe fue trasladado a la Comisión de Planificación y Administración para su conocimiento y análisis. (Anexo 2)</w:t>
      </w:r>
    </w:p>
    <w:p w:rsidR="006C4FFB" w:rsidRPr="006C4FFB" w:rsidRDefault="006C4FFB" w:rsidP="006C4FFB">
      <w:pPr>
        <w:tabs>
          <w:tab w:val="left" w:pos="426"/>
        </w:tabs>
        <w:ind w:right="-1"/>
        <w:contextualSpacing/>
        <w:jc w:val="both"/>
        <w:rPr>
          <w:rFonts w:ascii="Arial" w:eastAsia="Cambria" w:hAnsi="Arial" w:cs="Arial"/>
          <w:lang w:val="es-ES_tradnl" w:eastAsia="en-US"/>
        </w:rPr>
      </w:pPr>
    </w:p>
    <w:p w:rsidR="006C4FFB" w:rsidRPr="006C4FFB" w:rsidRDefault="006C4FFB" w:rsidP="006C4FFB">
      <w:pPr>
        <w:numPr>
          <w:ilvl w:val="0"/>
          <w:numId w:val="35"/>
        </w:numPr>
        <w:tabs>
          <w:tab w:val="left" w:pos="426"/>
        </w:tabs>
        <w:ind w:left="426" w:right="-1" w:hanging="426"/>
        <w:contextualSpacing/>
        <w:jc w:val="both"/>
        <w:rPr>
          <w:rFonts w:ascii="Arial" w:hAnsi="Arial" w:cs="Arial"/>
        </w:rPr>
      </w:pPr>
      <w:r w:rsidRPr="006C4FFB">
        <w:rPr>
          <w:rFonts w:ascii="Arial" w:hAnsi="Arial" w:cs="Arial"/>
          <w:lang w:val="es-ES_tradnl"/>
        </w:rPr>
        <w:t xml:space="preserve">La Comisión de Planificación y Administración, en la reunión No. 712-2017 del 27 de febrero de 2017, </w:t>
      </w:r>
      <w:r w:rsidRPr="006C4FFB">
        <w:rPr>
          <w:rFonts w:ascii="Arial" w:hAnsi="Arial" w:cs="Arial"/>
        </w:rPr>
        <w:t xml:space="preserve">procede con el análisis del Informe de la Auditoría Interna, del cual se detalla  lo siguiente: </w:t>
      </w:r>
    </w:p>
    <w:p w:rsidR="006C4FFB" w:rsidRPr="006C4FFB" w:rsidRDefault="006C4FFB" w:rsidP="006C4FFB">
      <w:pPr>
        <w:tabs>
          <w:tab w:val="left" w:pos="426"/>
        </w:tabs>
        <w:ind w:right="-1"/>
        <w:contextualSpacing/>
        <w:jc w:val="both"/>
        <w:rPr>
          <w:rFonts w:ascii="Arial" w:eastAsia="Cambria" w:hAnsi="Arial" w:cs="Arial"/>
          <w:b/>
          <w:lang w:val="es-ES_tradnl" w:eastAsia="en-US"/>
        </w:rPr>
      </w:pPr>
    </w:p>
    <w:p w:rsidR="006C4FFB" w:rsidRPr="006C4FFB" w:rsidRDefault="006C4FFB" w:rsidP="006C4FFB">
      <w:pPr>
        <w:tabs>
          <w:tab w:val="left" w:pos="426"/>
        </w:tabs>
        <w:ind w:left="708" w:right="-1"/>
        <w:contextualSpacing/>
        <w:jc w:val="both"/>
        <w:rPr>
          <w:rFonts w:ascii="Arial" w:eastAsia="Cambria" w:hAnsi="Arial" w:cs="Arial"/>
          <w:b/>
          <w:lang w:eastAsia="en-US"/>
        </w:rPr>
      </w:pPr>
      <w:r w:rsidRPr="006C4FFB">
        <w:rPr>
          <w:rFonts w:ascii="Arial" w:eastAsia="Cambria" w:hAnsi="Arial" w:cs="Arial"/>
          <w:b/>
          <w:lang w:eastAsia="en-US"/>
        </w:rPr>
        <w:t>“…</w:t>
      </w:r>
    </w:p>
    <w:p w:rsidR="006C4FFB" w:rsidRPr="006C4FFB" w:rsidRDefault="006C4FFB" w:rsidP="006C4FFB">
      <w:pPr>
        <w:numPr>
          <w:ilvl w:val="0"/>
          <w:numId w:val="37"/>
        </w:numPr>
        <w:ind w:left="1134"/>
        <w:jc w:val="both"/>
        <w:rPr>
          <w:rFonts w:ascii="Arial" w:eastAsia="Calibri" w:hAnsi="Arial" w:cs="Arial"/>
          <w:b/>
          <w:bCs/>
          <w:i/>
          <w:sz w:val="22"/>
          <w:szCs w:val="22"/>
          <w:lang w:val="es-CR"/>
        </w:rPr>
      </w:pPr>
      <w:r w:rsidRPr="006C4FFB">
        <w:rPr>
          <w:rFonts w:ascii="Arial" w:eastAsia="Calibri" w:hAnsi="Arial" w:cs="Arial"/>
          <w:b/>
          <w:bCs/>
          <w:i/>
          <w:sz w:val="22"/>
          <w:szCs w:val="22"/>
          <w:lang w:val="es-CR"/>
        </w:rPr>
        <w:t>CONCLUSIONES</w:t>
      </w:r>
    </w:p>
    <w:p w:rsidR="006C4FFB" w:rsidRPr="006C4FFB" w:rsidRDefault="006C4FFB" w:rsidP="006C4FFB">
      <w:pPr>
        <w:ind w:left="709" w:hanging="142"/>
        <w:jc w:val="both"/>
        <w:rPr>
          <w:rFonts w:ascii="Arial" w:eastAsia="Cambria" w:hAnsi="Arial" w:cs="Arial"/>
          <w:b/>
          <w:i/>
          <w:sz w:val="22"/>
          <w:szCs w:val="22"/>
          <w:lang w:val="es-MX" w:eastAsia="en-US"/>
        </w:rPr>
      </w:pPr>
    </w:p>
    <w:p w:rsidR="006C4FFB" w:rsidRPr="006C4FFB" w:rsidRDefault="006C4FFB" w:rsidP="006C4FFB">
      <w:pPr>
        <w:numPr>
          <w:ilvl w:val="1"/>
          <w:numId w:val="37"/>
        </w:numPr>
        <w:ind w:left="1414" w:hanging="462"/>
        <w:jc w:val="both"/>
        <w:rPr>
          <w:rFonts w:ascii="Arial" w:eastAsia="Calibri" w:hAnsi="Arial" w:cs="Arial"/>
          <w:b/>
          <w:i/>
          <w:sz w:val="22"/>
          <w:szCs w:val="22"/>
        </w:rPr>
      </w:pPr>
      <w:r w:rsidRPr="006C4FFB">
        <w:rPr>
          <w:rFonts w:ascii="Arial" w:eastAsia="Calibri" w:hAnsi="Arial" w:cs="Arial"/>
          <w:b/>
          <w:i/>
          <w:sz w:val="22"/>
          <w:szCs w:val="22"/>
        </w:rPr>
        <w:t>Conclusión General</w:t>
      </w:r>
    </w:p>
    <w:p w:rsidR="006C4FFB" w:rsidRPr="006C4FFB" w:rsidRDefault="006C4FFB" w:rsidP="006C4FFB">
      <w:pPr>
        <w:ind w:left="709" w:hanging="142"/>
        <w:jc w:val="both"/>
        <w:rPr>
          <w:rFonts w:ascii="Arial" w:eastAsia="Cambria" w:hAnsi="Arial" w:cs="Arial"/>
          <w:b/>
          <w:lang w:eastAsia="en-US"/>
        </w:rPr>
      </w:pPr>
    </w:p>
    <w:p w:rsidR="006C4FFB" w:rsidRPr="006C4FFB" w:rsidRDefault="006C4FFB" w:rsidP="006C4FFB">
      <w:pPr>
        <w:tabs>
          <w:tab w:val="left" w:pos="9214"/>
          <w:tab w:val="left" w:pos="9365"/>
        </w:tabs>
        <w:ind w:left="1442" w:right="474" w:hanging="14"/>
        <w:jc w:val="both"/>
        <w:rPr>
          <w:rFonts w:ascii="Arial" w:eastAsia="Cambria" w:hAnsi="Arial" w:cs="Arial"/>
          <w:i/>
          <w:color w:val="000000" w:themeColor="text1"/>
          <w:sz w:val="22"/>
          <w:szCs w:val="22"/>
          <w:lang w:val="es-CR" w:eastAsia="es-CR"/>
        </w:rPr>
      </w:pPr>
      <w:r w:rsidRPr="006C4FFB">
        <w:rPr>
          <w:rFonts w:ascii="Arial" w:eastAsia="Cambria" w:hAnsi="Arial" w:cs="Arial"/>
          <w:i/>
          <w:color w:val="000000" w:themeColor="text1"/>
          <w:sz w:val="22"/>
          <w:szCs w:val="22"/>
          <w:lang w:val="es-CR" w:eastAsia="es-CR"/>
        </w:rPr>
        <w:t>El Consejo Institucional debe revisar si los procedimientos establecidos para el control de la ejecución de obra (bienes duraderos), son suficientes o concordantes. Lo anterior fundamentado en el análisis expuesto en el presente informe sobre la atención del acuerdo tomado por ese Órgano para la construcción de un paso vehicular en el Sector conocido como La Puebla, en el Campus Central del Instituto.</w:t>
      </w:r>
    </w:p>
    <w:p w:rsidR="006C4FFB" w:rsidRPr="006C4FFB" w:rsidRDefault="006C4FFB" w:rsidP="006C4FFB">
      <w:pPr>
        <w:tabs>
          <w:tab w:val="left" w:pos="9365"/>
        </w:tabs>
        <w:ind w:left="1442" w:hanging="142"/>
        <w:jc w:val="both"/>
        <w:rPr>
          <w:rFonts w:ascii="Arial" w:hAnsi="Arial" w:cs="Arial"/>
          <w:i/>
          <w:sz w:val="22"/>
          <w:szCs w:val="22"/>
        </w:rPr>
      </w:pPr>
    </w:p>
    <w:p w:rsidR="006C4FFB" w:rsidRPr="006C4FFB" w:rsidRDefault="006C4FFB" w:rsidP="006C4FFB">
      <w:pPr>
        <w:tabs>
          <w:tab w:val="left" w:pos="9214"/>
          <w:tab w:val="left" w:pos="9365"/>
        </w:tabs>
        <w:ind w:left="1442" w:right="474" w:hanging="14"/>
        <w:jc w:val="both"/>
        <w:rPr>
          <w:rFonts w:ascii="Arial" w:eastAsia="Cambria" w:hAnsi="Arial" w:cs="Arial"/>
          <w:i/>
          <w:color w:val="000000" w:themeColor="text1"/>
          <w:sz w:val="22"/>
          <w:szCs w:val="22"/>
          <w:lang w:val="es-CR" w:eastAsia="es-CR"/>
        </w:rPr>
      </w:pPr>
      <w:r w:rsidRPr="006C4FFB">
        <w:rPr>
          <w:rFonts w:ascii="Arial" w:eastAsia="Cambria" w:hAnsi="Arial" w:cs="Arial"/>
          <w:i/>
          <w:color w:val="000000" w:themeColor="text1"/>
          <w:sz w:val="22"/>
          <w:szCs w:val="22"/>
          <w:lang w:val="es-CR" w:eastAsia="es-CR"/>
        </w:rPr>
        <w:t xml:space="preserve">Se evidencian debilidades en la aplicación de los procedimientos, ya sea por falta de supervisión y/o controles, sin que sean determinados administrativamente en forma oportuna </w:t>
      </w:r>
      <w:r w:rsidRPr="006C4FFB">
        <w:rPr>
          <w:rFonts w:ascii="Arial" w:eastAsia="Cambria" w:hAnsi="Arial" w:cs="Arial"/>
          <w:b/>
          <w:i/>
          <w:color w:val="000000" w:themeColor="text1"/>
          <w:sz w:val="22"/>
          <w:szCs w:val="22"/>
          <w:lang w:val="es-CR" w:eastAsia="es-CR"/>
        </w:rPr>
        <w:t>o bien porque la normativa interna que se ha promulgado otorga a la Administración Activa niveles de autoridad que dejan desinformado temporalmente al Consejo Institucional, lo cual podría eventualmente afectar la toma de decisiones o poner en riesgo eventuales planes de desarrollo que se consideren estratégicos</w:t>
      </w:r>
      <w:r w:rsidRPr="006C4FFB">
        <w:rPr>
          <w:rFonts w:ascii="Arial" w:eastAsia="Cambria" w:hAnsi="Arial" w:cs="Arial"/>
          <w:i/>
          <w:color w:val="000000" w:themeColor="text1"/>
          <w:sz w:val="22"/>
          <w:szCs w:val="22"/>
          <w:lang w:val="es-CR" w:eastAsia="es-CR"/>
        </w:rPr>
        <w:t xml:space="preserve">. </w:t>
      </w:r>
      <w:r w:rsidRPr="006C4FFB">
        <w:rPr>
          <w:rFonts w:ascii="Arial" w:eastAsia="Cambria" w:hAnsi="Arial" w:cs="Arial"/>
          <w:b/>
          <w:i/>
          <w:color w:val="000000" w:themeColor="text1"/>
          <w:sz w:val="22"/>
          <w:szCs w:val="22"/>
          <w:lang w:val="es-CR" w:eastAsia="es-CR"/>
        </w:rPr>
        <w:t>(</w:t>
      </w:r>
      <w:proofErr w:type="gramStart"/>
      <w:r w:rsidRPr="006C4FFB">
        <w:rPr>
          <w:rFonts w:ascii="Arial" w:eastAsia="Cambria" w:hAnsi="Arial" w:cs="Arial"/>
          <w:b/>
          <w:i/>
          <w:color w:val="000000" w:themeColor="text1"/>
          <w:sz w:val="22"/>
          <w:szCs w:val="22"/>
          <w:lang w:val="es-CR" w:eastAsia="es-CR"/>
        </w:rPr>
        <w:t>la</w:t>
      </w:r>
      <w:proofErr w:type="gramEnd"/>
      <w:r w:rsidRPr="006C4FFB">
        <w:rPr>
          <w:rFonts w:ascii="Arial" w:eastAsia="Cambria" w:hAnsi="Arial" w:cs="Arial"/>
          <w:b/>
          <w:i/>
          <w:color w:val="000000" w:themeColor="text1"/>
          <w:sz w:val="22"/>
          <w:szCs w:val="22"/>
          <w:lang w:val="es-CR" w:eastAsia="es-CR"/>
        </w:rPr>
        <w:t xml:space="preserve"> negrita no es del original</w:t>
      </w:r>
      <w:r w:rsidRPr="006C4FFB">
        <w:rPr>
          <w:rFonts w:ascii="Arial" w:eastAsia="Cambria" w:hAnsi="Arial" w:cs="Arial"/>
          <w:i/>
          <w:color w:val="000000" w:themeColor="text1"/>
          <w:sz w:val="22"/>
          <w:szCs w:val="22"/>
          <w:lang w:val="es-CR" w:eastAsia="es-CR"/>
        </w:rPr>
        <w:t>)</w:t>
      </w:r>
    </w:p>
    <w:p w:rsidR="006C4FFB" w:rsidRPr="006C4FFB" w:rsidRDefault="006C4FFB" w:rsidP="006C4FFB">
      <w:pPr>
        <w:tabs>
          <w:tab w:val="left" w:pos="9214"/>
          <w:tab w:val="left" w:pos="9365"/>
        </w:tabs>
        <w:ind w:left="1442" w:right="474" w:hanging="14"/>
        <w:jc w:val="both"/>
        <w:rPr>
          <w:rFonts w:ascii="Arial" w:eastAsia="Cambria" w:hAnsi="Arial" w:cs="Arial"/>
          <w:i/>
          <w:color w:val="000000" w:themeColor="text1"/>
          <w:sz w:val="22"/>
          <w:szCs w:val="22"/>
          <w:lang w:val="es-CR" w:eastAsia="es-CR"/>
        </w:rPr>
      </w:pPr>
    </w:p>
    <w:p w:rsidR="006C4FFB" w:rsidRPr="006C4FFB" w:rsidRDefault="006C4FFB" w:rsidP="006C4FFB">
      <w:pPr>
        <w:tabs>
          <w:tab w:val="left" w:pos="9214"/>
          <w:tab w:val="left" w:pos="9365"/>
        </w:tabs>
        <w:ind w:left="1442" w:right="474" w:hanging="14"/>
        <w:jc w:val="both"/>
        <w:rPr>
          <w:rFonts w:ascii="Arial" w:hAnsi="Arial" w:cs="Arial"/>
          <w:i/>
          <w:sz w:val="22"/>
          <w:szCs w:val="22"/>
        </w:rPr>
      </w:pPr>
      <w:r w:rsidRPr="006C4FFB">
        <w:rPr>
          <w:rFonts w:ascii="Arial" w:eastAsia="Cambria" w:hAnsi="Arial" w:cs="Arial"/>
          <w:i/>
          <w:color w:val="000000" w:themeColor="text1"/>
          <w:sz w:val="22"/>
          <w:szCs w:val="22"/>
          <w:lang w:val="es-CR" w:eastAsia="es-CR"/>
        </w:rPr>
        <w:t>Es conveniente que se analice el valor agregado que aporta, a la gestión institucional, la elaboración y control de los planes de infraestructura y tácticos según se ha establecido o si los mismos requieren ser revisados, ajustados o reforzados para lograr información más confiable y oportuna en la toma de decisiones. Asimismo, se exija a los responsables la presentación de los informes de seguimiento respectivos en forma oportuna.</w:t>
      </w:r>
    </w:p>
    <w:p w:rsidR="006C4FFB" w:rsidRPr="006C4FFB" w:rsidRDefault="006C4FFB" w:rsidP="006C4FFB">
      <w:pPr>
        <w:ind w:left="1418"/>
        <w:jc w:val="both"/>
        <w:outlineLvl w:val="0"/>
        <w:rPr>
          <w:rFonts w:ascii="Arial" w:eastAsia="Cambria" w:hAnsi="Arial" w:cs="Arial"/>
          <w:sz w:val="22"/>
          <w:szCs w:val="22"/>
          <w:lang w:val="es-ES_tradnl" w:eastAsia="en-US"/>
        </w:rPr>
      </w:pPr>
      <w:r w:rsidRPr="006C4FFB">
        <w:rPr>
          <w:rFonts w:ascii="Arial" w:eastAsia="Cambria" w:hAnsi="Arial" w:cs="Arial"/>
          <w:sz w:val="22"/>
          <w:szCs w:val="22"/>
          <w:lang w:val="es-ES_tradnl" w:eastAsia="en-US"/>
        </w:rPr>
        <w:t>…”</w:t>
      </w:r>
    </w:p>
    <w:p w:rsidR="006C4FFB" w:rsidRPr="006C4FFB" w:rsidRDefault="006C4FFB" w:rsidP="006C4FFB">
      <w:pPr>
        <w:ind w:left="851"/>
        <w:jc w:val="both"/>
        <w:outlineLvl w:val="0"/>
        <w:rPr>
          <w:rFonts w:ascii="Arial" w:eastAsia="Cambria" w:hAnsi="Arial" w:cs="Arial"/>
          <w:sz w:val="22"/>
          <w:szCs w:val="22"/>
          <w:lang w:val="es-ES_tradnl" w:eastAsia="en-US"/>
        </w:rPr>
      </w:pPr>
    </w:p>
    <w:p w:rsidR="006C4FFB" w:rsidRPr="006C4FFB" w:rsidRDefault="006C4FFB" w:rsidP="006C4FFB">
      <w:pPr>
        <w:numPr>
          <w:ilvl w:val="1"/>
          <w:numId w:val="37"/>
        </w:numPr>
        <w:tabs>
          <w:tab w:val="left" w:pos="9498"/>
        </w:tabs>
        <w:ind w:left="1414" w:right="335" w:hanging="462"/>
        <w:jc w:val="both"/>
        <w:rPr>
          <w:rFonts w:ascii="Arial" w:eastAsia="Calibri" w:hAnsi="Arial" w:cs="Arial"/>
          <w:b/>
          <w:i/>
          <w:sz w:val="22"/>
          <w:szCs w:val="22"/>
        </w:rPr>
      </w:pPr>
      <w:r w:rsidRPr="006C4FFB">
        <w:rPr>
          <w:rFonts w:ascii="Arial" w:eastAsia="Calibri" w:hAnsi="Arial" w:cs="Arial"/>
          <w:b/>
          <w:i/>
          <w:sz w:val="22"/>
          <w:szCs w:val="22"/>
        </w:rPr>
        <w:t xml:space="preserve"> Conclusiones específicas relacionadas con la ejecución y control de la partida de 150.000 millones para la construcción de Puente de ingreso por la Puebla</w:t>
      </w:r>
    </w:p>
    <w:p w:rsidR="006C4FFB" w:rsidRDefault="006C4FFB" w:rsidP="006C4FFB">
      <w:pPr>
        <w:ind w:left="851"/>
        <w:jc w:val="both"/>
        <w:outlineLvl w:val="0"/>
        <w:rPr>
          <w:rFonts w:ascii="Arial" w:eastAsia="Cambria" w:hAnsi="Arial" w:cs="Arial"/>
          <w:b/>
          <w:sz w:val="22"/>
          <w:szCs w:val="22"/>
          <w:lang w:val="es-ES_tradnl" w:eastAsia="en-US"/>
        </w:rPr>
      </w:pPr>
    </w:p>
    <w:p w:rsidR="00B63D1C" w:rsidRDefault="00B63D1C" w:rsidP="006C4FFB">
      <w:pPr>
        <w:ind w:left="851"/>
        <w:jc w:val="both"/>
        <w:outlineLvl w:val="0"/>
        <w:rPr>
          <w:rFonts w:ascii="Arial" w:eastAsia="Cambria" w:hAnsi="Arial" w:cs="Arial"/>
          <w:b/>
          <w:sz w:val="22"/>
          <w:szCs w:val="22"/>
          <w:lang w:val="es-ES_tradnl" w:eastAsia="en-US"/>
        </w:rPr>
      </w:pPr>
    </w:p>
    <w:p w:rsidR="00B63D1C" w:rsidRPr="006C4FFB" w:rsidRDefault="00B63D1C" w:rsidP="006C4FFB">
      <w:pPr>
        <w:ind w:left="851"/>
        <w:jc w:val="both"/>
        <w:outlineLvl w:val="0"/>
        <w:rPr>
          <w:rFonts w:ascii="Arial" w:eastAsia="Cambria" w:hAnsi="Arial" w:cs="Arial"/>
          <w:b/>
          <w:sz w:val="22"/>
          <w:szCs w:val="22"/>
          <w:lang w:val="es-ES_tradnl" w:eastAsia="en-US"/>
        </w:rPr>
      </w:pPr>
    </w:p>
    <w:p w:rsidR="006C4FFB" w:rsidRPr="006C4FFB" w:rsidRDefault="006C4FFB" w:rsidP="006C4FFB">
      <w:pPr>
        <w:numPr>
          <w:ilvl w:val="2"/>
          <w:numId w:val="37"/>
        </w:numPr>
        <w:ind w:left="2127" w:right="476" w:hanging="642"/>
        <w:jc w:val="both"/>
        <w:rPr>
          <w:rFonts w:ascii="Arial" w:eastAsia="Cambria" w:hAnsi="Arial" w:cs="Arial"/>
          <w:i/>
          <w:sz w:val="20"/>
          <w:szCs w:val="20"/>
          <w:lang w:val="es-ES_tradnl" w:eastAsia="en-US"/>
        </w:rPr>
      </w:pPr>
      <w:r w:rsidRPr="006C4FFB">
        <w:rPr>
          <w:rFonts w:ascii="Arial" w:eastAsia="Cambria" w:hAnsi="Arial" w:cs="Arial"/>
          <w:i/>
          <w:sz w:val="20"/>
          <w:szCs w:val="20"/>
          <w:lang w:val="es-ES_tradnl" w:eastAsia="en-US"/>
        </w:rPr>
        <w:t>Los recursos asignados en el Presupuesto Extraordinario 2-2014 por la suma de   ¢150,000.00 miles, para la construcción del puente sobre el Ingreso vehicular del sector de La Puebla, se destinaron para atender otras prioridades institucionales, según Modificación Presupuestaria 4-2014, solicitud de modificación presupuestaria No. 1483.( tendido eléctrico de alta tensión)</w:t>
      </w:r>
    </w:p>
    <w:p w:rsidR="006C4FFB" w:rsidRPr="006C4FFB" w:rsidRDefault="006C4FFB" w:rsidP="006C4FFB">
      <w:pPr>
        <w:tabs>
          <w:tab w:val="left" w:pos="993"/>
        </w:tabs>
        <w:ind w:left="2127" w:right="476" w:hanging="426"/>
        <w:jc w:val="both"/>
        <w:outlineLvl w:val="0"/>
        <w:rPr>
          <w:rFonts w:ascii="Arial" w:eastAsia="Cambria" w:hAnsi="Arial" w:cs="Arial"/>
          <w:i/>
          <w:sz w:val="20"/>
          <w:szCs w:val="20"/>
          <w:lang w:val="es-ES_tradnl" w:eastAsia="en-US"/>
        </w:rPr>
      </w:pPr>
    </w:p>
    <w:p w:rsidR="006C4FFB" w:rsidRPr="006C4FFB" w:rsidRDefault="006C4FFB" w:rsidP="006C4FFB">
      <w:pPr>
        <w:numPr>
          <w:ilvl w:val="2"/>
          <w:numId w:val="37"/>
        </w:numPr>
        <w:ind w:left="2127" w:right="476" w:hanging="642"/>
        <w:jc w:val="both"/>
        <w:rPr>
          <w:rFonts w:ascii="Arial" w:eastAsia="Cambria" w:hAnsi="Arial" w:cs="Arial"/>
          <w:i/>
          <w:sz w:val="20"/>
          <w:szCs w:val="20"/>
          <w:lang w:val="es-ES_tradnl" w:eastAsia="en-US"/>
        </w:rPr>
      </w:pPr>
      <w:r w:rsidRPr="006C4FFB">
        <w:rPr>
          <w:rFonts w:ascii="Arial" w:eastAsia="Cambria" w:hAnsi="Arial" w:cs="Arial"/>
          <w:i/>
          <w:sz w:val="20"/>
          <w:szCs w:val="20"/>
          <w:lang w:val="es-ES_tradnl" w:eastAsia="en-US"/>
        </w:rPr>
        <w:t xml:space="preserve">La modificación de dichos recursos se realizó en apego a los artículos 4 y 6 del Reglamento para la aplicación de modificaciones presupuestarias, dado que los mismos al momento de su aprobación no tenían una aplicación de carácter restringido o específico.  </w:t>
      </w:r>
    </w:p>
    <w:p w:rsidR="006C4FFB" w:rsidRPr="006C4FFB" w:rsidRDefault="006C4FFB" w:rsidP="006C4FFB">
      <w:pPr>
        <w:tabs>
          <w:tab w:val="left" w:pos="993"/>
        </w:tabs>
        <w:ind w:left="2127" w:right="476" w:hanging="426"/>
        <w:jc w:val="both"/>
        <w:outlineLvl w:val="0"/>
        <w:rPr>
          <w:rFonts w:ascii="Arial" w:eastAsia="Cambria" w:hAnsi="Arial" w:cs="Arial"/>
          <w:i/>
          <w:sz w:val="20"/>
          <w:szCs w:val="20"/>
          <w:lang w:val="es-ES_tradnl" w:eastAsia="en-US"/>
        </w:rPr>
      </w:pPr>
    </w:p>
    <w:p w:rsidR="006C4FFB" w:rsidRPr="006C4FFB" w:rsidRDefault="006C4FFB" w:rsidP="00B63D1C">
      <w:pPr>
        <w:numPr>
          <w:ilvl w:val="2"/>
          <w:numId w:val="37"/>
        </w:numPr>
        <w:ind w:left="2127" w:right="476" w:hanging="642"/>
        <w:jc w:val="both"/>
        <w:rPr>
          <w:rFonts w:ascii="Arial" w:eastAsia="Cambria" w:hAnsi="Arial" w:cs="Arial"/>
          <w:sz w:val="20"/>
          <w:szCs w:val="20"/>
          <w:lang w:val="es-ES_tradnl" w:eastAsia="en-US"/>
        </w:rPr>
      </w:pPr>
      <w:r w:rsidRPr="006C4FFB">
        <w:rPr>
          <w:rFonts w:ascii="Arial" w:eastAsia="Cambria" w:hAnsi="Arial" w:cs="Arial"/>
          <w:i/>
          <w:sz w:val="20"/>
          <w:szCs w:val="20"/>
          <w:lang w:val="es-ES_tradnl" w:eastAsia="en-US"/>
        </w:rPr>
        <w:t>La meta indicada en la vinculación de estos recursos en el Plan Anual Operativo no tiene congruencia, ni con la actividad a realizar ni con la unidad ejecutora a cargo de la misma, lo cual se contrapone a lo dictado en las Normas de Presupuesto del Instituto. Asimismo, en la Evaluación del Plan Anual Operativo al 31 de diciembre de 2014, para la meta de cita, no hay referencia a los resultados alcanzados, pese a indicarse que la Vicerrectoría de Administración cumplió el 100% de la meta propuesta</w:t>
      </w:r>
      <w:r w:rsidRPr="006C4FFB">
        <w:rPr>
          <w:rFonts w:ascii="Arial" w:eastAsia="Cambria" w:hAnsi="Arial" w:cs="Arial"/>
          <w:sz w:val="20"/>
          <w:szCs w:val="20"/>
          <w:lang w:val="es-ES_tradnl" w:eastAsia="en-US"/>
        </w:rPr>
        <w:t>….”</w:t>
      </w:r>
    </w:p>
    <w:p w:rsidR="006C4FFB" w:rsidRPr="006C4FFB" w:rsidRDefault="006C4FFB" w:rsidP="006C4FFB">
      <w:pPr>
        <w:ind w:left="851" w:hanging="426"/>
        <w:jc w:val="both"/>
        <w:outlineLvl w:val="0"/>
        <w:rPr>
          <w:rFonts w:ascii="Arial" w:eastAsia="Cambria" w:hAnsi="Arial" w:cs="Arial"/>
          <w:sz w:val="22"/>
          <w:szCs w:val="22"/>
          <w:lang w:val="es-ES_tradnl" w:eastAsia="en-US"/>
        </w:rPr>
      </w:pPr>
    </w:p>
    <w:p w:rsidR="006C4FFB" w:rsidRPr="006C4FFB" w:rsidRDefault="006C4FFB" w:rsidP="006C4FFB">
      <w:pPr>
        <w:numPr>
          <w:ilvl w:val="0"/>
          <w:numId w:val="35"/>
        </w:numPr>
        <w:tabs>
          <w:tab w:val="left" w:pos="426"/>
        </w:tabs>
        <w:ind w:left="426" w:right="-1" w:hanging="426"/>
        <w:contextualSpacing/>
        <w:jc w:val="both"/>
        <w:rPr>
          <w:rFonts w:ascii="Arial" w:eastAsia="Cambria" w:hAnsi="Arial" w:cs="Arial"/>
          <w:lang w:val="es-ES_tradnl" w:eastAsia="en-US"/>
        </w:rPr>
      </w:pPr>
      <w:r w:rsidRPr="006C4FFB">
        <w:rPr>
          <w:rFonts w:ascii="Arial" w:eastAsia="Cambria" w:hAnsi="Arial" w:cs="Arial"/>
          <w:lang w:val="es-ES_tradnl" w:eastAsia="en-US"/>
        </w:rPr>
        <w:t>Del análisis realizado, se dictamina lo siguiente:</w:t>
      </w:r>
    </w:p>
    <w:p w:rsidR="006C4FFB" w:rsidRPr="006C4FFB" w:rsidRDefault="006C4FFB" w:rsidP="006C4FFB">
      <w:pPr>
        <w:tabs>
          <w:tab w:val="left" w:pos="426"/>
        </w:tabs>
        <w:ind w:right="-1"/>
        <w:contextualSpacing/>
        <w:jc w:val="both"/>
        <w:rPr>
          <w:rFonts w:ascii="Arial" w:hAnsi="Arial" w:cs="Arial"/>
          <w:sz w:val="20"/>
          <w:szCs w:val="20"/>
        </w:rPr>
      </w:pPr>
    </w:p>
    <w:p w:rsidR="006C4FFB" w:rsidRPr="006C4FFB" w:rsidRDefault="006C4FFB" w:rsidP="006C4FFB">
      <w:pPr>
        <w:numPr>
          <w:ilvl w:val="0"/>
          <w:numId w:val="36"/>
        </w:numPr>
        <w:jc w:val="both"/>
        <w:rPr>
          <w:rFonts w:ascii="Arial" w:eastAsia="Calibri" w:hAnsi="Arial" w:cs="Arial"/>
          <w:lang w:val="es-CR"/>
        </w:rPr>
      </w:pPr>
      <w:r w:rsidRPr="006C4FFB">
        <w:rPr>
          <w:rFonts w:ascii="Arial" w:eastAsia="Calibri" w:hAnsi="Arial" w:cs="Arial"/>
          <w:lang w:val="es-CR"/>
        </w:rPr>
        <w:t>Se hace necesario que se tome en cuenta los acuerdos del Consejo Institucional sobre fondos con un determinado objetivo para su ejecución y el mismo no sea variado.</w:t>
      </w:r>
    </w:p>
    <w:p w:rsidR="006C4FFB" w:rsidRPr="006C4FFB" w:rsidRDefault="006C4FFB" w:rsidP="006C4FFB">
      <w:pPr>
        <w:ind w:left="360"/>
        <w:jc w:val="both"/>
        <w:rPr>
          <w:rFonts w:ascii="Arial" w:eastAsia="Cambria" w:hAnsi="Arial" w:cs="Arial"/>
          <w:sz w:val="16"/>
          <w:szCs w:val="16"/>
          <w:lang w:val="es-ES_tradnl" w:eastAsia="en-US"/>
        </w:rPr>
      </w:pPr>
    </w:p>
    <w:p w:rsidR="006C4FFB" w:rsidRPr="006C4FFB" w:rsidRDefault="006C4FFB" w:rsidP="006C4FFB">
      <w:pPr>
        <w:numPr>
          <w:ilvl w:val="0"/>
          <w:numId w:val="36"/>
        </w:numPr>
        <w:jc w:val="both"/>
        <w:rPr>
          <w:rFonts w:ascii="Arial" w:eastAsia="Calibri" w:hAnsi="Arial" w:cs="Arial"/>
          <w:lang w:val="es-CR"/>
        </w:rPr>
      </w:pPr>
      <w:r w:rsidRPr="006C4FFB">
        <w:rPr>
          <w:rFonts w:ascii="Arial" w:eastAsia="Calibri" w:hAnsi="Arial" w:cs="Arial"/>
          <w:lang w:val="es-CR"/>
        </w:rPr>
        <w:t xml:space="preserve">De acuerdo al artículo 6 del Reglamento para las Modificaciones Presupuestarias en el ITCR, el Consejo Institucional queda </w:t>
      </w:r>
      <w:proofErr w:type="spellStart"/>
      <w:r w:rsidRPr="006C4FFB">
        <w:rPr>
          <w:rFonts w:ascii="Arial" w:eastAsia="Calibri" w:hAnsi="Arial" w:cs="Arial"/>
          <w:lang w:val="es-CR"/>
        </w:rPr>
        <w:t>invisibilizado</w:t>
      </w:r>
      <w:proofErr w:type="spellEnd"/>
      <w:r w:rsidRPr="006C4FFB">
        <w:rPr>
          <w:rFonts w:ascii="Arial" w:eastAsia="Calibri" w:hAnsi="Arial" w:cs="Arial"/>
          <w:lang w:val="es-CR"/>
        </w:rPr>
        <w:t xml:space="preserve"> por un tiempo de las modificaciones que pueden afectar los acuerdos del pleno y cuando estas llegan al pleno para su conocimiento ya fueron aplicadas</w:t>
      </w:r>
      <w:r w:rsidRPr="006C4FFB">
        <w:rPr>
          <w:rFonts w:ascii="Arial" w:eastAsia="Calibri" w:hAnsi="Arial" w:cs="Arial"/>
          <w:lang w:val="es-ES_tradnl"/>
        </w:rPr>
        <w:t xml:space="preserve">, de acuerdo a lo que señala la Auditoría Interna  en el Informe </w:t>
      </w:r>
      <w:r w:rsidRPr="006C4FFB">
        <w:rPr>
          <w:rFonts w:ascii="Arial" w:eastAsia="Calibri" w:hAnsi="Arial" w:cs="Arial"/>
          <w:lang w:val="es-CR"/>
        </w:rPr>
        <w:t xml:space="preserve">AUDI-AS-007-2016,  “… </w:t>
      </w:r>
      <w:r w:rsidRPr="006C4FFB">
        <w:rPr>
          <w:rFonts w:ascii="Arial" w:eastAsia="Calibri" w:hAnsi="Arial" w:cs="Arial"/>
          <w:b/>
          <w:i/>
          <w:sz w:val="20"/>
          <w:szCs w:val="20"/>
          <w:lang w:val="es-CR" w:eastAsia="es-CR"/>
        </w:rPr>
        <w:t xml:space="preserve">la normativa interna que se ha promulgado otorga a la Administración Activa niveles de autoridad que dejan desinformado temporalmente al Consejo Institucional, lo cual podría eventualmente afectar la toma de decisiones o poner en riesgo eventuales planes de desarrollo que se consideren estratégico…”  </w:t>
      </w:r>
    </w:p>
    <w:p w:rsidR="006C4FFB" w:rsidRPr="006C4FFB" w:rsidRDefault="006C4FFB" w:rsidP="006C4FFB">
      <w:pPr>
        <w:ind w:left="708"/>
        <w:rPr>
          <w:rFonts w:ascii="Arial" w:eastAsia="Calibri" w:hAnsi="Arial" w:cs="Arial"/>
          <w:lang w:val="es-CR"/>
        </w:rPr>
      </w:pPr>
    </w:p>
    <w:p w:rsidR="006C4FFB" w:rsidRDefault="006C4FFB" w:rsidP="006C4FFB">
      <w:pPr>
        <w:ind w:left="709" w:right="-1"/>
        <w:contextualSpacing/>
        <w:jc w:val="both"/>
        <w:rPr>
          <w:rFonts w:ascii="Arial" w:eastAsia="Cambria" w:hAnsi="Arial" w:cs="Arial"/>
          <w:lang w:val="es-ES_tradnl" w:eastAsia="en-US"/>
        </w:rPr>
      </w:pPr>
      <w:r w:rsidRPr="006C4FFB">
        <w:rPr>
          <w:rFonts w:ascii="Arial" w:eastAsia="Cambria" w:hAnsi="Arial" w:cs="Arial"/>
          <w:lang w:val="es-ES_tradnl" w:eastAsia="en-US"/>
        </w:rPr>
        <w:t>Se  concluye que se hace necesario la modificación del citado artículo, y  se dispone elevar la siguiente propuesta al Consejo Institucional.</w:t>
      </w: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Default="00B63D1C" w:rsidP="006C4FFB">
      <w:pPr>
        <w:ind w:left="709" w:right="-1"/>
        <w:contextualSpacing/>
        <w:jc w:val="both"/>
        <w:rPr>
          <w:rFonts w:ascii="Arial" w:eastAsia="Cambria" w:hAnsi="Arial" w:cs="Arial"/>
          <w:lang w:val="es-ES_tradnl" w:eastAsia="en-US"/>
        </w:rPr>
      </w:pPr>
    </w:p>
    <w:p w:rsidR="00B63D1C" w:rsidRPr="006C4FFB" w:rsidRDefault="00B63D1C" w:rsidP="006C4FFB">
      <w:pPr>
        <w:ind w:left="709" w:right="-1"/>
        <w:contextualSpacing/>
        <w:jc w:val="both"/>
        <w:rPr>
          <w:rFonts w:ascii="Arial" w:eastAsia="Cambria" w:hAnsi="Arial" w:cs="Arial"/>
          <w:lang w:val="es-ES_tradnl" w:eastAsia="en-US"/>
        </w:rPr>
      </w:pPr>
    </w:p>
    <w:p w:rsidR="006C4FFB" w:rsidRPr="006C4FFB" w:rsidRDefault="006C4FFB" w:rsidP="006C4FFB">
      <w:pPr>
        <w:tabs>
          <w:tab w:val="left" w:pos="426"/>
        </w:tabs>
        <w:ind w:left="426" w:right="-1"/>
        <w:contextualSpacing/>
        <w:jc w:val="both"/>
        <w:rPr>
          <w:rFonts w:ascii="Arial" w:eastAsia="Cambria" w:hAnsi="Arial" w:cs="Arial"/>
          <w:lang w:val="es-ES_tradnl" w:eastAsia="en-US"/>
        </w:rPr>
      </w:pPr>
    </w:p>
    <w:tbl>
      <w:tblPr>
        <w:tblStyle w:val="Tablaconcuadrcula4"/>
        <w:tblW w:w="0" w:type="auto"/>
        <w:tblInd w:w="426" w:type="dxa"/>
        <w:tblLook w:val="04A0" w:firstRow="1" w:lastRow="0" w:firstColumn="1" w:lastColumn="0" w:noHBand="0" w:noVBand="1"/>
      </w:tblPr>
      <w:tblGrid>
        <w:gridCol w:w="4247"/>
        <w:gridCol w:w="4106"/>
      </w:tblGrid>
      <w:tr w:rsidR="006C4FFB" w:rsidRPr="006C4FFB" w:rsidTr="00A363CA">
        <w:tc>
          <w:tcPr>
            <w:tcW w:w="4247" w:type="dxa"/>
          </w:tcPr>
          <w:p w:rsidR="006C4FFB" w:rsidRPr="006C4FFB" w:rsidRDefault="006C4FFB" w:rsidP="006C4FFB">
            <w:pPr>
              <w:tabs>
                <w:tab w:val="left" w:pos="426"/>
              </w:tabs>
              <w:ind w:right="-1"/>
              <w:contextualSpacing/>
              <w:jc w:val="center"/>
              <w:rPr>
                <w:rFonts w:ascii="Arial" w:hAnsi="Arial" w:cs="Arial"/>
                <w:b/>
                <w:i/>
                <w:sz w:val="22"/>
                <w:szCs w:val="22"/>
                <w:lang w:val="es-ES_tradnl" w:eastAsia="en-US"/>
              </w:rPr>
            </w:pPr>
            <w:r w:rsidRPr="006C4FFB">
              <w:rPr>
                <w:rFonts w:ascii="Arial" w:hAnsi="Arial" w:cs="Arial"/>
                <w:b/>
                <w:i/>
                <w:sz w:val="22"/>
                <w:szCs w:val="22"/>
                <w:lang w:val="es-ES_tradnl" w:eastAsia="en-US"/>
              </w:rPr>
              <w:t>ACTUAL</w:t>
            </w:r>
          </w:p>
        </w:tc>
        <w:tc>
          <w:tcPr>
            <w:tcW w:w="4106" w:type="dxa"/>
          </w:tcPr>
          <w:p w:rsidR="006C4FFB" w:rsidRPr="006C4FFB" w:rsidRDefault="006C4FFB" w:rsidP="006C4FFB">
            <w:pPr>
              <w:tabs>
                <w:tab w:val="left" w:pos="426"/>
              </w:tabs>
              <w:ind w:right="-1"/>
              <w:contextualSpacing/>
              <w:jc w:val="center"/>
              <w:rPr>
                <w:rFonts w:ascii="Arial" w:hAnsi="Arial" w:cs="Arial"/>
                <w:b/>
                <w:i/>
                <w:sz w:val="22"/>
                <w:szCs w:val="22"/>
                <w:lang w:val="es-ES_tradnl" w:eastAsia="en-US"/>
              </w:rPr>
            </w:pPr>
            <w:r w:rsidRPr="006C4FFB">
              <w:rPr>
                <w:rFonts w:ascii="Arial" w:hAnsi="Arial" w:cs="Arial"/>
                <w:b/>
                <w:i/>
                <w:sz w:val="22"/>
                <w:szCs w:val="22"/>
                <w:lang w:val="es-ES_tradnl" w:eastAsia="en-US"/>
              </w:rPr>
              <w:t>PROPUESTA</w:t>
            </w:r>
          </w:p>
        </w:tc>
      </w:tr>
      <w:tr w:rsidR="006C4FFB" w:rsidRPr="006C4FFB" w:rsidTr="00A363CA">
        <w:trPr>
          <w:trHeight w:val="4159"/>
        </w:trPr>
        <w:tc>
          <w:tcPr>
            <w:tcW w:w="4247" w:type="dxa"/>
          </w:tcPr>
          <w:p w:rsidR="006C4FFB" w:rsidRPr="006C4FFB" w:rsidRDefault="006C4FFB" w:rsidP="006C4FFB">
            <w:pPr>
              <w:tabs>
                <w:tab w:val="left" w:pos="426"/>
              </w:tabs>
              <w:ind w:right="-1"/>
              <w:contextualSpacing/>
              <w:jc w:val="both"/>
              <w:rPr>
                <w:rFonts w:ascii="Arial" w:hAnsi="Arial" w:cs="Arial"/>
                <w:lang w:val="es-ES_tradnl" w:eastAsia="en-US"/>
              </w:rPr>
            </w:pPr>
            <w:r w:rsidRPr="006C4FFB">
              <w:rPr>
                <w:rFonts w:ascii="Arial" w:hAnsi="Arial" w:cs="Arial"/>
                <w:lang w:val="es-ES_tradnl" w:eastAsia="en-US"/>
              </w:rPr>
              <w:t>Artículo 6</w:t>
            </w:r>
          </w:p>
          <w:p w:rsidR="006C4FFB" w:rsidRPr="006C4FFB" w:rsidRDefault="006C4FFB" w:rsidP="006C4FFB">
            <w:pPr>
              <w:tabs>
                <w:tab w:val="left" w:pos="426"/>
              </w:tabs>
              <w:ind w:right="-1"/>
              <w:contextualSpacing/>
              <w:jc w:val="both"/>
              <w:rPr>
                <w:rFonts w:ascii="Arial" w:hAnsi="Arial" w:cs="Arial"/>
                <w:sz w:val="16"/>
                <w:szCs w:val="16"/>
                <w:lang w:val="es-ES_tradnl" w:eastAsia="en-US"/>
              </w:rPr>
            </w:pPr>
          </w:p>
          <w:p w:rsidR="006C4FFB" w:rsidRPr="006C4FFB" w:rsidRDefault="006C4FFB" w:rsidP="006C4FFB">
            <w:pPr>
              <w:tabs>
                <w:tab w:val="left" w:pos="426"/>
              </w:tabs>
              <w:ind w:right="-1"/>
              <w:contextualSpacing/>
              <w:jc w:val="both"/>
              <w:rPr>
                <w:rFonts w:ascii="Arial" w:hAnsi="Arial" w:cs="Arial"/>
                <w:lang w:val="es-ES_tradnl" w:eastAsia="en-US"/>
              </w:rPr>
            </w:pPr>
            <w:r w:rsidRPr="006C4FFB">
              <w:rPr>
                <w:rFonts w:ascii="Arial" w:hAnsi="Arial" w:cs="Arial"/>
                <w:color w:val="404040" w:themeColor="text1" w:themeTint="BF"/>
              </w:rPr>
              <w:t>Los encargados de las unidades ejecutoras tramitarán las solicitudes de modificación al presupuesto, las cuales deben ser aprobadas por el encargado del programa, siempre que no impliquen variaciones al Plan Anual Operativo y no sean partidas especiales. En caso contrario dichas solicitudes deberán ser analizadas y aprobadas por el Consejo Institucional, con excepción de lo indicado en el Artículo 7 de este Reglamento.</w:t>
            </w:r>
          </w:p>
        </w:tc>
        <w:tc>
          <w:tcPr>
            <w:tcW w:w="4106" w:type="dxa"/>
          </w:tcPr>
          <w:p w:rsidR="006C4FFB" w:rsidRPr="006C4FFB" w:rsidRDefault="006C4FFB" w:rsidP="006C4FFB">
            <w:pPr>
              <w:tabs>
                <w:tab w:val="left" w:pos="426"/>
              </w:tabs>
              <w:ind w:right="-1"/>
              <w:contextualSpacing/>
              <w:jc w:val="both"/>
              <w:rPr>
                <w:rFonts w:ascii="Arial" w:hAnsi="Arial" w:cs="Arial"/>
                <w:lang w:val="es-ES_tradnl" w:eastAsia="en-US"/>
              </w:rPr>
            </w:pPr>
            <w:r w:rsidRPr="006C4FFB">
              <w:rPr>
                <w:rFonts w:ascii="Arial" w:hAnsi="Arial" w:cs="Arial"/>
                <w:lang w:val="es-ES_tradnl" w:eastAsia="en-US"/>
              </w:rPr>
              <w:t>Artículo 6</w:t>
            </w:r>
          </w:p>
          <w:p w:rsidR="006C4FFB" w:rsidRPr="006C4FFB" w:rsidRDefault="006C4FFB" w:rsidP="006C4FFB">
            <w:pPr>
              <w:tabs>
                <w:tab w:val="left" w:pos="426"/>
              </w:tabs>
              <w:ind w:right="-1"/>
              <w:contextualSpacing/>
              <w:jc w:val="both"/>
              <w:rPr>
                <w:rFonts w:ascii="Arial" w:hAnsi="Arial" w:cs="Arial"/>
                <w:sz w:val="16"/>
                <w:szCs w:val="16"/>
                <w:lang w:val="es-ES_tradnl" w:eastAsia="en-US"/>
              </w:rPr>
            </w:pPr>
          </w:p>
          <w:p w:rsidR="006C4FFB" w:rsidRPr="006C4FFB" w:rsidRDefault="006C4FFB" w:rsidP="006C4FFB">
            <w:pPr>
              <w:jc w:val="both"/>
              <w:rPr>
                <w:rFonts w:ascii="Arial" w:hAnsi="Arial" w:cs="Arial"/>
              </w:rPr>
            </w:pPr>
            <w:r w:rsidRPr="006C4FFB">
              <w:rPr>
                <w:rFonts w:ascii="Arial" w:hAnsi="Arial" w:cs="Arial"/>
                <w:color w:val="404040" w:themeColor="text1" w:themeTint="BF"/>
              </w:rPr>
              <w:t xml:space="preserve">Los encargados de las unidades ejecutoras tramitarán las solicitudes de modificación al presupuesto, las cuales deben ser aprobadas por el encargado del programa, siempre que no impliquen variaciones al Plan Anual Operativo, </w:t>
            </w:r>
            <w:r w:rsidRPr="006C4FFB">
              <w:rPr>
                <w:rFonts w:ascii="Arial" w:hAnsi="Arial" w:cs="Arial"/>
                <w:b/>
                <w:bCs/>
              </w:rPr>
              <w:t>a un acuerdo del Consejo Institucional donde indique el objetivo de los fondos</w:t>
            </w:r>
            <w:r w:rsidRPr="006C4FFB">
              <w:rPr>
                <w:rFonts w:ascii="Arial" w:hAnsi="Arial" w:cs="Arial"/>
              </w:rPr>
              <w:t xml:space="preserve"> y no sean partidas especiales </w:t>
            </w:r>
            <w:r w:rsidRPr="006C4FFB">
              <w:rPr>
                <w:rFonts w:ascii="Arial" w:hAnsi="Arial" w:cs="Arial"/>
                <w:b/>
                <w:bCs/>
              </w:rPr>
              <w:t>definidas por el Consejo Institucional</w:t>
            </w:r>
            <w:r w:rsidRPr="006C4FFB">
              <w:rPr>
                <w:rFonts w:ascii="Arial" w:hAnsi="Arial" w:cs="Arial"/>
              </w:rPr>
              <w:t xml:space="preserve">. En caso contrario </w:t>
            </w:r>
            <w:r w:rsidRPr="006C4FFB">
              <w:rPr>
                <w:rFonts w:ascii="Arial" w:hAnsi="Arial" w:cs="Arial"/>
                <w:color w:val="404040" w:themeColor="text1" w:themeTint="BF"/>
              </w:rPr>
              <w:t>dichas solicitudes deberán ser analizadas y aprobadas por el Consejo Institucional, con excepción de lo indicado en el Artículo 7 de este Reglamento.</w:t>
            </w:r>
          </w:p>
        </w:tc>
      </w:tr>
    </w:tbl>
    <w:p w:rsidR="006C4FFB" w:rsidRPr="006C4FFB" w:rsidRDefault="006C4FFB" w:rsidP="006C4FFB">
      <w:pPr>
        <w:ind w:left="426" w:hanging="568"/>
        <w:jc w:val="both"/>
        <w:rPr>
          <w:rFonts w:ascii="Arial" w:eastAsia="Calibri" w:hAnsi="Arial" w:cs="Arial"/>
          <w:b/>
          <w:lang w:val="es-ES_tradnl"/>
        </w:rPr>
      </w:pPr>
    </w:p>
    <w:p w:rsidR="006C4FFB" w:rsidRPr="006C4FFB" w:rsidRDefault="006C4FFB" w:rsidP="006C4FFB">
      <w:pPr>
        <w:ind w:left="426" w:hanging="568"/>
        <w:jc w:val="both"/>
        <w:rPr>
          <w:rFonts w:ascii="Arial" w:eastAsia="Calibri" w:hAnsi="Arial" w:cs="Arial"/>
          <w:b/>
          <w:lang w:val="es-ES_tradnl"/>
        </w:rPr>
      </w:pPr>
    </w:p>
    <w:p w:rsidR="006C4FFB" w:rsidRPr="006C4FFB" w:rsidRDefault="006C4FFB" w:rsidP="006C4FFB">
      <w:pPr>
        <w:numPr>
          <w:ilvl w:val="0"/>
          <w:numId w:val="35"/>
        </w:numPr>
        <w:tabs>
          <w:tab w:val="left" w:pos="426"/>
        </w:tabs>
        <w:ind w:right="-1"/>
        <w:contextualSpacing/>
        <w:jc w:val="both"/>
        <w:rPr>
          <w:rFonts w:ascii="Arial" w:hAnsi="Arial" w:cs="Arial"/>
          <w:lang w:eastAsia="en-US"/>
        </w:rPr>
      </w:pPr>
      <w:r w:rsidRPr="006C4FFB">
        <w:rPr>
          <w:rFonts w:ascii="Arial" w:hAnsi="Arial" w:cs="Arial"/>
          <w:lang w:val="es-ES_tradnl"/>
        </w:rPr>
        <w:t xml:space="preserve">En la Sesión Ordinaria del Consejo Institucional, No. 3013, del 15 de marzo de </w:t>
      </w:r>
      <w:r w:rsidRPr="006C4FFB">
        <w:rPr>
          <w:rFonts w:ascii="Arial" w:hAnsi="Arial" w:cs="Arial"/>
          <w:lang w:eastAsia="en-US"/>
        </w:rPr>
        <w:t>2017, se presentó la propuesta, sin embargo la Comisión de Planificación la retira con el fin de incorporar algunos insumos aportados por la Auditoría Interna.</w:t>
      </w:r>
    </w:p>
    <w:p w:rsidR="006C4FFB" w:rsidRPr="006C4FFB" w:rsidRDefault="006C4FFB" w:rsidP="006C4FFB">
      <w:pPr>
        <w:tabs>
          <w:tab w:val="left" w:pos="426"/>
        </w:tabs>
        <w:ind w:left="142" w:right="-1"/>
        <w:contextualSpacing/>
        <w:jc w:val="both"/>
        <w:rPr>
          <w:rFonts w:ascii="Arial" w:hAnsi="Arial" w:cs="Arial"/>
          <w:lang w:eastAsia="en-US"/>
        </w:rPr>
      </w:pPr>
    </w:p>
    <w:p w:rsidR="006C4FFB" w:rsidRPr="006C4FFB" w:rsidRDefault="006C4FFB" w:rsidP="006C4FFB">
      <w:pPr>
        <w:numPr>
          <w:ilvl w:val="0"/>
          <w:numId w:val="35"/>
        </w:numPr>
        <w:tabs>
          <w:tab w:val="left" w:pos="426"/>
        </w:tabs>
        <w:ind w:right="-1"/>
        <w:contextualSpacing/>
        <w:jc w:val="both"/>
        <w:rPr>
          <w:rFonts w:ascii="Arial" w:hAnsi="Arial" w:cs="Arial"/>
          <w:lang w:eastAsia="en-US"/>
        </w:rPr>
      </w:pPr>
      <w:r w:rsidRPr="006C4FFB">
        <w:rPr>
          <w:rFonts w:ascii="Arial" w:hAnsi="Arial" w:cs="Arial"/>
          <w:lang w:eastAsia="en-US"/>
        </w:rPr>
        <w:tab/>
        <w:t>La Comisión de Planificación y Administración en la reunión No. 716-2017, realizada el 20 de marzo de 2017, recibe al Lic. Isidro Álvarez, Director de la Auditor Interno y a la Dra. Deyanira Meza, Auditora, quienes plantean sus observaciones en relación con modificación al artículo 6 del Reglamento para la Aplicación de Modificaciones Presupuestarias en el ITCR, con el ánimo de que haya mayor claridad, por lo que se integran los cambios que se consideran, entre ellos la modificación del artículo 2, para incorporar una modificación a la definición de Fondo Restringido y agregar la definición de Fondos Específicos.</w:t>
      </w:r>
    </w:p>
    <w:p w:rsidR="006C4FFB" w:rsidRPr="006C4FFB" w:rsidRDefault="006C4FFB" w:rsidP="006C4FFB">
      <w:pPr>
        <w:ind w:left="426" w:hanging="568"/>
        <w:jc w:val="both"/>
        <w:rPr>
          <w:rFonts w:ascii="Arial" w:eastAsia="Calibri" w:hAnsi="Arial" w:cs="Arial"/>
          <w:b/>
          <w:lang w:val="es-ES_tradnl"/>
        </w:rPr>
      </w:pPr>
    </w:p>
    <w:p w:rsidR="006C4FFB" w:rsidRPr="006C4FFB" w:rsidRDefault="006C4FFB" w:rsidP="006C4FFB">
      <w:pPr>
        <w:numPr>
          <w:ilvl w:val="0"/>
          <w:numId w:val="35"/>
        </w:numPr>
        <w:tabs>
          <w:tab w:val="left" w:pos="426"/>
        </w:tabs>
        <w:ind w:right="-1"/>
        <w:contextualSpacing/>
        <w:jc w:val="both"/>
        <w:rPr>
          <w:rFonts w:ascii="Arial" w:eastAsia="Cambria" w:hAnsi="Arial" w:cs="Arial"/>
          <w:sz w:val="20"/>
          <w:szCs w:val="20"/>
          <w:lang w:val="es-CR" w:eastAsia="en-US"/>
        </w:rPr>
      </w:pPr>
      <w:r w:rsidRPr="006C4FFB">
        <w:rPr>
          <w:rFonts w:ascii="Arial" w:eastAsia="Cambria" w:hAnsi="Arial" w:cs="Arial"/>
          <w:lang w:val="es-ES_tradnl" w:eastAsia="en-US"/>
        </w:rPr>
        <w:t xml:space="preserve">En Sesión No. 3016, del 29 de marzo de 2017, del Consejo Institucional, se presenta la propuesta </w:t>
      </w:r>
      <w:r w:rsidRPr="006C4FFB">
        <w:rPr>
          <w:rFonts w:ascii="Arial" w:hAnsi="Arial" w:cs="Arial"/>
          <w:lang w:eastAsia="en-US"/>
        </w:rPr>
        <w:t>modificada</w:t>
      </w:r>
      <w:r w:rsidRPr="006C4FFB">
        <w:rPr>
          <w:rFonts w:ascii="Arial" w:eastAsia="Cambria" w:hAnsi="Arial" w:cs="Arial"/>
          <w:lang w:val="es-ES_tradnl" w:eastAsia="en-US"/>
        </w:rPr>
        <w:t>, no obstante, la Comisión nuevamente la retira con el fin de readecuar la redacción y tomar en cuenta insumos adicionales de la Auditoría Interna, para presentarla en la Sesión del miércoles 05 de abril del presente año.</w:t>
      </w:r>
    </w:p>
    <w:p w:rsidR="006C4FFB" w:rsidRPr="006C4FFB" w:rsidRDefault="006C4FFB" w:rsidP="006C4FFB">
      <w:pPr>
        <w:ind w:left="708"/>
        <w:rPr>
          <w:rFonts w:ascii="Arial" w:eastAsia="Calibri" w:hAnsi="Arial" w:cs="Arial"/>
          <w:sz w:val="20"/>
          <w:szCs w:val="20"/>
          <w:lang w:val="es-CR"/>
        </w:rPr>
      </w:pPr>
    </w:p>
    <w:p w:rsidR="006C4FFB" w:rsidRDefault="006C4FFB" w:rsidP="006C4FFB">
      <w:pPr>
        <w:numPr>
          <w:ilvl w:val="0"/>
          <w:numId w:val="35"/>
        </w:numPr>
        <w:tabs>
          <w:tab w:val="left" w:pos="426"/>
        </w:tabs>
        <w:ind w:right="-1"/>
        <w:contextualSpacing/>
        <w:jc w:val="both"/>
        <w:rPr>
          <w:rFonts w:ascii="Arial" w:hAnsi="Arial" w:cs="Arial"/>
          <w:lang w:eastAsia="en-US"/>
        </w:rPr>
      </w:pPr>
      <w:r w:rsidRPr="006C4FFB">
        <w:rPr>
          <w:rFonts w:ascii="Arial" w:hAnsi="Arial" w:cs="Arial"/>
          <w:lang w:eastAsia="en-US"/>
        </w:rPr>
        <w:t>Con todo lo anterior se dispone elevar la siguiente propuesta al Consejo Institucional.</w:t>
      </w:r>
    </w:p>
    <w:p w:rsidR="00B63D1C" w:rsidRDefault="00B63D1C" w:rsidP="00B63D1C">
      <w:pPr>
        <w:pStyle w:val="Prrafodelista"/>
        <w:rPr>
          <w:rFonts w:ascii="Arial" w:hAnsi="Arial" w:cs="Arial"/>
          <w:lang w:eastAsia="en-US"/>
        </w:rPr>
      </w:pPr>
    </w:p>
    <w:p w:rsidR="00B63D1C" w:rsidRDefault="00B63D1C" w:rsidP="00B63D1C">
      <w:pPr>
        <w:tabs>
          <w:tab w:val="left" w:pos="426"/>
        </w:tabs>
        <w:ind w:right="-1"/>
        <w:contextualSpacing/>
        <w:jc w:val="both"/>
        <w:rPr>
          <w:rFonts w:ascii="Arial" w:hAnsi="Arial" w:cs="Arial"/>
          <w:lang w:eastAsia="en-US"/>
        </w:rPr>
      </w:pPr>
    </w:p>
    <w:p w:rsidR="00B63D1C" w:rsidRDefault="00B63D1C" w:rsidP="00B63D1C">
      <w:pPr>
        <w:tabs>
          <w:tab w:val="left" w:pos="426"/>
        </w:tabs>
        <w:ind w:right="-1"/>
        <w:contextualSpacing/>
        <w:jc w:val="both"/>
        <w:rPr>
          <w:rFonts w:ascii="Arial" w:hAnsi="Arial" w:cs="Arial"/>
          <w:lang w:eastAsia="en-US"/>
        </w:rPr>
      </w:pPr>
    </w:p>
    <w:p w:rsidR="00B63D1C" w:rsidRPr="006C4FFB" w:rsidRDefault="00B63D1C" w:rsidP="00B63D1C">
      <w:pPr>
        <w:tabs>
          <w:tab w:val="left" w:pos="426"/>
        </w:tabs>
        <w:ind w:right="-1"/>
        <w:contextualSpacing/>
        <w:jc w:val="both"/>
        <w:rPr>
          <w:rFonts w:ascii="Arial" w:hAnsi="Arial" w:cs="Arial"/>
          <w:lang w:eastAsia="en-US"/>
        </w:rPr>
      </w:pPr>
    </w:p>
    <w:p w:rsidR="006C4FFB" w:rsidRPr="006C4FFB" w:rsidRDefault="006C4FFB" w:rsidP="006C4FFB">
      <w:pPr>
        <w:ind w:left="426" w:hanging="568"/>
        <w:jc w:val="both"/>
        <w:rPr>
          <w:rFonts w:ascii="Arial" w:eastAsia="Calibri" w:hAnsi="Arial" w:cs="Arial"/>
          <w:b/>
          <w:lang w:val="es-ES_tradnl"/>
        </w:rPr>
      </w:pPr>
    </w:p>
    <w:p w:rsidR="006C4FFB" w:rsidRPr="006C4FFB" w:rsidRDefault="006C4FFB" w:rsidP="006C4FFB">
      <w:pPr>
        <w:ind w:left="426" w:hanging="568"/>
        <w:jc w:val="both"/>
        <w:rPr>
          <w:rFonts w:ascii="Arial" w:eastAsia="Calibri" w:hAnsi="Arial" w:cs="Arial"/>
          <w:b/>
          <w:lang w:val="es-ES_tradnl"/>
        </w:rPr>
      </w:pPr>
      <w:r w:rsidRPr="006C4FFB">
        <w:rPr>
          <w:rFonts w:ascii="Arial" w:eastAsia="Calibri" w:hAnsi="Arial" w:cs="Arial"/>
          <w:b/>
          <w:lang w:val="es-ES_tradnl"/>
        </w:rPr>
        <w:lastRenderedPageBreak/>
        <w:t>SE</w:t>
      </w:r>
      <w:r>
        <w:rPr>
          <w:rFonts w:ascii="Arial" w:eastAsia="Calibri" w:hAnsi="Arial" w:cs="Arial"/>
          <w:b/>
          <w:lang w:val="es-ES_tradnl"/>
        </w:rPr>
        <w:t xml:space="preserve"> ACUERDA</w:t>
      </w:r>
      <w:r w:rsidRPr="006C4FFB">
        <w:rPr>
          <w:rFonts w:ascii="Arial" w:eastAsia="Calibri" w:hAnsi="Arial" w:cs="Arial"/>
          <w:b/>
          <w:lang w:val="es-ES_tradnl"/>
        </w:rPr>
        <w:t>:</w:t>
      </w:r>
    </w:p>
    <w:p w:rsidR="006C4FFB" w:rsidRPr="006C4FFB" w:rsidRDefault="006C4FFB" w:rsidP="006C4FFB">
      <w:pPr>
        <w:jc w:val="both"/>
        <w:rPr>
          <w:rFonts w:ascii="Arial" w:eastAsia="Calibri" w:hAnsi="Arial" w:cs="Arial"/>
          <w:b/>
          <w:sz w:val="28"/>
          <w:szCs w:val="28"/>
          <w:lang w:val="es-ES_tradnl"/>
        </w:rPr>
      </w:pPr>
    </w:p>
    <w:p w:rsidR="006C4FFB" w:rsidRPr="006C4FFB" w:rsidRDefault="006C4FFB" w:rsidP="006C4FFB">
      <w:pPr>
        <w:numPr>
          <w:ilvl w:val="0"/>
          <w:numId w:val="33"/>
        </w:numPr>
        <w:ind w:left="426" w:right="-91" w:hanging="426"/>
        <w:jc w:val="both"/>
        <w:rPr>
          <w:rFonts w:ascii="Arial" w:hAnsi="Arial" w:cs="Arial"/>
          <w:lang w:val="es-CR" w:eastAsia="es-CR"/>
        </w:rPr>
      </w:pPr>
      <w:r w:rsidRPr="006C4FFB">
        <w:rPr>
          <w:rFonts w:ascii="Arial" w:hAnsi="Arial" w:cs="Arial"/>
          <w:lang w:val="es-CR" w:eastAsia="es-CR"/>
        </w:rPr>
        <w:t>Modificar el artículo 2 del Reglamento para la Aplicación de Modificaciones Presupuestarias en el ITCR, en su apartado de definiciones específicamente en las siguientes definiciones:</w:t>
      </w:r>
    </w:p>
    <w:p w:rsidR="006C4FFB" w:rsidRPr="006C4FFB" w:rsidRDefault="006C4FFB" w:rsidP="006C4FFB">
      <w:pPr>
        <w:spacing w:before="100" w:beforeAutospacing="1" w:after="100" w:afterAutospacing="1"/>
        <w:ind w:left="426"/>
        <w:rPr>
          <w:rFonts w:ascii="Arial" w:hAnsi="Arial" w:cs="Arial"/>
          <w:lang w:val="es-CR" w:eastAsia="es-CR"/>
        </w:rPr>
      </w:pPr>
      <w:r w:rsidRPr="006C4FFB">
        <w:rPr>
          <w:rFonts w:ascii="Arial" w:hAnsi="Arial" w:cs="Arial"/>
        </w:rPr>
        <w:t>Artículo 2 Definiciones</w:t>
      </w:r>
    </w:p>
    <w:p w:rsidR="006C4FFB" w:rsidRPr="006C4FFB" w:rsidRDefault="006C4FFB" w:rsidP="006C4FFB">
      <w:pPr>
        <w:spacing w:before="100" w:beforeAutospacing="1" w:after="100" w:afterAutospacing="1"/>
        <w:ind w:left="426"/>
        <w:rPr>
          <w:rFonts w:ascii="Arial" w:hAnsi="Arial" w:cs="Arial"/>
        </w:rPr>
      </w:pPr>
      <w:r w:rsidRPr="006C4FFB">
        <w:rPr>
          <w:rFonts w:ascii="Arial" w:hAnsi="Arial" w:cs="Arial"/>
        </w:rPr>
        <w:t xml:space="preserve">Para los efectos de este Reglamento se entiende por: </w:t>
      </w:r>
    </w:p>
    <w:p w:rsidR="006C4FFB" w:rsidRPr="006C4FFB" w:rsidRDefault="006C4FFB" w:rsidP="006C4FFB">
      <w:pPr>
        <w:numPr>
          <w:ilvl w:val="0"/>
          <w:numId w:val="38"/>
        </w:numPr>
        <w:spacing w:before="100" w:beforeAutospacing="1" w:after="100" w:afterAutospacing="1"/>
        <w:rPr>
          <w:rFonts w:ascii="Arial" w:eastAsia="Cambria" w:hAnsi="Arial" w:cs="Arial"/>
          <w:lang w:val="es-ES_tradnl" w:eastAsia="en-US"/>
        </w:rPr>
      </w:pPr>
      <w:r w:rsidRPr="006C4FFB">
        <w:rPr>
          <w:rFonts w:ascii="Arial" w:eastAsia="Cambria" w:hAnsi="Arial" w:cs="Arial"/>
          <w:b/>
          <w:lang w:val="es-ES_tradnl" w:eastAsia="en-US"/>
        </w:rPr>
        <w:t>…</w:t>
      </w:r>
    </w:p>
    <w:p w:rsidR="006C4FFB" w:rsidRPr="006C4FFB" w:rsidRDefault="006C4FFB" w:rsidP="006C4FFB">
      <w:pPr>
        <w:ind w:left="788"/>
        <w:jc w:val="both"/>
        <w:rPr>
          <w:rFonts w:ascii="Arial" w:hAnsi="Arial" w:cs="Arial"/>
        </w:rPr>
      </w:pPr>
      <w:r w:rsidRPr="006C4FFB">
        <w:rPr>
          <w:rFonts w:ascii="Arial" w:hAnsi="Arial" w:cs="Arial"/>
          <w:b/>
        </w:rPr>
        <w:t>Fondos Restringidos:</w:t>
      </w:r>
      <w:r w:rsidRPr="006C4FFB">
        <w:rPr>
          <w:rFonts w:ascii="Arial" w:hAnsi="Arial" w:cs="Arial"/>
        </w:rPr>
        <w:t xml:space="preserve"> Son recursos que se han asignado y catalogado como restringidos mediante un acuerdo del Consejo Institucional. Los recursos de dichos fondos deben ser utilizados de manera exclusiva según indica el citado acuerdo, atendiendo los planteamientos y objetivos ahí definidos.</w:t>
      </w:r>
    </w:p>
    <w:p w:rsidR="006C4FFB" w:rsidRPr="006C4FFB" w:rsidRDefault="006C4FFB" w:rsidP="006C4FFB">
      <w:pPr>
        <w:jc w:val="both"/>
        <w:rPr>
          <w:rFonts w:ascii="Arial" w:hAnsi="Arial" w:cs="Arial"/>
        </w:rPr>
      </w:pPr>
    </w:p>
    <w:p w:rsidR="006C4FFB" w:rsidRPr="006C4FFB" w:rsidRDefault="006C4FFB" w:rsidP="006C4FFB">
      <w:pPr>
        <w:ind w:left="426"/>
        <w:jc w:val="both"/>
        <w:rPr>
          <w:rFonts w:ascii="Arial" w:hAnsi="Arial" w:cs="Arial"/>
        </w:rPr>
      </w:pPr>
      <w:r w:rsidRPr="006C4FFB">
        <w:rPr>
          <w:rFonts w:ascii="Arial" w:hAnsi="Arial" w:cs="Arial"/>
        </w:rPr>
        <w:t>Se agrega esta nueva definición</w:t>
      </w:r>
    </w:p>
    <w:p w:rsidR="006C4FFB" w:rsidRPr="006C4FFB" w:rsidRDefault="006C4FFB" w:rsidP="006C4FFB">
      <w:pPr>
        <w:ind w:left="788"/>
        <w:jc w:val="both"/>
        <w:rPr>
          <w:rFonts w:ascii="Arial" w:hAnsi="Arial" w:cs="Arial"/>
        </w:rPr>
      </w:pPr>
    </w:p>
    <w:p w:rsidR="006C4FFB" w:rsidRPr="006C4FFB" w:rsidRDefault="006C4FFB" w:rsidP="006C4FFB">
      <w:pPr>
        <w:ind w:left="788"/>
        <w:jc w:val="both"/>
        <w:rPr>
          <w:rFonts w:ascii="Arial" w:hAnsi="Arial" w:cs="Arial"/>
        </w:rPr>
      </w:pPr>
      <w:r w:rsidRPr="006C4FFB">
        <w:rPr>
          <w:rFonts w:ascii="Arial" w:hAnsi="Arial" w:cs="Arial"/>
          <w:b/>
        </w:rPr>
        <w:t>Fondos Específicos:</w:t>
      </w:r>
      <w:r w:rsidRPr="006C4FFB">
        <w:rPr>
          <w:rFonts w:ascii="Arial" w:hAnsi="Arial" w:cs="Arial"/>
        </w:rPr>
        <w:t xml:space="preserve"> Son recursos que se han asignado y catalogado como específicos, dado que provienen de diversas leyes nacionales. Los recursos deben ser utilizados de manera exclusiva según se indica en la ley, atendiendo los planteamientos y objetivos ahí definidos.</w:t>
      </w:r>
    </w:p>
    <w:p w:rsidR="006C4FFB" w:rsidRPr="006C4FFB" w:rsidRDefault="006C4FFB" w:rsidP="006C4FFB">
      <w:pPr>
        <w:jc w:val="both"/>
        <w:rPr>
          <w:rFonts w:ascii="Arial" w:hAnsi="Arial" w:cs="Arial"/>
          <w:color w:val="404040" w:themeColor="text1" w:themeTint="BF"/>
        </w:rPr>
      </w:pPr>
    </w:p>
    <w:p w:rsidR="006C4FFB" w:rsidRPr="006C4FFB" w:rsidRDefault="006C4FFB" w:rsidP="006C4FFB">
      <w:pPr>
        <w:numPr>
          <w:ilvl w:val="0"/>
          <w:numId w:val="33"/>
        </w:numPr>
        <w:ind w:left="426" w:right="-91" w:hanging="426"/>
        <w:jc w:val="both"/>
        <w:rPr>
          <w:rFonts w:ascii="Arial" w:hAnsi="Arial" w:cs="Arial"/>
          <w:lang w:val="es-CR" w:eastAsia="es-CR"/>
        </w:rPr>
      </w:pPr>
      <w:r w:rsidRPr="006C4FFB">
        <w:rPr>
          <w:rFonts w:ascii="Arial" w:hAnsi="Arial" w:cs="Arial"/>
          <w:lang w:val="es-CR" w:eastAsia="es-CR"/>
        </w:rPr>
        <w:t>Modificar el artículo 6 del Reglamento para la Aplicación de Modificaciones Presupuestarias en el ITCR, para se lea de la siguiente manera</w:t>
      </w:r>
      <w:r>
        <w:rPr>
          <w:rFonts w:ascii="Arial" w:eastAsia="Calibri" w:hAnsi="Arial" w:cs="Arial"/>
          <w:bCs/>
        </w:rPr>
        <w:t>:</w:t>
      </w:r>
    </w:p>
    <w:p w:rsidR="006C4FFB" w:rsidRPr="006C4FFB" w:rsidRDefault="006C4FFB" w:rsidP="006C4FFB">
      <w:pPr>
        <w:ind w:left="788"/>
        <w:jc w:val="both"/>
        <w:rPr>
          <w:rFonts w:ascii="Arial" w:hAnsi="Arial" w:cs="Arial"/>
          <w:color w:val="404040" w:themeColor="text1" w:themeTint="BF"/>
        </w:rPr>
      </w:pPr>
    </w:p>
    <w:p w:rsidR="006C4FFB" w:rsidRPr="006C4FFB" w:rsidRDefault="006C4FFB" w:rsidP="006C4FFB">
      <w:pPr>
        <w:ind w:left="788"/>
        <w:jc w:val="both"/>
        <w:rPr>
          <w:rFonts w:ascii="Arial" w:hAnsi="Arial" w:cs="Arial"/>
        </w:rPr>
      </w:pPr>
      <w:r w:rsidRPr="006C4FFB">
        <w:rPr>
          <w:rFonts w:ascii="Arial" w:hAnsi="Arial" w:cs="Arial"/>
        </w:rPr>
        <w:t xml:space="preserve">“Artículo 6 </w:t>
      </w:r>
    </w:p>
    <w:p w:rsidR="006C4FFB" w:rsidRPr="006C4FFB" w:rsidRDefault="006C4FFB" w:rsidP="006C4FFB">
      <w:pPr>
        <w:ind w:left="788"/>
        <w:jc w:val="both"/>
        <w:rPr>
          <w:rFonts w:ascii="Arial" w:hAnsi="Arial" w:cs="Arial"/>
        </w:rPr>
      </w:pPr>
    </w:p>
    <w:p w:rsidR="006C4FFB" w:rsidRPr="006C4FFB" w:rsidRDefault="006C4FFB" w:rsidP="006C4FFB">
      <w:pPr>
        <w:ind w:left="788"/>
        <w:jc w:val="both"/>
        <w:rPr>
          <w:rFonts w:ascii="Arial" w:hAnsi="Arial" w:cs="Arial"/>
          <w:color w:val="404040" w:themeColor="text1" w:themeTint="BF"/>
        </w:rPr>
      </w:pPr>
      <w:r w:rsidRPr="006C4FFB">
        <w:rPr>
          <w:rFonts w:ascii="Arial" w:hAnsi="Arial" w:cs="Arial"/>
          <w:color w:val="404040" w:themeColor="text1" w:themeTint="BF"/>
        </w:rPr>
        <w:t>Los encargados de las unidades ejecutoras tramitarán las solicitudes de modificación al presupuesto, las cuales deben ser aprobadas por el encargado del programa, siempre que no impliquen variaciones al Plan Anual Operativo,</w:t>
      </w:r>
      <w:r w:rsidRPr="006C4FFB">
        <w:rPr>
          <w:rFonts w:ascii="Arial" w:hAnsi="Arial" w:cs="Arial"/>
          <w:color w:val="2E75B6"/>
          <w:sz w:val="18"/>
          <w:szCs w:val="18"/>
        </w:rPr>
        <w:t xml:space="preserve"> </w:t>
      </w:r>
      <w:r w:rsidRPr="006C4FFB">
        <w:rPr>
          <w:rFonts w:ascii="Arial" w:hAnsi="Arial" w:cs="Arial"/>
          <w:b/>
          <w:bCs/>
        </w:rPr>
        <w:t>a acuerdos del Consejo Institucional en los que se defina el objetivo de los fondos o se disminuya el contenido presupuestario de las partidas de Fondos Restringidos o de la partida cuentas especiales.</w:t>
      </w:r>
      <w:r w:rsidRPr="006C4FFB">
        <w:rPr>
          <w:rFonts w:ascii="Arial" w:hAnsi="Arial" w:cs="Arial"/>
          <w:sz w:val="18"/>
          <w:szCs w:val="18"/>
        </w:rPr>
        <w:t xml:space="preserve">  </w:t>
      </w:r>
      <w:r w:rsidRPr="006C4FFB">
        <w:rPr>
          <w:rFonts w:ascii="Arial" w:hAnsi="Arial" w:cs="Arial"/>
        </w:rPr>
        <w:t xml:space="preserve">En caso contrario dichas solicitudes deberán ser analizadas y aprobadas </w:t>
      </w:r>
      <w:r w:rsidRPr="006C4FFB">
        <w:rPr>
          <w:rFonts w:ascii="Arial" w:hAnsi="Arial" w:cs="Arial"/>
          <w:color w:val="404040" w:themeColor="text1" w:themeTint="BF"/>
        </w:rPr>
        <w:t>por el Consejo Institucional, con excepción de lo indicado en el Artículo 7 de este Reglamento.”</w:t>
      </w:r>
    </w:p>
    <w:p w:rsidR="006C4FFB" w:rsidRPr="006C4FFB" w:rsidRDefault="006C4FFB" w:rsidP="006C4FFB">
      <w:pPr>
        <w:rPr>
          <w:rFonts w:ascii="Arial" w:hAnsi="Arial" w:cs="Arial"/>
          <w:lang w:eastAsia="en-US"/>
        </w:rPr>
      </w:pPr>
    </w:p>
    <w:p w:rsidR="00CB682F" w:rsidRDefault="007742A1" w:rsidP="006C4FFB">
      <w:pPr>
        <w:numPr>
          <w:ilvl w:val="0"/>
          <w:numId w:val="33"/>
        </w:numPr>
        <w:ind w:left="426" w:right="-91"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474B22" w:rsidRPr="00B63D1C" w:rsidRDefault="00FA370C" w:rsidP="00B63D1C">
      <w:pPr>
        <w:autoSpaceDE w:val="0"/>
        <w:autoSpaceDN w:val="0"/>
        <w:adjustRightInd w:val="0"/>
        <w:jc w:val="both"/>
        <w:rPr>
          <w:rFonts w:ascii="Arial" w:eastAsia="Cambria" w:hAnsi="Arial" w:cs="Arial"/>
          <w:b/>
          <w:sz w:val="22"/>
          <w:szCs w:val="22"/>
          <w:lang w:val="es-ES_tradnl" w:eastAsia="en-US"/>
        </w:rPr>
      </w:pPr>
      <w:r w:rsidRPr="00FA370C">
        <w:rPr>
          <w:rFonts w:ascii="Arial" w:eastAsia="Cambria" w:hAnsi="Arial" w:cs="Arial"/>
          <w:b/>
          <w:sz w:val="18"/>
          <w:szCs w:val="18"/>
          <w:lang w:eastAsia="en-US"/>
        </w:rPr>
        <w:t xml:space="preserve"> </w:t>
      </w:r>
      <w:r w:rsidR="006C4FFB" w:rsidRPr="006C4FFB">
        <w:rPr>
          <w:rFonts w:ascii="Arial" w:eastAsia="Cambria" w:hAnsi="Arial" w:cs="Arial"/>
          <w:b/>
          <w:sz w:val="22"/>
          <w:szCs w:val="22"/>
          <w:lang w:val="es-ES_tradnl" w:eastAsia="en-US"/>
        </w:rPr>
        <w:t>PALABRAS CLAVE: Modificación - Artículo 6 – Reglamento   - Modificaciones – Presupuestarias</w:t>
      </w:r>
    </w:p>
    <w:tbl>
      <w:tblPr>
        <w:tblpPr w:leftFromText="142" w:rightFromText="142" w:vertAnchor="text" w:horzAnchor="margin" w:tblpY="1"/>
        <w:tblOverlap w:val="never"/>
        <w:tblW w:w="22547" w:type="dxa"/>
        <w:tblLook w:val="04A0" w:firstRow="1" w:lastRow="0" w:firstColumn="1" w:lastColumn="0" w:noHBand="0" w:noVBand="1"/>
      </w:tblPr>
      <w:tblGrid>
        <w:gridCol w:w="22763"/>
        <w:gridCol w:w="222"/>
        <w:gridCol w:w="222"/>
        <w:gridCol w:w="222"/>
        <w:gridCol w:w="49"/>
        <w:gridCol w:w="174"/>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803BB3" w:rsidRDefault="00474B22" w:rsidP="00B63D1C">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bl>
            <w:tblPr>
              <w:tblpPr w:leftFromText="142" w:rightFromText="142" w:vertAnchor="text" w:horzAnchor="margin" w:tblpY="1"/>
              <w:tblOverlap w:val="never"/>
              <w:tblW w:w="22547" w:type="dxa"/>
              <w:tblLook w:val="04A0" w:firstRow="1" w:lastRow="0" w:firstColumn="1" w:lastColumn="0" w:noHBand="0" w:noVBand="1"/>
            </w:tblPr>
            <w:tblGrid>
              <w:gridCol w:w="22547"/>
            </w:tblGrid>
            <w:tr w:rsidR="00B63D1C" w:rsidRPr="00474B22" w:rsidTr="00A363CA">
              <w:trPr>
                <w:trHeight w:val="183"/>
              </w:trPr>
              <w:tc>
                <w:tcPr>
                  <w:tcW w:w="4361" w:type="dxa"/>
                </w:tcPr>
                <w:p w:rsidR="00B63D1C" w:rsidRPr="00474B22" w:rsidRDefault="00B63D1C" w:rsidP="00B63D1C">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r>
                    <w:rPr>
                      <w:rFonts w:ascii="Arial" w:eastAsia="Cambria" w:hAnsi="Arial" w:cs="Arial"/>
                      <w:b/>
                      <w:sz w:val="16"/>
                      <w:szCs w:val="16"/>
                      <w:lang w:val="es-ES_tradnl" w:eastAsia="en-US"/>
                    </w:rPr>
                    <w:t>(PUBLICAR)</w:t>
                  </w:r>
                </w:p>
                <w:p w:rsidR="00B63D1C" w:rsidRPr="00474B22" w:rsidRDefault="00B63D1C" w:rsidP="00B63D1C">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B63D1C" w:rsidRPr="00474B22" w:rsidRDefault="00B63D1C" w:rsidP="00B63D1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B63D1C" w:rsidRPr="00474B22" w:rsidRDefault="00B63D1C" w:rsidP="00B63D1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B63D1C" w:rsidRDefault="00B63D1C" w:rsidP="00B63D1C">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B63D1C" w:rsidRPr="00474B22" w:rsidRDefault="00B63D1C" w:rsidP="00B63D1C">
                  <w:pPr>
                    <w:rPr>
                      <w:rFonts w:ascii="Arial" w:eastAsia="Cambria" w:hAnsi="Arial" w:cs="Arial"/>
                      <w:b/>
                      <w:sz w:val="16"/>
                      <w:szCs w:val="16"/>
                      <w:lang w:val="es-CR" w:eastAsia="en-US"/>
                    </w:rPr>
                  </w:pPr>
                </w:p>
              </w:tc>
            </w:tr>
          </w:tbl>
          <w:p w:rsidR="006D0052" w:rsidRPr="00474B22" w:rsidRDefault="006D0052" w:rsidP="00B63D1C">
            <w:pPr>
              <w:jc w:val="both"/>
              <w:rPr>
                <w:rFonts w:ascii="Arial" w:eastAsia="Cambria" w:hAnsi="Arial" w:cs="Arial"/>
                <w:b/>
                <w:sz w:val="16"/>
                <w:szCs w:val="16"/>
                <w:lang w:val="es-ES_tradnl" w:eastAsia="en-US"/>
              </w:rPr>
            </w:pPr>
          </w:p>
        </w:tc>
        <w:tc>
          <w:tcPr>
            <w:tcW w:w="4361" w:type="dxa"/>
          </w:tcPr>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F3" w:rsidRDefault="00AA7CF3">
      <w:r>
        <w:separator/>
      </w:r>
    </w:p>
  </w:endnote>
  <w:endnote w:type="continuationSeparator" w:id="0">
    <w:p w:rsidR="00AA7CF3" w:rsidRDefault="00A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F3" w:rsidRDefault="00AA7CF3">
      <w:r>
        <w:separator/>
      </w:r>
    </w:p>
  </w:footnote>
  <w:footnote w:type="continuationSeparator" w:id="0">
    <w:p w:rsidR="00AA7CF3" w:rsidRDefault="00AA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6C4FFB">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6C4FFB">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C4FFB">
      <w:rPr>
        <w:rFonts w:ascii="Arial" w:eastAsia="Cambria" w:hAnsi="Arial" w:cs="Arial"/>
        <w:i/>
        <w:sz w:val="18"/>
        <w:szCs w:val="18"/>
        <w:lang w:val="es-ES_tradnl" w:eastAsia="x-none"/>
      </w:rPr>
      <w:t>05</w:t>
    </w:r>
    <w:r w:rsidR="006442DF">
      <w:rPr>
        <w:rFonts w:ascii="Arial" w:eastAsia="Cambria" w:hAnsi="Arial" w:cs="Arial"/>
        <w:i/>
        <w:sz w:val="18"/>
        <w:szCs w:val="18"/>
        <w:lang w:val="es-ES_tradnl" w:eastAsia="x-none"/>
      </w:rPr>
      <w:t xml:space="preserve"> de </w:t>
    </w:r>
    <w:r w:rsidR="006C4FFB">
      <w:rPr>
        <w:rFonts w:ascii="Arial" w:eastAsia="Cambria" w:hAnsi="Arial" w:cs="Arial"/>
        <w:i/>
        <w:sz w:val="18"/>
        <w:szCs w:val="18"/>
        <w:lang w:val="es-ES_tradnl" w:eastAsia="x-none"/>
      </w:rPr>
      <w:t>abril</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5DCD">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2"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num>
  <w:num w:numId="6">
    <w:abstractNumId w:val="8"/>
  </w:num>
  <w:num w:numId="7">
    <w:abstractNumId w:val="3"/>
  </w:num>
  <w:num w:numId="8">
    <w:abstractNumId w:val="34"/>
  </w:num>
  <w:num w:numId="9">
    <w:abstractNumId w:val="33"/>
  </w:num>
  <w:num w:numId="10">
    <w:abstractNumId w:val="22"/>
  </w:num>
  <w:num w:numId="11">
    <w:abstractNumId w:val="29"/>
  </w:num>
  <w:num w:numId="12">
    <w:abstractNumId w:val="9"/>
  </w:num>
  <w:num w:numId="13">
    <w:abstractNumId w:val="25"/>
  </w:num>
  <w:num w:numId="14">
    <w:abstractNumId w:val="24"/>
  </w:num>
  <w:num w:numId="15">
    <w:abstractNumId w:val="27"/>
  </w:num>
  <w:num w:numId="16">
    <w:abstractNumId w:val="28"/>
  </w:num>
  <w:num w:numId="17">
    <w:abstractNumId w:val="5"/>
  </w:num>
  <w:num w:numId="18">
    <w:abstractNumId w:val="13"/>
  </w:num>
  <w:num w:numId="19">
    <w:abstractNumId w:val="17"/>
  </w:num>
  <w:num w:numId="20">
    <w:abstractNumId w:val="16"/>
  </w:num>
  <w:num w:numId="21">
    <w:abstractNumId w:val="15"/>
  </w:num>
  <w:num w:numId="22">
    <w:abstractNumId w:val="26"/>
  </w:num>
  <w:num w:numId="23">
    <w:abstractNumId w:val="14"/>
  </w:num>
  <w:num w:numId="24">
    <w:abstractNumId w:val="37"/>
  </w:num>
  <w:num w:numId="25">
    <w:abstractNumId w:val="11"/>
  </w:num>
  <w:num w:numId="26">
    <w:abstractNumId w:val="30"/>
  </w:num>
  <w:num w:numId="27">
    <w:abstractNumId w:val="6"/>
  </w:num>
  <w:num w:numId="28">
    <w:abstractNumId w:val="35"/>
  </w:num>
  <w:num w:numId="29">
    <w:abstractNumId w:val="7"/>
  </w:num>
  <w:num w:numId="30">
    <w:abstractNumId w:val="20"/>
  </w:num>
  <w:num w:numId="31">
    <w:abstractNumId w:val="23"/>
  </w:num>
  <w:num w:numId="32">
    <w:abstractNumId w:val="4"/>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12"/>
  </w:num>
  <w:num w:numId="3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7D3B"/>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F86B-6333-4313-B29D-E8C7C5C1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58</cp:revision>
  <cp:lastPrinted>2017-04-05T21:08:00Z</cp:lastPrinted>
  <dcterms:created xsi:type="dcterms:W3CDTF">2016-10-05T20:00:00Z</dcterms:created>
  <dcterms:modified xsi:type="dcterms:W3CDTF">2017-04-06T14:24:00Z</dcterms:modified>
</cp:coreProperties>
</file>