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bookmarkStart w:id="0" w:name="_GoBack"/>
      <w:bookmarkEnd w:id="0"/>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8679C">
        <w:rPr>
          <w:rFonts w:ascii="Arial" w:hAnsi="Arial" w:cs="Arial"/>
          <w:b/>
          <w:bCs/>
          <w:iCs/>
          <w:sz w:val="26"/>
          <w:szCs w:val="22"/>
          <w:lang w:val="es-CR"/>
        </w:rPr>
        <w:t>190-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28679C" w:rsidRDefault="0028679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Tatiana Fernández, Directora Oficina Planificación Institucional</w:t>
            </w:r>
          </w:p>
          <w:p w:rsidR="0028679C" w:rsidRDefault="0028679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Director Departamento de Recursos Humanos </w:t>
            </w:r>
          </w:p>
          <w:p w:rsidR="005D234B" w:rsidRPr="006B4FBB" w:rsidRDefault="005D234B" w:rsidP="0047360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D86497" w:rsidP="00D8649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5318C" w:rsidRDefault="007742A1" w:rsidP="0028679C">
            <w:pPr>
              <w:ind w:left="-74"/>
              <w:jc w:val="both"/>
              <w:rPr>
                <w:rFonts w:ascii="Arial" w:hAnsi="Arial" w:cs="Arial"/>
                <w:b/>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D86497">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28679C">
              <w:rPr>
                <w:rFonts w:ascii="Arial" w:eastAsia="Calibri" w:hAnsi="Arial" w:cs="Arial"/>
                <w:b/>
                <w:sz w:val="22"/>
                <w:szCs w:val="22"/>
              </w:rPr>
              <w:t>1</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D86497">
              <w:rPr>
                <w:rFonts w:ascii="Arial" w:eastAsia="Calibri" w:hAnsi="Arial" w:cs="Arial"/>
                <w:b/>
                <w:sz w:val="22"/>
                <w:szCs w:val="22"/>
              </w:rPr>
              <w:t>05</w:t>
            </w:r>
            <w:r w:rsidRPr="00D958BC">
              <w:rPr>
                <w:rFonts w:ascii="Arial" w:eastAsia="Calibri" w:hAnsi="Arial" w:cs="Arial"/>
                <w:b/>
                <w:sz w:val="22"/>
                <w:szCs w:val="22"/>
              </w:rPr>
              <w:t xml:space="preserve"> de </w:t>
            </w:r>
            <w:r w:rsidR="00D86497">
              <w:rPr>
                <w:rFonts w:ascii="Arial" w:eastAsia="Calibri" w:hAnsi="Arial" w:cs="Arial"/>
                <w:b/>
                <w:sz w:val="22"/>
                <w:szCs w:val="22"/>
              </w:rPr>
              <w:t>abril</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28679C" w:rsidRPr="0028679C">
              <w:rPr>
                <w:rFonts w:ascii="Arial" w:hAnsi="Arial" w:cs="Arial"/>
                <w:b/>
                <w:sz w:val="22"/>
                <w:szCs w:val="22"/>
                <w:lang w:val="es-CR"/>
              </w:rPr>
              <w:t>Modificación de las características de la plaza CF-2713, Profesional en Ingeniería o Arquitectura, Categoría 23, a Profesional en Administración, de la Oficina de Planificación Institucional</w:t>
            </w:r>
          </w:p>
          <w:p w:rsidR="0028679C" w:rsidRPr="0047360D" w:rsidRDefault="0028679C" w:rsidP="0028679C">
            <w:pPr>
              <w:ind w:left="-74"/>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BB3" w:rsidRDefault="00803BB3" w:rsidP="00803BB3">
      <w:pPr>
        <w:ind w:right="-91"/>
        <w:jc w:val="both"/>
        <w:rPr>
          <w:rFonts w:ascii="Arial" w:hAnsi="Arial" w:cs="Arial"/>
        </w:rPr>
      </w:pPr>
    </w:p>
    <w:p w:rsidR="0028679C" w:rsidRPr="0028679C" w:rsidRDefault="0028679C" w:rsidP="0028679C">
      <w:pPr>
        <w:contextualSpacing/>
        <w:jc w:val="both"/>
        <w:outlineLvl w:val="0"/>
        <w:rPr>
          <w:rFonts w:ascii="Arial" w:hAnsi="Arial" w:cs="Arial"/>
          <w:b/>
          <w:lang w:val="es-CR"/>
        </w:rPr>
      </w:pPr>
      <w:bookmarkStart w:id="1" w:name="_Toc272225920"/>
      <w:bookmarkStart w:id="2" w:name="_Toc272238511"/>
      <w:bookmarkStart w:id="3" w:name="_Toc274319984"/>
      <w:r w:rsidRPr="0028679C">
        <w:rPr>
          <w:rFonts w:ascii="Arial" w:hAnsi="Arial" w:cs="Arial"/>
          <w:b/>
          <w:lang w:val="es-CR"/>
        </w:rPr>
        <w:t>RESULTANDO QUE:</w:t>
      </w:r>
    </w:p>
    <w:p w:rsidR="0028679C" w:rsidRPr="0028679C" w:rsidRDefault="0028679C" w:rsidP="0028679C">
      <w:pPr>
        <w:jc w:val="both"/>
        <w:rPr>
          <w:rFonts w:ascii="Arial" w:hAnsi="Arial" w:cs="Arial"/>
          <w:lang w:val="es-CR"/>
        </w:rPr>
      </w:pPr>
    </w:p>
    <w:p w:rsidR="0028679C" w:rsidRPr="0028679C" w:rsidRDefault="0028679C" w:rsidP="0028679C">
      <w:pPr>
        <w:numPr>
          <w:ilvl w:val="0"/>
          <w:numId w:val="30"/>
        </w:numPr>
        <w:tabs>
          <w:tab w:val="left" w:pos="426"/>
        </w:tabs>
        <w:ind w:left="426" w:hanging="426"/>
        <w:contextualSpacing/>
        <w:jc w:val="both"/>
        <w:rPr>
          <w:rFonts w:ascii="Arial" w:hAnsi="Arial" w:cs="Arial"/>
          <w:lang w:eastAsia="es-CR"/>
        </w:rPr>
      </w:pPr>
      <w:r w:rsidRPr="0028679C">
        <w:rPr>
          <w:rFonts w:ascii="Arial" w:hAnsi="Arial" w:cs="Arial"/>
          <w:lang w:eastAsia="es-CR"/>
        </w:rPr>
        <w:t>El Artículo 21, del Reglamento del Consejo Institucional, reza:</w:t>
      </w:r>
    </w:p>
    <w:p w:rsidR="0028679C" w:rsidRPr="0028679C" w:rsidRDefault="0028679C" w:rsidP="0028679C">
      <w:pPr>
        <w:tabs>
          <w:tab w:val="left" w:pos="426"/>
        </w:tabs>
        <w:contextualSpacing/>
        <w:jc w:val="both"/>
        <w:rPr>
          <w:rFonts w:ascii="Arial" w:hAnsi="Arial" w:cs="Arial"/>
          <w:lang w:eastAsia="es-CR"/>
        </w:rPr>
      </w:pPr>
    </w:p>
    <w:p w:rsidR="0028679C" w:rsidRPr="0028679C" w:rsidRDefault="0028679C" w:rsidP="0028679C">
      <w:pPr>
        <w:jc w:val="both"/>
        <w:rPr>
          <w:rFonts w:ascii="Arial" w:eastAsia="Calibri" w:hAnsi="Arial" w:cs="Arial"/>
          <w:b/>
          <w:sz w:val="20"/>
          <w:szCs w:val="20"/>
          <w:lang w:val="es-CR"/>
        </w:rPr>
      </w:pPr>
    </w:p>
    <w:p w:rsidR="0028679C" w:rsidRPr="0028679C" w:rsidRDefault="0028679C" w:rsidP="0028679C">
      <w:pPr>
        <w:ind w:left="720" w:right="417"/>
        <w:jc w:val="both"/>
        <w:rPr>
          <w:rFonts w:ascii="Arial" w:hAnsi="Arial" w:cs="Arial"/>
          <w:i/>
          <w:sz w:val="22"/>
          <w:szCs w:val="22"/>
          <w:lang w:val="es-CR" w:eastAsia="es-CR"/>
        </w:rPr>
      </w:pPr>
      <w:r w:rsidRPr="0028679C">
        <w:rPr>
          <w:rFonts w:ascii="Arial" w:hAnsi="Arial" w:cs="Arial"/>
          <w:i/>
          <w:sz w:val="22"/>
          <w:szCs w:val="22"/>
          <w:lang w:val="es-CR" w:eastAsia="es-CR"/>
        </w:rPr>
        <w:t xml:space="preserve">“Son asuntos propios del análisis y dictamen de la Comisión de Planificación y Administración según su competencia los siguientes: </w:t>
      </w:r>
    </w:p>
    <w:p w:rsidR="0028679C" w:rsidRPr="0028679C" w:rsidRDefault="0028679C" w:rsidP="0028679C">
      <w:pPr>
        <w:ind w:left="720" w:right="417"/>
        <w:jc w:val="both"/>
        <w:rPr>
          <w:rFonts w:ascii="Arial" w:hAnsi="Arial" w:cs="Arial"/>
          <w:i/>
          <w:sz w:val="22"/>
          <w:szCs w:val="22"/>
          <w:lang w:val="es-CR" w:eastAsia="es-CR"/>
        </w:rPr>
      </w:pPr>
      <w:r w:rsidRPr="0028679C">
        <w:rPr>
          <w:rFonts w:ascii="Arial" w:hAnsi="Arial" w:cs="Arial"/>
          <w:i/>
          <w:sz w:val="22"/>
          <w:szCs w:val="22"/>
          <w:lang w:val="es-CR" w:eastAsia="es-CR"/>
        </w:rPr>
        <w:t xml:space="preserve">… </w:t>
      </w:r>
    </w:p>
    <w:p w:rsidR="0028679C" w:rsidRPr="0028679C" w:rsidRDefault="0028679C" w:rsidP="0028679C">
      <w:pPr>
        <w:ind w:left="1022" w:right="417" w:hanging="302"/>
        <w:jc w:val="both"/>
        <w:rPr>
          <w:rFonts w:ascii="Arial" w:hAnsi="Arial" w:cs="Arial"/>
          <w:i/>
          <w:sz w:val="22"/>
          <w:szCs w:val="22"/>
          <w:lang w:val="es-CR" w:eastAsia="es-CR"/>
        </w:rPr>
      </w:pPr>
      <w:r w:rsidRPr="0028679C">
        <w:rPr>
          <w:rFonts w:ascii="Arial" w:hAnsi="Arial" w:cs="Arial"/>
          <w:i/>
          <w:sz w:val="22"/>
          <w:szCs w:val="22"/>
          <w:lang w:val="es-CR" w:eastAsia="es-CR"/>
        </w:rPr>
        <w:t>c. La creación, modificación y eliminación de plazas.”…</w:t>
      </w:r>
    </w:p>
    <w:p w:rsidR="0028679C" w:rsidRPr="0028679C" w:rsidRDefault="0028679C" w:rsidP="0028679C">
      <w:pPr>
        <w:jc w:val="both"/>
        <w:rPr>
          <w:rFonts w:ascii="Arial" w:eastAsia="Calibri" w:hAnsi="Arial" w:cs="Arial"/>
          <w:b/>
          <w:sz w:val="20"/>
          <w:szCs w:val="20"/>
          <w:lang w:val="es-CR"/>
        </w:rPr>
      </w:pPr>
    </w:p>
    <w:p w:rsidR="0028679C" w:rsidRPr="0028679C" w:rsidRDefault="0028679C" w:rsidP="0028679C">
      <w:pPr>
        <w:numPr>
          <w:ilvl w:val="0"/>
          <w:numId w:val="30"/>
        </w:numPr>
        <w:tabs>
          <w:tab w:val="left" w:pos="426"/>
        </w:tabs>
        <w:ind w:left="426" w:hanging="426"/>
        <w:contextualSpacing/>
        <w:jc w:val="both"/>
        <w:rPr>
          <w:rFonts w:ascii="Arial" w:hAnsi="Arial" w:cs="Arial"/>
          <w:lang w:val="es-CR"/>
        </w:rPr>
      </w:pPr>
      <w:r w:rsidRPr="0028679C">
        <w:rPr>
          <w:rFonts w:ascii="Arial" w:hAnsi="Arial" w:cs="Arial"/>
          <w:lang w:val="es-CR"/>
        </w:rPr>
        <w:t>El Consejo Institucional en Sesión Ordinaria No. 2785 Artículo 1 del 28 de setiembre de 2012  aprobó la “Creación de Plazas 2013, Fondos FEES”  entre las cuales está la plaza CF-2713, con las siguientes características:</w:t>
      </w:r>
    </w:p>
    <w:p w:rsidR="0028679C" w:rsidRPr="0028679C" w:rsidRDefault="0028679C" w:rsidP="0028679C">
      <w:pPr>
        <w:jc w:val="both"/>
        <w:rPr>
          <w:rFonts w:ascii="Arial" w:hAnsi="Arial" w:cs="Arial"/>
          <w:lang w:val="es-CR"/>
        </w:rPr>
      </w:pPr>
    </w:p>
    <w:tbl>
      <w:tblPr>
        <w:tblW w:w="9634" w:type="dxa"/>
        <w:tblLayout w:type="fixed"/>
        <w:tblCellMar>
          <w:left w:w="70" w:type="dxa"/>
          <w:right w:w="70" w:type="dxa"/>
        </w:tblCellMar>
        <w:tblLook w:val="04A0" w:firstRow="1" w:lastRow="0" w:firstColumn="1" w:lastColumn="0" w:noHBand="0" w:noVBand="1"/>
      </w:tblPr>
      <w:tblGrid>
        <w:gridCol w:w="338"/>
        <w:gridCol w:w="379"/>
        <w:gridCol w:w="838"/>
        <w:gridCol w:w="1424"/>
        <w:gridCol w:w="844"/>
        <w:gridCol w:w="992"/>
        <w:gridCol w:w="1276"/>
        <w:gridCol w:w="708"/>
        <w:gridCol w:w="709"/>
        <w:gridCol w:w="567"/>
        <w:gridCol w:w="567"/>
        <w:gridCol w:w="992"/>
      </w:tblGrid>
      <w:tr w:rsidR="0028679C" w:rsidRPr="0028679C" w:rsidTr="0028679C">
        <w:trPr>
          <w:trHeight w:val="1013"/>
          <w:tblHeader/>
        </w:trPr>
        <w:tc>
          <w:tcPr>
            <w:tcW w:w="33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w:t>
            </w:r>
          </w:p>
        </w:tc>
        <w:tc>
          <w:tcPr>
            <w:tcW w:w="379"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Programa</w:t>
            </w:r>
          </w:p>
        </w:tc>
        <w:tc>
          <w:tcPr>
            <w:tcW w:w="838"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 xml:space="preserve">Núm. de </w:t>
            </w:r>
            <w:r w:rsidRPr="0028679C">
              <w:rPr>
                <w:rFonts w:ascii="Arial" w:hAnsi="Arial" w:cs="Arial"/>
                <w:b/>
                <w:bCs/>
                <w:color w:val="000000"/>
                <w:sz w:val="16"/>
                <w:szCs w:val="16"/>
                <w:lang w:val="es-CR"/>
              </w:rPr>
              <w:br/>
              <w:t>Plaza</w:t>
            </w:r>
          </w:p>
        </w:tc>
        <w:tc>
          <w:tcPr>
            <w:tcW w:w="1424"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Puesto</w:t>
            </w:r>
          </w:p>
        </w:tc>
        <w:tc>
          <w:tcPr>
            <w:tcW w:w="844"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Adscrita a:</w:t>
            </w:r>
          </w:p>
        </w:tc>
        <w:tc>
          <w:tcPr>
            <w:tcW w:w="992"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Condición</w:t>
            </w:r>
          </w:p>
        </w:tc>
        <w:tc>
          <w:tcPr>
            <w:tcW w:w="1276"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Renovación</w:t>
            </w:r>
          </w:p>
        </w:tc>
        <w:tc>
          <w:tcPr>
            <w:tcW w:w="708"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Categoría</w:t>
            </w:r>
            <w:r w:rsidRPr="0028679C">
              <w:rPr>
                <w:rFonts w:ascii="Arial" w:hAnsi="Arial" w:cs="Arial"/>
                <w:b/>
                <w:bCs/>
                <w:color w:val="000000"/>
                <w:sz w:val="16"/>
                <w:szCs w:val="16"/>
                <w:lang w:val="es-CR"/>
              </w:rPr>
              <w:br/>
              <w:t>Aprobada</w:t>
            </w:r>
          </w:p>
        </w:tc>
        <w:tc>
          <w:tcPr>
            <w:tcW w:w="709"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 Jornada</w:t>
            </w:r>
            <w:r w:rsidRPr="0028679C">
              <w:rPr>
                <w:rFonts w:ascii="Arial" w:hAnsi="Arial" w:cs="Arial"/>
                <w:b/>
                <w:bCs/>
                <w:color w:val="000000"/>
                <w:sz w:val="16"/>
                <w:szCs w:val="16"/>
                <w:lang w:val="es-CR"/>
              </w:rPr>
              <w:br/>
              <w:t>Aprobada</w:t>
            </w:r>
          </w:p>
        </w:tc>
        <w:tc>
          <w:tcPr>
            <w:tcW w:w="567"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TCE</w:t>
            </w:r>
            <w:r w:rsidRPr="0028679C">
              <w:rPr>
                <w:rFonts w:ascii="Arial" w:hAnsi="Arial" w:cs="Arial"/>
                <w:b/>
                <w:bCs/>
                <w:color w:val="000000"/>
                <w:sz w:val="16"/>
                <w:szCs w:val="16"/>
                <w:lang w:val="es-CR"/>
              </w:rPr>
              <w:br/>
              <w:t>Aprobado</w:t>
            </w:r>
          </w:p>
        </w:tc>
        <w:tc>
          <w:tcPr>
            <w:tcW w:w="567"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 xml:space="preserve">Período </w:t>
            </w:r>
            <w:r w:rsidRPr="0028679C">
              <w:rPr>
                <w:rFonts w:ascii="Arial" w:hAnsi="Arial" w:cs="Arial"/>
                <w:b/>
                <w:bCs/>
                <w:color w:val="000000"/>
                <w:sz w:val="16"/>
                <w:szCs w:val="16"/>
                <w:lang w:val="es-CR"/>
              </w:rPr>
              <w:br/>
              <w:t>Aprobado</w:t>
            </w:r>
          </w:p>
        </w:tc>
        <w:tc>
          <w:tcPr>
            <w:tcW w:w="992"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proofErr w:type="spellStart"/>
            <w:r w:rsidRPr="0028679C">
              <w:rPr>
                <w:rFonts w:ascii="Arial" w:hAnsi="Arial" w:cs="Arial"/>
                <w:b/>
                <w:bCs/>
                <w:color w:val="000000"/>
                <w:sz w:val="16"/>
                <w:szCs w:val="16"/>
                <w:lang w:val="es-CR"/>
              </w:rPr>
              <w:t>Recodif</w:t>
            </w:r>
            <w:proofErr w:type="spellEnd"/>
            <w:r w:rsidRPr="0028679C">
              <w:rPr>
                <w:rFonts w:ascii="Arial" w:hAnsi="Arial" w:cs="Arial"/>
                <w:b/>
                <w:bCs/>
                <w:color w:val="000000"/>
                <w:sz w:val="16"/>
                <w:szCs w:val="16"/>
                <w:lang w:val="es-CR"/>
              </w:rPr>
              <w:t>.</w:t>
            </w:r>
            <w:r w:rsidRPr="0028679C">
              <w:rPr>
                <w:rFonts w:ascii="Arial" w:hAnsi="Arial" w:cs="Arial"/>
                <w:b/>
                <w:bCs/>
                <w:color w:val="000000"/>
                <w:sz w:val="16"/>
                <w:szCs w:val="16"/>
                <w:lang w:val="es-CR"/>
              </w:rPr>
              <w:br/>
            </w:r>
            <w:proofErr w:type="spellStart"/>
            <w:r w:rsidRPr="0028679C">
              <w:rPr>
                <w:rFonts w:ascii="Arial" w:hAnsi="Arial" w:cs="Arial"/>
                <w:b/>
                <w:bCs/>
                <w:color w:val="000000"/>
                <w:sz w:val="16"/>
                <w:szCs w:val="16"/>
                <w:lang w:val="es-CR"/>
              </w:rPr>
              <w:t>Num</w:t>
            </w:r>
            <w:proofErr w:type="spellEnd"/>
            <w:r w:rsidRPr="0028679C">
              <w:rPr>
                <w:rFonts w:ascii="Arial" w:hAnsi="Arial" w:cs="Arial"/>
                <w:b/>
                <w:bCs/>
                <w:color w:val="000000"/>
                <w:sz w:val="16"/>
                <w:szCs w:val="16"/>
                <w:lang w:val="es-CR"/>
              </w:rPr>
              <w:t>. Plaza</w:t>
            </w:r>
          </w:p>
        </w:tc>
      </w:tr>
      <w:tr w:rsidR="0028679C" w:rsidRPr="0028679C" w:rsidTr="00A363CA">
        <w:trPr>
          <w:trHeight w:val="576"/>
        </w:trPr>
        <w:tc>
          <w:tcPr>
            <w:tcW w:w="338" w:type="dxa"/>
            <w:tcBorders>
              <w:top w:val="nil"/>
              <w:left w:val="single" w:sz="4" w:space="0" w:color="auto"/>
              <w:bottom w:val="single" w:sz="4" w:space="0" w:color="auto"/>
              <w:right w:val="single" w:sz="4" w:space="0" w:color="auto"/>
            </w:tcBorders>
            <w:shd w:val="clear" w:color="000000" w:fill="FFFFFF"/>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1</w:t>
            </w:r>
          </w:p>
        </w:tc>
        <w:tc>
          <w:tcPr>
            <w:tcW w:w="379"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1</w:t>
            </w:r>
          </w:p>
        </w:tc>
        <w:tc>
          <w:tcPr>
            <w:tcW w:w="838"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CF2713</w:t>
            </w:r>
          </w:p>
        </w:tc>
        <w:tc>
          <w:tcPr>
            <w:tcW w:w="1424"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rPr>
                <w:rFonts w:ascii="Arial" w:hAnsi="Arial" w:cs="Arial"/>
                <w:sz w:val="16"/>
                <w:szCs w:val="16"/>
                <w:lang w:val="es-CR"/>
              </w:rPr>
            </w:pPr>
            <w:r w:rsidRPr="0028679C">
              <w:rPr>
                <w:rFonts w:ascii="Arial" w:hAnsi="Arial" w:cs="Arial"/>
                <w:sz w:val="16"/>
                <w:szCs w:val="16"/>
                <w:lang w:val="es-CR"/>
              </w:rPr>
              <w:t xml:space="preserve">Profesional en Administración </w:t>
            </w:r>
            <w:r w:rsidRPr="0028679C">
              <w:rPr>
                <w:rFonts w:ascii="Arial" w:hAnsi="Arial" w:cs="Arial"/>
                <w:sz w:val="16"/>
                <w:szCs w:val="16"/>
                <w:lang w:val="es-CR"/>
              </w:rPr>
              <w:br/>
              <w:t>(Sistema de Gestión)</w:t>
            </w:r>
          </w:p>
        </w:tc>
        <w:tc>
          <w:tcPr>
            <w:tcW w:w="844"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rPr>
                <w:rFonts w:ascii="Arial" w:hAnsi="Arial" w:cs="Arial"/>
                <w:color w:val="000000"/>
                <w:sz w:val="16"/>
                <w:szCs w:val="16"/>
                <w:lang w:val="es-CR"/>
              </w:rPr>
            </w:pPr>
            <w:r w:rsidRPr="0028679C">
              <w:rPr>
                <w:rFonts w:ascii="Arial" w:hAnsi="Arial" w:cs="Arial"/>
                <w:color w:val="000000"/>
                <w:sz w:val="16"/>
                <w:szCs w:val="16"/>
                <w:lang w:val="es-CR"/>
              </w:rPr>
              <w:t>Rectoría</w:t>
            </w:r>
          </w:p>
        </w:tc>
        <w:tc>
          <w:tcPr>
            <w:tcW w:w="992"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rPr>
                <w:rFonts w:ascii="Calibri" w:hAnsi="Calibri" w:cs="Calibri"/>
                <w:color w:val="000000"/>
                <w:sz w:val="16"/>
                <w:szCs w:val="16"/>
                <w:lang w:val="es-CR"/>
              </w:rPr>
            </w:pPr>
            <w:r w:rsidRPr="0028679C">
              <w:rPr>
                <w:rFonts w:ascii="Calibri" w:hAnsi="Calibri" w:cs="Calibri"/>
                <w:color w:val="000000"/>
                <w:sz w:val="16"/>
                <w:szCs w:val="16"/>
                <w:lang w:val="es-CR"/>
              </w:rPr>
              <w:t xml:space="preserve">Aprobada </w:t>
            </w:r>
            <w:r w:rsidRPr="0028679C">
              <w:rPr>
                <w:rFonts w:ascii="Calibri" w:hAnsi="Calibri" w:cs="Calibri"/>
                <w:color w:val="000000"/>
                <w:sz w:val="16"/>
                <w:szCs w:val="16"/>
                <w:lang w:val="es-CR"/>
              </w:rPr>
              <w:br/>
            </w:r>
          </w:p>
        </w:tc>
        <w:tc>
          <w:tcPr>
            <w:tcW w:w="1276"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rPr>
                <w:rFonts w:ascii="Calibri" w:hAnsi="Calibri" w:cs="Calibri"/>
                <w:color w:val="000000"/>
                <w:sz w:val="16"/>
                <w:szCs w:val="16"/>
                <w:lang w:val="es-CR"/>
              </w:rPr>
            </w:pPr>
            <w:r w:rsidRPr="0028679C">
              <w:rPr>
                <w:rFonts w:ascii="Calibri" w:hAnsi="Calibri" w:cs="Calibri"/>
                <w:color w:val="000000"/>
                <w:sz w:val="16"/>
                <w:szCs w:val="16"/>
                <w:lang w:val="es-CR"/>
              </w:rPr>
              <w:t>Permanente</w:t>
            </w:r>
          </w:p>
        </w:tc>
        <w:tc>
          <w:tcPr>
            <w:tcW w:w="708"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23</w:t>
            </w:r>
          </w:p>
        </w:tc>
        <w:tc>
          <w:tcPr>
            <w:tcW w:w="709"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100%</w:t>
            </w:r>
          </w:p>
        </w:tc>
        <w:tc>
          <w:tcPr>
            <w:tcW w:w="567"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1,00</w:t>
            </w:r>
          </w:p>
        </w:tc>
        <w:tc>
          <w:tcPr>
            <w:tcW w:w="567"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12</w:t>
            </w:r>
          </w:p>
        </w:tc>
        <w:tc>
          <w:tcPr>
            <w:tcW w:w="992" w:type="dxa"/>
            <w:tcBorders>
              <w:top w:val="nil"/>
              <w:left w:val="nil"/>
              <w:bottom w:val="single" w:sz="4" w:space="0" w:color="auto"/>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CF2713</w:t>
            </w:r>
          </w:p>
        </w:tc>
      </w:tr>
    </w:tbl>
    <w:p w:rsidR="0028679C" w:rsidRPr="0028679C" w:rsidRDefault="0028679C" w:rsidP="0028679C">
      <w:pPr>
        <w:jc w:val="both"/>
        <w:rPr>
          <w:rFonts w:ascii="Arial" w:hAnsi="Arial" w:cs="Arial"/>
          <w:lang w:val="es-CR"/>
        </w:rPr>
      </w:pPr>
    </w:p>
    <w:p w:rsidR="0028679C" w:rsidRPr="0028679C" w:rsidRDefault="0028679C" w:rsidP="0028679C">
      <w:pPr>
        <w:contextualSpacing/>
        <w:jc w:val="both"/>
        <w:outlineLvl w:val="0"/>
        <w:rPr>
          <w:rFonts w:ascii="Arial" w:hAnsi="Arial" w:cs="Arial"/>
          <w:b/>
          <w:lang w:val="es-CR"/>
        </w:rPr>
      </w:pPr>
      <w:r w:rsidRPr="0028679C">
        <w:rPr>
          <w:rFonts w:ascii="Arial" w:hAnsi="Arial" w:cs="Arial"/>
          <w:b/>
          <w:lang w:val="es-CR"/>
        </w:rPr>
        <w:t>CONSIDERANDO QUE:</w:t>
      </w:r>
    </w:p>
    <w:p w:rsidR="0028679C" w:rsidRPr="0028679C" w:rsidRDefault="0028679C" w:rsidP="0028679C">
      <w:pPr>
        <w:spacing w:line="317" w:lineRule="auto"/>
        <w:rPr>
          <w:rFonts w:ascii="Arial" w:hAnsi="Arial" w:cs="Arial"/>
          <w:sz w:val="20"/>
          <w:szCs w:val="20"/>
          <w:lang w:val="es-CR"/>
        </w:rPr>
      </w:pPr>
    </w:p>
    <w:p w:rsidR="0028679C" w:rsidRPr="0028679C" w:rsidRDefault="0028679C" w:rsidP="0028679C">
      <w:pPr>
        <w:numPr>
          <w:ilvl w:val="0"/>
          <w:numId w:val="32"/>
        </w:numPr>
        <w:tabs>
          <w:tab w:val="left" w:pos="426"/>
        </w:tabs>
        <w:ind w:left="426" w:hanging="426"/>
        <w:contextualSpacing/>
        <w:jc w:val="both"/>
        <w:rPr>
          <w:rFonts w:ascii="Arial" w:hAnsi="Arial" w:cs="Arial"/>
          <w:lang w:eastAsia="es-CR"/>
        </w:rPr>
      </w:pPr>
      <w:r w:rsidRPr="0028679C">
        <w:rPr>
          <w:rFonts w:ascii="Arial" w:hAnsi="Arial" w:cs="Arial"/>
          <w:lang w:eastAsia="es-CR"/>
        </w:rPr>
        <w:t>La Secretaría del Consejo Institucional recibió el oficio OPI-172-2017, con fecha de recibido 30 de marzo de 2016, suscrito por la MAU. Tatiana Fernández, Directora de la Oficina de Planificación Institucional, dirigido al Dr. Bernal Martínez Gutiérrez, Coordinador de la Comisión de Planificación y Administración, solicita la aprobación para la modificación temporal en un 40% de la plaza CF2713, de Profesional en Ingeniería o Arquitectura a Profesional en Administración.</w:t>
      </w:r>
    </w:p>
    <w:p w:rsidR="0028679C" w:rsidRPr="0028679C" w:rsidRDefault="0028679C" w:rsidP="0028679C">
      <w:pPr>
        <w:tabs>
          <w:tab w:val="left" w:pos="426"/>
        </w:tabs>
        <w:contextualSpacing/>
        <w:jc w:val="both"/>
        <w:rPr>
          <w:rFonts w:ascii="Arial" w:hAnsi="Arial" w:cs="Arial"/>
          <w:lang w:eastAsia="es-CR"/>
        </w:rPr>
      </w:pPr>
    </w:p>
    <w:p w:rsidR="0028679C" w:rsidRPr="0028679C" w:rsidRDefault="0028679C" w:rsidP="0028679C">
      <w:pPr>
        <w:tabs>
          <w:tab w:val="left" w:pos="426"/>
        </w:tabs>
        <w:ind w:left="406"/>
        <w:contextualSpacing/>
        <w:jc w:val="both"/>
        <w:rPr>
          <w:rFonts w:ascii="Arial" w:hAnsi="Arial" w:cs="Arial"/>
          <w:lang w:eastAsia="es-CR"/>
        </w:rPr>
      </w:pPr>
      <w:r w:rsidRPr="0028679C">
        <w:rPr>
          <w:rFonts w:ascii="Arial" w:hAnsi="Arial" w:cs="Arial"/>
          <w:lang w:eastAsia="es-CR"/>
        </w:rPr>
        <w:t>Asimismo informa que actualmente la plaza en propiedad pertenece a la Ing. Sofía García Romero, quien está destacada con un 40% en una plaza adscrita al Directorio de la AIR, por lo que se requiere la reconversión temporal, de un 40% como Profesional en Administración para ser utilizado en ampliaciones de jornada, durante el tiempo en que la señorita García esté nombrada en la AIR.  Hace la salvedad que el 60% restante queda como “Profesional en Ingeniería o Arquitectura”.  Entre otras justificaciones para la reconversión de la plaza, se citan las siguientes:</w:t>
      </w:r>
    </w:p>
    <w:p w:rsidR="0028679C" w:rsidRPr="0028679C" w:rsidRDefault="0028679C" w:rsidP="0028679C">
      <w:pPr>
        <w:tabs>
          <w:tab w:val="left" w:pos="426"/>
        </w:tabs>
        <w:contextualSpacing/>
        <w:jc w:val="both"/>
        <w:rPr>
          <w:rFonts w:ascii="Arial" w:hAnsi="Arial" w:cs="Arial"/>
          <w:lang w:eastAsia="es-CR"/>
        </w:rPr>
      </w:pPr>
    </w:p>
    <w:p w:rsidR="0028679C" w:rsidRPr="0028679C" w:rsidRDefault="0028679C" w:rsidP="0028679C">
      <w:pPr>
        <w:numPr>
          <w:ilvl w:val="0"/>
          <w:numId w:val="33"/>
        </w:numPr>
        <w:spacing w:after="120"/>
        <w:ind w:left="992" w:right="284" w:hanging="357"/>
        <w:contextualSpacing/>
        <w:jc w:val="both"/>
        <w:rPr>
          <w:rFonts w:ascii="Arial" w:eastAsia="Cambria" w:hAnsi="Arial" w:cs="Arial"/>
          <w:i/>
          <w:sz w:val="22"/>
          <w:szCs w:val="22"/>
          <w:lang w:val="es-CR"/>
        </w:rPr>
      </w:pPr>
      <w:r w:rsidRPr="0028679C">
        <w:rPr>
          <w:rFonts w:ascii="Arial" w:eastAsia="Cambria" w:hAnsi="Arial" w:cs="Arial"/>
          <w:i/>
          <w:sz w:val="22"/>
          <w:szCs w:val="22"/>
          <w:lang w:val="es-CR"/>
        </w:rPr>
        <w:t>Mediante estudio de puestos EP-03-2013, se recomendó que la plaza CF2713 fuera reconvertida de Profesional en Administración a Profesional en Ingeniería o Arquitectura.</w:t>
      </w:r>
    </w:p>
    <w:p w:rsidR="0028679C" w:rsidRPr="0028679C" w:rsidRDefault="0028679C" w:rsidP="0028679C">
      <w:pPr>
        <w:spacing w:after="120"/>
        <w:ind w:left="635" w:right="284"/>
        <w:contextualSpacing/>
        <w:jc w:val="both"/>
        <w:rPr>
          <w:rFonts w:ascii="Arial" w:eastAsia="Cambria" w:hAnsi="Arial" w:cs="Arial"/>
          <w:i/>
          <w:sz w:val="22"/>
          <w:szCs w:val="22"/>
          <w:lang w:val="es-CR"/>
        </w:rPr>
      </w:pPr>
    </w:p>
    <w:p w:rsidR="0028679C" w:rsidRPr="0028679C" w:rsidRDefault="0028679C" w:rsidP="0028679C">
      <w:pPr>
        <w:numPr>
          <w:ilvl w:val="0"/>
          <w:numId w:val="33"/>
        </w:numPr>
        <w:spacing w:after="120"/>
        <w:ind w:left="992" w:right="284" w:hanging="357"/>
        <w:contextualSpacing/>
        <w:jc w:val="both"/>
        <w:rPr>
          <w:rFonts w:ascii="Arial" w:eastAsia="Cambria" w:hAnsi="Arial" w:cs="Arial"/>
          <w:i/>
          <w:sz w:val="22"/>
          <w:szCs w:val="22"/>
          <w:lang w:val="es-CR"/>
        </w:rPr>
      </w:pPr>
      <w:r w:rsidRPr="0028679C">
        <w:rPr>
          <w:rFonts w:ascii="Arial" w:eastAsia="Cambria" w:hAnsi="Arial" w:cs="Arial"/>
          <w:i/>
          <w:sz w:val="22"/>
          <w:szCs w:val="22"/>
          <w:lang w:val="es-CR"/>
        </w:rPr>
        <w:t>En dicho estudio de puesto, se recomendó solicitar a la Rectoría la respectiva Resolución y su publicación en la Gaceta del cambio propuesto en el punto d.</w:t>
      </w:r>
    </w:p>
    <w:p w:rsidR="0028679C" w:rsidRPr="0028679C" w:rsidRDefault="0028679C" w:rsidP="0028679C">
      <w:pPr>
        <w:spacing w:after="120"/>
        <w:ind w:left="635" w:right="284"/>
        <w:contextualSpacing/>
        <w:jc w:val="both"/>
        <w:rPr>
          <w:rFonts w:ascii="Arial" w:eastAsia="Cambria" w:hAnsi="Arial" w:cs="Arial"/>
          <w:i/>
          <w:sz w:val="22"/>
          <w:szCs w:val="22"/>
          <w:lang w:val="es-CR"/>
        </w:rPr>
      </w:pPr>
    </w:p>
    <w:p w:rsidR="0028679C" w:rsidRPr="0028679C" w:rsidRDefault="0028679C" w:rsidP="0028679C">
      <w:pPr>
        <w:numPr>
          <w:ilvl w:val="0"/>
          <w:numId w:val="33"/>
        </w:numPr>
        <w:spacing w:after="120"/>
        <w:ind w:left="992" w:right="284" w:hanging="357"/>
        <w:contextualSpacing/>
        <w:jc w:val="both"/>
        <w:rPr>
          <w:rFonts w:ascii="Arial" w:eastAsia="Cambria" w:hAnsi="Arial" w:cs="Arial"/>
          <w:i/>
          <w:sz w:val="22"/>
          <w:szCs w:val="22"/>
          <w:lang w:val="es-CR"/>
        </w:rPr>
      </w:pPr>
      <w:r w:rsidRPr="0028679C">
        <w:rPr>
          <w:rFonts w:ascii="Arial" w:eastAsia="Cambria" w:hAnsi="Arial" w:cs="Arial"/>
          <w:i/>
          <w:sz w:val="22"/>
          <w:szCs w:val="22"/>
          <w:lang w:val="es-CR"/>
        </w:rPr>
        <w:t>Según R-1351-2016; señala que en Sesión 03-2016 del Consejo de Rectoría. Art. 3 incisos c) y e) se brinda el aval de traslado de la Ing. García Romero con todo y plaza a la OPI desde la Unidad de Gestión; en estos incisos se señala la plaza CF2713 como “Profesional en Ingeniería”; al igual que en otros documentos oficiales (R-376-2016 y R-1351-2016).</w:t>
      </w:r>
    </w:p>
    <w:p w:rsidR="0028679C" w:rsidRPr="0028679C" w:rsidRDefault="0028679C" w:rsidP="0028679C">
      <w:pPr>
        <w:spacing w:after="120"/>
        <w:ind w:left="635" w:right="284"/>
        <w:contextualSpacing/>
        <w:jc w:val="both"/>
        <w:rPr>
          <w:rFonts w:ascii="Arial" w:eastAsia="Cambria" w:hAnsi="Arial" w:cs="Arial"/>
          <w:i/>
          <w:sz w:val="22"/>
          <w:szCs w:val="22"/>
          <w:lang w:val="es-CR"/>
        </w:rPr>
      </w:pPr>
    </w:p>
    <w:p w:rsidR="0028679C" w:rsidRPr="0028679C" w:rsidRDefault="0028679C" w:rsidP="0028679C">
      <w:pPr>
        <w:numPr>
          <w:ilvl w:val="0"/>
          <w:numId w:val="33"/>
        </w:numPr>
        <w:spacing w:after="120"/>
        <w:ind w:left="992" w:right="284" w:hanging="357"/>
        <w:contextualSpacing/>
        <w:jc w:val="both"/>
        <w:rPr>
          <w:rFonts w:ascii="Arial" w:eastAsia="Cambria" w:hAnsi="Arial" w:cs="Arial"/>
          <w:i/>
          <w:sz w:val="22"/>
          <w:szCs w:val="22"/>
          <w:lang w:val="es-CR"/>
        </w:rPr>
      </w:pPr>
      <w:r w:rsidRPr="0028679C">
        <w:rPr>
          <w:rFonts w:ascii="Arial" w:eastAsia="Cambria" w:hAnsi="Arial" w:cs="Arial"/>
          <w:i/>
          <w:sz w:val="22"/>
          <w:szCs w:val="22"/>
          <w:lang w:val="es-CR"/>
        </w:rPr>
        <w:t>La plaza CF2713, actualmente tiene una ocupación del 60% y no del 100%, en vista que la Ing. García está destacada un 40% en una plaza adscrita al Directorio de la AIR, este último con nombramiento al 30 de junio del 2017.</w:t>
      </w:r>
    </w:p>
    <w:p w:rsidR="0028679C" w:rsidRPr="0028679C" w:rsidRDefault="0028679C" w:rsidP="0028679C">
      <w:pPr>
        <w:spacing w:after="120"/>
        <w:ind w:left="635" w:right="284"/>
        <w:contextualSpacing/>
        <w:jc w:val="both"/>
        <w:rPr>
          <w:rFonts w:ascii="Arial" w:eastAsia="Cambria" w:hAnsi="Arial" w:cs="Arial"/>
          <w:i/>
          <w:sz w:val="22"/>
          <w:szCs w:val="22"/>
          <w:lang w:val="es-CR"/>
        </w:rPr>
      </w:pPr>
    </w:p>
    <w:p w:rsidR="0028679C" w:rsidRPr="0028679C" w:rsidRDefault="0028679C" w:rsidP="0028679C">
      <w:pPr>
        <w:numPr>
          <w:ilvl w:val="0"/>
          <w:numId w:val="33"/>
        </w:numPr>
        <w:spacing w:after="120"/>
        <w:ind w:left="992" w:right="284" w:hanging="357"/>
        <w:contextualSpacing/>
        <w:jc w:val="both"/>
        <w:rPr>
          <w:rFonts w:ascii="Arial" w:eastAsia="Cambria" w:hAnsi="Arial" w:cs="Arial"/>
          <w:i/>
          <w:sz w:val="22"/>
          <w:szCs w:val="22"/>
          <w:lang w:val="es-CR"/>
        </w:rPr>
      </w:pPr>
      <w:r w:rsidRPr="0028679C">
        <w:rPr>
          <w:rFonts w:ascii="Arial" w:eastAsia="Cambria" w:hAnsi="Arial" w:cs="Arial"/>
          <w:i/>
          <w:sz w:val="22"/>
          <w:szCs w:val="22"/>
          <w:lang w:val="es-CR"/>
        </w:rPr>
        <w:t>La Oficina de Planificación Institucional, se encuentra trabajando en varios procesos de carácter estratégicos: Planes Tácticos 2017-2021, Indicadores Estratégicos alineados al Plan Estratégico Institucional, Índice de Gestión Institucional y su Plan de Mejora, desarrollo del Sistema de Valoración del Riesgo SEVRI; entre otros, y que mediante la asignación de una ampliación de jornada a algunas personas con puesto de “Profesional en Administración” a cargo de los mismos, utilizando el 40% de la plaza CF2713 se pueden cumplir en el tiempo establecido dichas labores.</w:t>
      </w:r>
    </w:p>
    <w:p w:rsidR="0028679C" w:rsidRPr="0028679C" w:rsidRDefault="0028679C" w:rsidP="0028679C">
      <w:pPr>
        <w:tabs>
          <w:tab w:val="left" w:pos="426"/>
        </w:tabs>
        <w:ind w:left="426"/>
        <w:contextualSpacing/>
        <w:jc w:val="both"/>
        <w:rPr>
          <w:rFonts w:ascii="Arial" w:hAnsi="Arial" w:cs="Arial"/>
          <w:lang w:eastAsia="es-CR"/>
        </w:rPr>
      </w:pPr>
    </w:p>
    <w:p w:rsidR="0028679C" w:rsidRPr="0028679C" w:rsidRDefault="0028679C" w:rsidP="0028679C">
      <w:pPr>
        <w:numPr>
          <w:ilvl w:val="0"/>
          <w:numId w:val="32"/>
        </w:numPr>
        <w:tabs>
          <w:tab w:val="left" w:pos="426"/>
        </w:tabs>
        <w:ind w:left="426" w:hanging="426"/>
        <w:contextualSpacing/>
        <w:jc w:val="both"/>
        <w:rPr>
          <w:rFonts w:ascii="Arial" w:hAnsi="Arial" w:cs="Arial"/>
          <w:lang w:eastAsia="es-CR"/>
        </w:rPr>
      </w:pPr>
      <w:r w:rsidRPr="0028679C">
        <w:rPr>
          <w:rFonts w:ascii="Arial" w:hAnsi="Arial" w:cs="Arial"/>
          <w:lang w:eastAsia="es-CR"/>
        </w:rPr>
        <w:t>Mediante oficio RH-211-2017, con fecha de recibido 09 de marzo de 2017, suscrito por el MBA. Harold Blanco, Director del Departamento de Recursos Humanos</w:t>
      </w:r>
      <w:proofErr w:type="gramStart"/>
      <w:r w:rsidRPr="0028679C">
        <w:rPr>
          <w:rFonts w:ascii="Arial" w:hAnsi="Arial" w:cs="Arial"/>
          <w:lang w:eastAsia="es-CR"/>
        </w:rPr>
        <w:t>,  dirigido</w:t>
      </w:r>
      <w:proofErr w:type="gramEnd"/>
      <w:r w:rsidRPr="0028679C">
        <w:rPr>
          <w:rFonts w:ascii="Arial" w:hAnsi="Arial" w:cs="Arial"/>
          <w:lang w:eastAsia="es-CR"/>
        </w:rPr>
        <w:t xml:space="preserve"> a la MAU. Tatiana Fernández, Directora de la Oficina de Planificación Institucional, se emite el criterio sobre el impacto presupuestario para el cambio propuesto, e indica que no existe impacto en el Presupuesto Ordinario 2017, ya que ambos puestos tienen la misma categoría salarial.  </w:t>
      </w:r>
    </w:p>
    <w:p w:rsidR="0028679C" w:rsidRPr="0028679C" w:rsidRDefault="0028679C" w:rsidP="0028679C">
      <w:pPr>
        <w:tabs>
          <w:tab w:val="left" w:pos="426"/>
        </w:tabs>
        <w:ind w:left="426"/>
        <w:contextualSpacing/>
        <w:jc w:val="both"/>
        <w:rPr>
          <w:rFonts w:ascii="Arial" w:hAnsi="Arial" w:cs="Arial"/>
          <w:lang w:eastAsia="es-CR"/>
        </w:rPr>
      </w:pPr>
    </w:p>
    <w:p w:rsidR="0028679C" w:rsidRDefault="0028679C" w:rsidP="0028679C">
      <w:pPr>
        <w:numPr>
          <w:ilvl w:val="0"/>
          <w:numId w:val="32"/>
        </w:numPr>
        <w:tabs>
          <w:tab w:val="left" w:pos="426"/>
        </w:tabs>
        <w:ind w:left="426" w:hanging="426"/>
        <w:contextualSpacing/>
        <w:jc w:val="both"/>
        <w:rPr>
          <w:rFonts w:ascii="Arial" w:hAnsi="Arial" w:cs="Arial"/>
          <w:lang w:eastAsia="es-CR"/>
        </w:rPr>
      </w:pPr>
      <w:r w:rsidRPr="0028679C">
        <w:rPr>
          <w:rFonts w:ascii="Arial" w:hAnsi="Arial" w:cs="Arial"/>
          <w:lang w:eastAsia="es-CR"/>
        </w:rPr>
        <w:t>La Comisión de Planificación y Administración en reunión No. 717-2017, realizada el 03 de abril de 2017, analiza los documentos que respalda la solicitud de modificación de la plaza CF2713, y dispone elevar la siguiente propuesta al Consejo Institucional.</w:t>
      </w:r>
    </w:p>
    <w:p w:rsidR="0028679C" w:rsidRDefault="0028679C" w:rsidP="0028679C">
      <w:pPr>
        <w:pStyle w:val="Prrafodelista"/>
        <w:rPr>
          <w:rFonts w:ascii="Arial" w:hAnsi="Arial" w:cs="Arial"/>
          <w:lang w:eastAsia="es-CR"/>
        </w:rPr>
      </w:pPr>
    </w:p>
    <w:p w:rsidR="0028679C" w:rsidRDefault="0028679C" w:rsidP="0028679C">
      <w:pPr>
        <w:tabs>
          <w:tab w:val="left" w:pos="426"/>
        </w:tabs>
        <w:contextualSpacing/>
        <w:jc w:val="both"/>
        <w:rPr>
          <w:rFonts w:ascii="Arial" w:hAnsi="Arial" w:cs="Arial"/>
          <w:lang w:eastAsia="es-CR"/>
        </w:rPr>
      </w:pPr>
    </w:p>
    <w:p w:rsidR="0028679C" w:rsidRDefault="0028679C" w:rsidP="0028679C">
      <w:pPr>
        <w:tabs>
          <w:tab w:val="left" w:pos="426"/>
        </w:tabs>
        <w:contextualSpacing/>
        <w:jc w:val="both"/>
        <w:rPr>
          <w:rFonts w:ascii="Arial" w:hAnsi="Arial" w:cs="Arial"/>
          <w:lang w:eastAsia="es-CR"/>
        </w:rPr>
      </w:pPr>
    </w:p>
    <w:p w:rsidR="0028679C" w:rsidRDefault="0028679C" w:rsidP="0028679C">
      <w:pPr>
        <w:tabs>
          <w:tab w:val="left" w:pos="426"/>
        </w:tabs>
        <w:contextualSpacing/>
        <w:jc w:val="both"/>
        <w:rPr>
          <w:rFonts w:ascii="Arial" w:hAnsi="Arial" w:cs="Arial"/>
          <w:lang w:eastAsia="es-CR"/>
        </w:rPr>
      </w:pPr>
    </w:p>
    <w:p w:rsidR="0028679C" w:rsidRPr="0028679C" w:rsidRDefault="0028679C" w:rsidP="0028679C">
      <w:pPr>
        <w:tabs>
          <w:tab w:val="left" w:pos="426"/>
        </w:tabs>
        <w:contextualSpacing/>
        <w:jc w:val="both"/>
        <w:rPr>
          <w:rFonts w:ascii="Arial" w:hAnsi="Arial" w:cs="Arial"/>
          <w:lang w:eastAsia="es-CR"/>
        </w:rPr>
      </w:pPr>
    </w:p>
    <w:p w:rsidR="0028679C" w:rsidRPr="0028679C" w:rsidRDefault="0028679C" w:rsidP="0028679C">
      <w:pPr>
        <w:jc w:val="both"/>
        <w:rPr>
          <w:rFonts w:ascii="Arial" w:hAnsi="Arial" w:cs="Arial"/>
          <w:i/>
          <w:lang w:val="es-CR"/>
        </w:rPr>
      </w:pPr>
    </w:p>
    <w:p w:rsidR="0028679C" w:rsidRPr="0028679C" w:rsidRDefault="0028679C" w:rsidP="0028679C">
      <w:pPr>
        <w:jc w:val="both"/>
        <w:rPr>
          <w:rFonts w:ascii="Arial" w:hAnsi="Arial" w:cs="Arial"/>
          <w:b/>
          <w:lang w:val="es-CR"/>
        </w:rPr>
      </w:pPr>
      <w:r w:rsidRPr="0028679C">
        <w:rPr>
          <w:rFonts w:ascii="Arial" w:hAnsi="Arial" w:cs="Arial"/>
          <w:b/>
          <w:lang w:val="es-CR"/>
        </w:rPr>
        <w:t>SE</w:t>
      </w:r>
      <w:r>
        <w:rPr>
          <w:rFonts w:ascii="Arial" w:hAnsi="Arial" w:cs="Arial"/>
          <w:b/>
          <w:lang w:val="es-CR"/>
        </w:rPr>
        <w:t xml:space="preserve"> ACUERDA</w:t>
      </w:r>
      <w:r w:rsidRPr="0028679C">
        <w:rPr>
          <w:rFonts w:ascii="Arial" w:hAnsi="Arial" w:cs="Arial"/>
          <w:b/>
          <w:lang w:val="es-CR"/>
        </w:rPr>
        <w:t>:</w:t>
      </w:r>
    </w:p>
    <w:p w:rsidR="0028679C" w:rsidRPr="0028679C" w:rsidRDefault="0028679C" w:rsidP="0028679C">
      <w:pPr>
        <w:jc w:val="both"/>
        <w:rPr>
          <w:rFonts w:ascii="Arial" w:hAnsi="Arial" w:cs="Arial"/>
          <w:b/>
          <w:lang w:val="es-CR"/>
        </w:rPr>
      </w:pPr>
    </w:p>
    <w:p w:rsidR="0028679C" w:rsidRPr="0028679C" w:rsidRDefault="0028679C" w:rsidP="0028679C">
      <w:pPr>
        <w:numPr>
          <w:ilvl w:val="0"/>
          <w:numId w:val="31"/>
        </w:numPr>
        <w:ind w:left="426" w:hanging="426"/>
        <w:contextualSpacing/>
        <w:jc w:val="both"/>
        <w:rPr>
          <w:rFonts w:ascii="Arial" w:hAnsi="Arial" w:cs="Arial"/>
          <w:lang w:val="es-CR"/>
        </w:rPr>
      </w:pPr>
      <w:r w:rsidRPr="0028679C">
        <w:rPr>
          <w:rFonts w:ascii="Arial" w:hAnsi="Arial" w:cs="Arial"/>
          <w:lang w:val="es-CR"/>
        </w:rPr>
        <w:t>Aprobar la modificación temporal de la plaza CF2713, mientras se mantengan las condiciones de la señora Sofía García Romero en el Directorio de la Asamblea Institucional Representativa,  con las siguientes características:</w:t>
      </w:r>
    </w:p>
    <w:p w:rsidR="0028679C" w:rsidRPr="0028679C" w:rsidRDefault="0028679C" w:rsidP="0028679C">
      <w:pPr>
        <w:jc w:val="both"/>
        <w:rPr>
          <w:rFonts w:ascii="Arial" w:hAnsi="Arial" w:cs="Arial"/>
          <w:lang w:val="es-CR"/>
        </w:rPr>
      </w:pPr>
    </w:p>
    <w:tbl>
      <w:tblPr>
        <w:tblW w:w="9356" w:type="dxa"/>
        <w:tblInd w:w="-567" w:type="dxa"/>
        <w:tblLayout w:type="fixed"/>
        <w:tblCellMar>
          <w:left w:w="70" w:type="dxa"/>
          <w:right w:w="70" w:type="dxa"/>
        </w:tblCellMar>
        <w:tblLook w:val="04A0" w:firstRow="1" w:lastRow="0" w:firstColumn="1" w:lastColumn="0" w:noHBand="0" w:noVBand="1"/>
      </w:tblPr>
      <w:tblGrid>
        <w:gridCol w:w="379"/>
        <w:gridCol w:w="838"/>
        <w:gridCol w:w="1193"/>
        <w:gridCol w:w="1075"/>
        <w:gridCol w:w="621"/>
        <w:gridCol w:w="567"/>
        <w:gridCol w:w="567"/>
        <w:gridCol w:w="2273"/>
        <w:gridCol w:w="1843"/>
      </w:tblGrid>
      <w:tr w:rsidR="0028679C" w:rsidRPr="0028679C" w:rsidTr="0028679C">
        <w:trPr>
          <w:trHeight w:val="1013"/>
          <w:tblHeader/>
        </w:trPr>
        <w:tc>
          <w:tcPr>
            <w:tcW w:w="379"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Programa</w:t>
            </w:r>
          </w:p>
        </w:tc>
        <w:tc>
          <w:tcPr>
            <w:tcW w:w="838"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 xml:space="preserve">Núm. de </w:t>
            </w:r>
            <w:r w:rsidRPr="0028679C">
              <w:rPr>
                <w:rFonts w:ascii="Arial" w:hAnsi="Arial" w:cs="Arial"/>
                <w:b/>
                <w:bCs/>
                <w:color w:val="000000"/>
                <w:sz w:val="16"/>
                <w:szCs w:val="16"/>
                <w:lang w:val="es-CR"/>
              </w:rPr>
              <w:br/>
              <w:t>Plaza</w:t>
            </w:r>
          </w:p>
        </w:tc>
        <w:tc>
          <w:tcPr>
            <w:tcW w:w="1193"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Puesto</w:t>
            </w:r>
          </w:p>
        </w:tc>
        <w:tc>
          <w:tcPr>
            <w:tcW w:w="1075"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Adscrita a:</w:t>
            </w:r>
          </w:p>
        </w:tc>
        <w:tc>
          <w:tcPr>
            <w:tcW w:w="621"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Categoría</w:t>
            </w:r>
            <w:r w:rsidRPr="0028679C">
              <w:rPr>
                <w:rFonts w:ascii="Arial" w:hAnsi="Arial" w:cs="Arial"/>
                <w:b/>
                <w:bCs/>
                <w:color w:val="000000"/>
                <w:sz w:val="16"/>
                <w:szCs w:val="16"/>
                <w:lang w:val="es-CR"/>
              </w:rPr>
              <w:br/>
              <w:t>Aprobada</w:t>
            </w:r>
          </w:p>
        </w:tc>
        <w:tc>
          <w:tcPr>
            <w:tcW w:w="567"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 Jornada</w:t>
            </w:r>
            <w:r w:rsidRPr="0028679C">
              <w:rPr>
                <w:rFonts w:ascii="Arial" w:hAnsi="Arial" w:cs="Arial"/>
                <w:b/>
                <w:bCs/>
                <w:color w:val="000000"/>
                <w:sz w:val="16"/>
                <w:szCs w:val="16"/>
                <w:lang w:val="es-CR"/>
              </w:rPr>
              <w:br/>
              <w:t>Aprobada</w:t>
            </w:r>
          </w:p>
        </w:tc>
        <w:tc>
          <w:tcPr>
            <w:tcW w:w="567"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TCE</w:t>
            </w:r>
            <w:r w:rsidRPr="0028679C">
              <w:rPr>
                <w:rFonts w:ascii="Arial" w:hAnsi="Arial" w:cs="Arial"/>
                <w:b/>
                <w:bCs/>
                <w:color w:val="000000"/>
                <w:sz w:val="16"/>
                <w:szCs w:val="16"/>
                <w:lang w:val="es-CR"/>
              </w:rPr>
              <w:br/>
              <w:t>Aprobado</w:t>
            </w:r>
          </w:p>
        </w:tc>
        <w:tc>
          <w:tcPr>
            <w:tcW w:w="2273" w:type="dxa"/>
            <w:tcBorders>
              <w:top w:val="single" w:sz="4" w:space="0" w:color="auto"/>
              <w:left w:val="nil"/>
              <w:bottom w:val="single" w:sz="4" w:space="0" w:color="auto"/>
              <w:right w:val="single" w:sz="4" w:space="0" w:color="auto"/>
            </w:tcBorders>
            <w:shd w:val="clear" w:color="auto" w:fill="95B3D7"/>
            <w:textDirection w:val="btLr"/>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 xml:space="preserve">Período </w:t>
            </w:r>
            <w:r w:rsidRPr="0028679C">
              <w:rPr>
                <w:rFonts w:ascii="Arial" w:hAnsi="Arial" w:cs="Arial"/>
                <w:b/>
                <w:bCs/>
                <w:color w:val="000000"/>
                <w:sz w:val="16"/>
                <w:szCs w:val="16"/>
                <w:lang w:val="es-CR"/>
              </w:rPr>
              <w:br/>
              <w:t>Aprobado</w:t>
            </w:r>
          </w:p>
        </w:tc>
        <w:tc>
          <w:tcPr>
            <w:tcW w:w="1843" w:type="dxa"/>
            <w:tcBorders>
              <w:top w:val="single" w:sz="4" w:space="0" w:color="auto"/>
              <w:left w:val="nil"/>
              <w:bottom w:val="single" w:sz="4" w:space="0" w:color="auto"/>
              <w:right w:val="single" w:sz="4" w:space="0" w:color="auto"/>
            </w:tcBorders>
            <w:shd w:val="clear" w:color="auto" w:fill="95B3D7"/>
            <w:vAlign w:val="center"/>
            <w:hideMark/>
          </w:tcPr>
          <w:p w:rsidR="0028679C" w:rsidRPr="0028679C" w:rsidRDefault="0028679C" w:rsidP="0028679C">
            <w:pPr>
              <w:jc w:val="center"/>
              <w:rPr>
                <w:rFonts w:ascii="Arial" w:hAnsi="Arial" w:cs="Arial"/>
                <w:b/>
                <w:bCs/>
                <w:color w:val="000000"/>
                <w:sz w:val="16"/>
                <w:szCs w:val="16"/>
                <w:lang w:val="es-CR"/>
              </w:rPr>
            </w:pPr>
            <w:r w:rsidRPr="0028679C">
              <w:rPr>
                <w:rFonts w:ascii="Arial" w:hAnsi="Arial" w:cs="Arial"/>
                <w:b/>
                <w:bCs/>
                <w:color w:val="000000"/>
                <w:sz w:val="16"/>
                <w:szCs w:val="16"/>
                <w:lang w:val="es-CR"/>
              </w:rPr>
              <w:t xml:space="preserve">Observaciones </w:t>
            </w:r>
          </w:p>
        </w:tc>
      </w:tr>
      <w:tr w:rsidR="0028679C" w:rsidRPr="0028679C" w:rsidTr="00A363CA">
        <w:trPr>
          <w:trHeight w:val="576"/>
        </w:trPr>
        <w:tc>
          <w:tcPr>
            <w:tcW w:w="379" w:type="dxa"/>
            <w:tcBorders>
              <w:top w:val="nil"/>
              <w:left w:val="nil"/>
              <w:bottom w:val="nil"/>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1</w:t>
            </w:r>
          </w:p>
        </w:tc>
        <w:tc>
          <w:tcPr>
            <w:tcW w:w="838" w:type="dxa"/>
            <w:tcBorders>
              <w:top w:val="nil"/>
              <w:left w:val="nil"/>
              <w:bottom w:val="nil"/>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CF2713</w:t>
            </w:r>
          </w:p>
        </w:tc>
        <w:tc>
          <w:tcPr>
            <w:tcW w:w="1193" w:type="dxa"/>
            <w:tcBorders>
              <w:top w:val="nil"/>
              <w:left w:val="nil"/>
              <w:bottom w:val="nil"/>
              <w:right w:val="single" w:sz="4" w:space="0" w:color="auto"/>
            </w:tcBorders>
            <w:shd w:val="clear" w:color="auto" w:fill="auto"/>
            <w:vAlign w:val="center"/>
            <w:hideMark/>
          </w:tcPr>
          <w:p w:rsidR="0028679C" w:rsidRPr="0028679C" w:rsidRDefault="0028679C" w:rsidP="0028679C">
            <w:pPr>
              <w:rPr>
                <w:rFonts w:ascii="Arial" w:hAnsi="Arial" w:cs="Arial"/>
                <w:sz w:val="16"/>
                <w:szCs w:val="16"/>
                <w:lang w:val="es-CR"/>
              </w:rPr>
            </w:pPr>
            <w:r w:rsidRPr="0028679C">
              <w:rPr>
                <w:rFonts w:ascii="Arial" w:hAnsi="Arial" w:cs="Arial"/>
                <w:sz w:val="16"/>
                <w:szCs w:val="16"/>
                <w:lang w:val="es-CR"/>
              </w:rPr>
              <w:t xml:space="preserve">Profesional en Administración </w:t>
            </w:r>
            <w:r w:rsidRPr="0028679C">
              <w:rPr>
                <w:rFonts w:ascii="Arial" w:hAnsi="Arial" w:cs="Arial"/>
                <w:sz w:val="16"/>
                <w:szCs w:val="16"/>
                <w:lang w:val="es-CR"/>
              </w:rPr>
              <w:br/>
            </w:r>
          </w:p>
        </w:tc>
        <w:tc>
          <w:tcPr>
            <w:tcW w:w="1075" w:type="dxa"/>
            <w:tcBorders>
              <w:top w:val="nil"/>
              <w:left w:val="nil"/>
              <w:bottom w:val="nil"/>
              <w:right w:val="single" w:sz="4" w:space="0" w:color="auto"/>
            </w:tcBorders>
            <w:shd w:val="clear" w:color="auto" w:fill="auto"/>
            <w:vAlign w:val="center"/>
            <w:hideMark/>
          </w:tcPr>
          <w:p w:rsidR="0028679C" w:rsidRPr="0028679C" w:rsidRDefault="0028679C" w:rsidP="0028679C">
            <w:pPr>
              <w:rPr>
                <w:rFonts w:ascii="Arial" w:hAnsi="Arial" w:cs="Arial"/>
                <w:color w:val="000000"/>
                <w:sz w:val="16"/>
                <w:szCs w:val="16"/>
                <w:lang w:val="es-CR"/>
              </w:rPr>
            </w:pPr>
            <w:r w:rsidRPr="0028679C">
              <w:rPr>
                <w:rFonts w:ascii="Arial" w:hAnsi="Arial" w:cs="Arial"/>
                <w:color w:val="000000"/>
                <w:sz w:val="16"/>
                <w:szCs w:val="16"/>
                <w:lang w:val="es-CR"/>
              </w:rPr>
              <w:t>Oficina de Planificación</w:t>
            </w:r>
          </w:p>
        </w:tc>
        <w:tc>
          <w:tcPr>
            <w:tcW w:w="621" w:type="dxa"/>
            <w:tcBorders>
              <w:top w:val="nil"/>
              <w:left w:val="nil"/>
              <w:bottom w:val="nil"/>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23</w:t>
            </w:r>
          </w:p>
        </w:tc>
        <w:tc>
          <w:tcPr>
            <w:tcW w:w="567" w:type="dxa"/>
            <w:tcBorders>
              <w:top w:val="nil"/>
              <w:left w:val="nil"/>
              <w:bottom w:val="nil"/>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40%</w:t>
            </w:r>
          </w:p>
        </w:tc>
        <w:tc>
          <w:tcPr>
            <w:tcW w:w="567" w:type="dxa"/>
            <w:tcBorders>
              <w:top w:val="nil"/>
              <w:left w:val="nil"/>
              <w:bottom w:val="nil"/>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0,40</w:t>
            </w:r>
          </w:p>
        </w:tc>
        <w:tc>
          <w:tcPr>
            <w:tcW w:w="2273" w:type="dxa"/>
            <w:tcBorders>
              <w:top w:val="nil"/>
              <w:left w:val="nil"/>
              <w:bottom w:val="nil"/>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Mientras se mantengan las condiciones de la señora Sofía García Romero en el Directorio de la AIR</w:t>
            </w:r>
          </w:p>
        </w:tc>
        <w:tc>
          <w:tcPr>
            <w:tcW w:w="1843" w:type="dxa"/>
            <w:tcBorders>
              <w:top w:val="nil"/>
              <w:left w:val="nil"/>
              <w:bottom w:val="nil"/>
              <w:right w:val="single" w:sz="4" w:space="0" w:color="auto"/>
            </w:tcBorders>
            <w:shd w:val="clear" w:color="auto" w:fill="auto"/>
            <w:vAlign w:val="center"/>
            <w:hideMark/>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 xml:space="preserve">Para ser utilizada en la OPI, para ampliaciones de jornada atención labores estratégicas </w:t>
            </w:r>
          </w:p>
        </w:tc>
      </w:tr>
      <w:tr w:rsidR="0028679C" w:rsidRPr="0028679C" w:rsidTr="00A363CA">
        <w:trPr>
          <w:trHeight w:val="576"/>
        </w:trPr>
        <w:tc>
          <w:tcPr>
            <w:tcW w:w="379"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1</w:t>
            </w:r>
          </w:p>
        </w:tc>
        <w:tc>
          <w:tcPr>
            <w:tcW w:w="838"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CF2713</w:t>
            </w:r>
          </w:p>
        </w:tc>
        <w:tc>
          <w:tcPr>
            <w:tcW w:w="1193"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jc w:val="center"/>
              <w:rPr>
                <w:rFonts w:ascii="Arial" w:hAnsi="Arial" w:cs="Arial"/>
                <w:color w:val="000000"/>
                <w:sz w:val="16"/>
                <w:szCs w:val="16"/>
                <w:lang w:val="es-CR"/>
              </w:rPr>
            </w:pPr>
            <w:r w:rsidRPr="0028679C">
              <w:rPr>
                <w:rFonts w:ascii="Arial" w:hAnsi="Arial" w:cs="Arial"/>
                <w:sz w:val="16"/>
                <w:szCs w:val="16"/>
                <w:lang w:val="es-CR"/>
              </w:rPr>
              <w:t>Profesional en Ingeniería o Arquitectura</w:t>
            </w:r>
          </w:p>
        </w:tc>
        <w:tc>
          <w:tcPr>
            <w:tcW w:w="1075"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rPr>
                <w:rFonts w:ascii="Arial" w:hAnsi="Arial" w:cs="Arial"/>
                <w:color w:val="000000"/>
                <w:sz w:val="16"/>
                <w:szCs w:val="16"/>
                <w:lang w:val="es-CR"/>
              </w:rPr>
            </w:pPr>
            <w:r w:rsidRPr="0028679C">
              <w:rPr>
                <w:rFonts w:ascii="Arial" w:hAnsi="Arial" w:cs="Arial"/>
                <w:color w:val="000000"/>
                <w:sz w:val="16"/>
                <w:szCs w:val="16"/>
                <w:lang w:val="es-CR"/>
              </w:rPr>
              <w:t>Oficina de Planificación</w:t>
            </w:r>
          </w:p>
        </w:tc>
        <w:tc>
          <w:tcPr>
            <w:tcW w:w="621"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23</w:t>
            </w:r>
          </w:p>
        </w:tc>
        <w:tc>
          <w:tcPr>
            <w:tcW w:w="567"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60%</w:t>
            </w:r>
          </w:p>
        </w:tc>
        <w:tc>
          <w:tcPr>
            <w:tcW w:w="567"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jc w:val="center"/>
              <w:rPr>
                <w:rFonts w:ascii="Arial" w:hAnsi="Arial" w:cs="Arial"/>
                <w:color w:val="000000"/>
                <w:sz w:val="16"/>
                <w:szCs w:val="16"/>
                <w:lang w:val="es-CR"/>
              </w:rPr>
            </w:pPr>
            <w:r w:rsidRPr="0028679C">
              <w:rPr>
                <w:rFonts w:ascii="Arial" w:hAnsi="Arial" w:cs="Arial"/>
                <w:color w:val="000000"/>
                <w:sz w:val="16"/>
                <w:szCs w:val="16"/>
                <w:lang w:val="es-CR"/>
              </w:rPr>
              <w:t>0,60</w:t>
            </w:r>
          </w:p>
        </w:tc>
        <w:tc>
          <w:tcPr>
            <w:tcW w:w="2273"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jc w:val="center"/>
              <w:rPr>
                <w:rFonts w:ascii="Arial" w:hAnsi="Arial" w:cs="Arial"/>
                <w:color w:val="000000"/>
                <w:sz w:val="16"/>
                <w:szCs w:val="16"/>
                <w:lang w:val="es-CR"/>
              </w:rPr>
            </w:pPr>
          </w:p>
        </w:tc>
        <w:tc>
          <w:tcPr>
            <w:tcW w:w="1843" w:type="dxa"/>
            <w:tcBorders>
              <w:top w:val="nil"/>
              <w:left w:val="nil"/>
              <w:bottom w:val="single" w:sz="4" w:space="0" w:color="auto"/>
              <w:right w:val="single" w:sz="4" w:space="0" w:color="auto"/>
            </w:tcBorders>
            <w:shd w:val="clear" w:color="auto" w:fill="auto"/>
            <w:vAlign w:val="center"/>
          </w:tcPr>
          <w:p w:rsidR="0028679C" w:rsidRPr="0028679C" w:rsidRDefault="0028679C" w:rsidP="0028679C">
            <w:pPr>
              <w:jc w:val="center"/>
              <w:rPr>
                <w:rFonts w:ascii="Arial" w:hAnsi="Arial" w:cs="Arial"/>
                <w:color w:val="000000"/>
                <w:sz w:val="16"/>
                <w:szCs w:val="16"/>
                <w:lang w:val="es-CR"/>
              </w:rPr>
            </w:pPr>
          </w:p>
        </w:tc>
      </w:tr>
    </w:tbl>
    <w:p w:rsidR="0028679C" w:rsidRPr="0028679C" w:rsidRDefault="0028679C" w:rsidP="0028679C">
      <w:pPr>
        <w:jc w:val="both"/>
        <w:rPr>
          <w:rFonts w:ascii="Arial" w:hAnsi="Arial" w:cs="Arial"/>
          <w:lang w:val="es-CR"/>
        </w:rPr>
      </w:pPr>
    </w:p>
    <w:p w:rsidR="0028679C" w:rsidRPr="0028679C" w:rsidRDefault="0028679C" w:rsidP="0028679C">
      <w:pPr>
        <w:jc w:val="both"/>
        <w:rPr>
          <w:rFonts w:ascii="Arial" w:hAnsi="Arial" w:cs="Arial"/>
          <w:lang w:val="es-CR"/>
        </w:rPr>
      </w:pPr>
    </w:p>
    <w:bookmarkEnd w:id="1"/>
    <w:bookmarkEnd w:id="2"/>
    <w:bookmarkEnd w:id="3"/>
    <w:p w:rsidR="00FA370C" w:rsidRPr="00FA370C" w:rsidRDefault="00FA370C" w:rsidP="00FA370C">
      <w:pPr>
        <w:spacing w:after="200" w:line="276" w:lineRule="auto"/>
        <w:contextualSpacing/>
        <w:jc w:val="both"/>
        <w:rPr>
          <w:rFonts w:ascii="Arial" w:hAnsi="Arial" w:cs="Arial"/>
          <w:sz w:val="20"/>
          <w:szCs w:val="20"/>
          <w:lang w:val="es-CR"/>
        </w:rPr>
      </w:pPr>
    </w:p>
    <w:p w:rsidR="00CB682F" w:rsidRDefault="007742A1" w:rsidP="00FA370C">
      <w:pPr>
        <w:numPr>
          <w:ilvl w:val="0"/>
          <w:numId w:val="31"/>
        </w:numPr>
        <w:ind w:left="426" w:hanging="426"/>
        <w:contextualSpacing/>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28679C" w:rsidRPr="0028679C" w:rsidRDefault="0028679C" w:rsidP="0028679C">
      <w:pPr>
        <w:rPr>
          <w:rFonts w:ascii="Arial" w:hAnsi="Arial" w:cs="Arial"/>
          <w:b/>
          <w:sz w:val="18"/>
          <w:szCs w:val="18"/>
        </w:rPr>
      </w:pPr>
      <w:r w:rsidRPr="0028679C">
        <w:rPr>
          <w:rFonts w:ascii="Arial" w:hAnsi="Arial" w:cs="Arial"/>
          <w:b/>
          <w:sz w:val="18"/>
          <w:szCs w:val="18"/>
        </w:rPr>
        <w:t xml:space="preserve">Palabras Clave: Modificación – temporal </w:t>
      </w:r>
      <w:proofErr w:type="gramStart"/>
      <w:r w:rsidRPr="0028679C">
        <w:rPr>
          <w:rFonts w:ascii="Arial" w:eastAsia="Cambria" w:hAnsi="Arial" w:cs="Arial"/>
          <w:b/>
          <w:sz w:val="18"/>
          <w:szCs w:val="18"/>
          <w:lang w:eastAsia="en-US"/>
        </w:rPr>
        <w:t>–  40</w:t>
      </w:r>
      <w:proofErr w:type="gramEnd"/>
      <w:r w:rsidRPr="0028679C">
        <w:rPr>
          <w:rFonts w:ascii="Arial" w:eastAsia="Cambria" w:hAnsi="Arial" w:cs="Arial"/>
          <w:b/>
          <w:sz w:val="18"/>
          <w:szCs w:val="18"/>
          <w:lang w:eastAsia="en-US"/>
        </w:rPr>
        <w:t>% - Plaza 2713 - Profesional – Administración -  OPI</w:t>
      </w:r>
    </w:p>
    <w:p w:rsidR="0028679C" w:rsidRPr="0028679C" w:rsidRDefault="0028679C" w:rsidP="0028679C">
      <w:pPr>
        <w:jc w:val="both"/>
        <w:rPr>
          <w:rFonts w:ascii="Arial" w:hAnsi="Arial" w:cs="Arial"/>
          <w:sz w:val="20"/>
          <w:szCs w:val="20"/>
          <w:lang w:val="es-CR"/>
        </w:rPr>
      </w:pPr>
    </w:p>
    <w:p w:rsidR="00FA370C" w:rsidRDefault="00FA370C" w:rsidP="0026727D">
      <w:pPr>
        <w:autoSpaceDE w:val="0"/>
        <w:autoSpaceDN w:val="0"/>
        <w:adjustRightInd w:val="0"/>
        <w:ind w:left="284"/>
        <w:jc w:val="both"/>
        <w:rPr>
          <w:rFonts w:ascii="Arial" w:hAnsi="Arial" w:cs="Arial"/>
          <w:b/>
          <w:lang w:val="es-CR"/>
        </w:rPr>
      </w:pPr>
    </w:p>
    <w:p w:rsidR="00474B22" w:rsidRPr="00FA370C" w:rsidRDefault="00474B22" w:rsidP="00FA370C">
      <w:pPr>
        <w:rPr>
          <w:rFonts w:ascii="Arial" w:hAnsi="Arial" w:cs="Arial"/>
          <w:b/>
          <w:sz w:val="18"/>
          <w:szCs w:val="18"/>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803BB3" w:rsidRDefault="006D0052"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803BB3">
              <w:rPr>
                <w:rFonts w:ascii="Arial" w:eastAsia="Cambria" w:hAnsi="Arial" w:cs="Arial"/>
                <w:b/>
                <w:sz w:val="16"/>
                <w:szCs w:val="16"/>
                <w:lang w:val="es-ES_tradnl" w:eastAsia="en-US"/>
              </w:rPr>
              <w:t>Vicerrectoría Docencia</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Pr="00474B22" w:rsidRDefault="006D0052" w:rsidP="00803BB3">
            <w:pPr>
              <w:jc w:val="both"/>
              <w:rPr>
                <w:rFonts w:ascii="Arial" w:eastAsia="Cambria" w:hAnsi="Arial" w:cs="Arial"/>
                <w:b/>
                <w:sz w:val="16"/>
                <w:szCs w:val="16"/>
                <w:lang w:val="es-ES_tradnl" w:eastAsia="en-US"/>
              </w:rPr>
            </w:pPr>
          </w:p>
        </w:tc>
        <w:tc>
          <w:tcPr>
            <w:tcW w:w="4361" w:type="dxa"/>
          </w:tcPr>
          <w:p w:rsidR="00803BB3" w:rsidRPr="00474B22" w:rsidRDefault="00803BB3" w:rsidP="00803BB3">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803BB3" w:rsidRPr="00474B22" w:rsidRDefault="00803BB3" w:rsidP="00803BB3">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803BB3" w:rsidRPr="00474B22" w:rsidRDefault="00803BB3" w:rsidP="00803B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803BB3" w:rsidRPr="00474B22" w:rsidRDefault="00803BB3" w:rsidP="00803B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803BB3" w:rsidRDefault="00803BB3" w:rsidP="00803BB3">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Pr="00474B22" w:rsidRDefault="00CB682F" w:rsidP="006442DF">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0A" w:rsidRDefault="0027680A">
      <w:r>
        <w:separator/>
      </w:r>
    </w:p>
  </w:endnote>
  <w:endnote w:type="continuationSeparator" w:id="0">
    <w:p w:rsidR="0027680A" w:rsidRDefault="0027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0A" w:rsidRDefault="0027680A">
      <w:r>
        <w:separator/>
      </w:r>
    </w:p>
  </w:footnote>
  <w:footnote w:type="continuationSeparator" w:id="0">
    <w:p w:rsidR="0027680A" w:rsidRDefault="00276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28679C">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28679C">
      <w:rPr>
        <w:rFonts w:ascii="Arial" w:eastAsia="Cambria" w:hAnsi="Arial" w:cs="Arial"/>
        <w:i/>
        <w:sz w:val="18"/>
        <w:szCs w:val="18"/>
        <w:lang w:val="es-ES_tradnl" w:eastAsia="x-none"/>
      </w:rPr>
      <w:t>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8679C">
      <w:rPr>
        <w:rFonts w:ascii="Arial" w:eastAsia="Cambria" w:hAnsi="Arial" w:cs="Arial"/>
        <w:i/>
        <w:sz w:val="18"/>
        <w:szCs w:val="18"/>
        <w:lang w:val="es-ES_tradnl" w:eastAsia="x-none"/>
      </w:rPr>
      <w:t>05</w:t>
    </w:r>
    <w:r w:rsidR="006442DF">
      <w:rPr>
        <w:rFonts w:ascii="Arial" w:eastAsia="Cambria" w:hAnsi="Arial" w:cs="Arial"/>
        <w:i/>
        <w:sz w:val="18"/>
        <w:szCs w:val="18"/>
        <w:lang w:val="es-ES_tradnl" w:eastAsia="x-none"/>
      </w:rPr>
      <w:t xml:space="preserve"> de </w:t>
    </w:r>
    <w:r w:rsidR="0028679C">
      <w:rPr>
        <w:rFonts w:ascii="Arial" w:eastAsia="Cambria" w:hAnsi="Arial" w:cs="Arial"/>
        <w:i/>
        <w:sz w:val="18"/>
        <w:szCs w:val="18"/>
        <w:lang w:val="es-ES_tradnl" w:eastAsia="x-none"/>
      </w:rPr>
      <w:t>abril</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8679C">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CF1B5C"/>
    <w:multiLevelType w:val="hybridMultilevel"/>
    <w:tmpl w:val="8D78BC5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num>
  <w:num w:numId="6">
    <w:abstractNumId w:val="7"/>
  </w:num>
  <w:num w:numId="7">
    <w:abstractNumId w:val="1"/>
  </w:num>
  <w:num w:numId="8">
    <w:abstractNumId w:val="29"/>
  </w:num>
  <w:num w:numId="9">
    <w:abstractNumId w:val="28"/>
  </w:num>
  <w:num w:numId="10">
    <w:abstractNumId w:val="17"/>
  </w:num>
  <w:num w:numId="11">
    <w:abstractNumId w:val="24"/>
  </w:num>
  <w:num w:numId="12">
    <w:abstractNumId w:val="8"/>
  </w:num>
  <w:num w:numId="13">
    <w:abstractNumId w:val="20"/>
  </w:num>
  <w:num w:numId="14">
    <w:abstractNumId w:val="19"/>
  </w:num>
  <w:num w:numId="15">
    <w:abstractNumId w:val="22"/>
  </w:num>
  <w:num w:numId="16">
    <w:abstractNumId w:val="23"/>
  </w:num>
  <w:num w:numId="17">
    <w:abstractNumId w:val="3"/>
  </w:num>
  <w:num w:numId="18">
    <w:abstractNumId w:val="10"/>
  </w:num>
  <w:num w:numId="19">
    <w:abstractNumId w:val="14"/>
  </w:num>
  <w:num w:numId="20">
    <w:abstractNumId w:val="13"/>
  </w:num>
  <w:num w:numId="21">
    <w:abstractNumId w:val="12"/>
  </w:num>
  <w:num w:numId="22">
    <w:abstractNumId w:val="21"/>
  </w:num>
  <w:num w:numId="23">
    <w:abstractNumId w:val="11"/>
  </w:num>
  <w:num w:numId="24">
    <w:abstractNumId w:val="32"/>
  </w:num>
  <w:num w:numId="25">
    <w:abstractNumId w:val="9"/>
  </w:num>
  <w:num w:numId="26">
    <w:abstractNumId w:val="25"/>
  </w:num>
  <w:num w:numId="27">
    <w:abstractNumId w:val="4"/>
  </w:num>
  <w:num w:numId="28">
    <w:abstractNumId w:val="30"/>
  </w:num>
  <w:num w:numId="29">
    <w:abstractNumId w:val="6"/>
  </w:num>
  <w:num w:numId="30">
    <w:abstractNumId w:val="16"/>
  </w:num>
  <w:num w:numId="31">
    <w:abstractNumId w:val="18"/>
  </w:num>
  <w:num w:numId="32">
    <w:abstractNumId w:val="2"/>
  </w:num>
  <w:num w:numId="3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7680A"/>
    <w:rsid w:val="00280C7B"/>
    <w:rsid w:val="00281B37"/>
    <w:rsid w:val="00283360"/>
    <w:rsid w:val="00283375"/>
    <w:rsid w:val="00284956"/>
    <w:rsid w:val="0028679C"/>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B7372"/>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86497"/>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ED5A-DDA5-4374-B02B-E34B487C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930</Words>
  <Characters>5116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55</cp:revision>
  <cp:lastPrinted>2017-04-05T21:13:00Z</cp:lastPrinted>
  <dcterms:created xsi:type="dcterms:W3CDTF">2016-10-05T20:00:00Z</dcterms:created>
  <dcterms:modified xsi:type="dcterms:W3CDTF">2017-04-05T21:17:00Z</dcterms:modified>
</cp:coreProperties>
</file>