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30CF9">
        <w:rPr>
          <w:rFonts w:ascii="Arial" w:hAnsi="Arial" w:cs="Arial"/>
          <w:b/>
          <w:bCs/>
          <w:iCs/>
          <w:sz w:val="26"/>
          <w:szCs w:val="22"/>
          <w:lang w:val="es-CR"/>
        </w:rPr>
        <w:t>257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337455">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5D234B" w:rsidRPr="001F3E92" w:rsidRDefault="000120EB" w:rsidP="000046BC">
            <w:pPr>
              <w:ind w:left="45"/>
              <w:jc w:val="both"/>
              <w:rPr>
                <w:rFonts w:ascii="Arial" w:hAnsi="Arial" w:cs="Arial"/>
                <w:sz w:val="22"/>
                <w:szCs w:val="22"/>
                <w:lang w:val="es-CR"/>
              </w:rPr>
            </w:pPr>
            <w:r w:rsidRPr="000120EB">
              <w:rPr>
                <w:rFonts w:ascii="Arial" w:hAnsi="Arial" w:cs="Arial"/>
                <w:sz w:val="22"/>
                <w:szCs w:val="22"/>
                <w:lang w:val="es-CR"/>
              </w:rPr>
              <w:t xml:space="preserve">Licda. </w:t>
            </w:r>
            <w:r w:rsidR="001F3E92" w:rsidRPr="001F3E92">
              <w:rPr>
                <w:rFonts w:ascii="Arial" w:hAnsi="Arial" w:cs="Arial"/>
                <w:sz w:val="22"/>
                <w:szCs w:val="22"/>
              </w:rPr>
              <w:t>Nery Agüero Montero, Jefa de la Comisión Especial Investigadora Provincia de Limón</w:t>
            </w:r>
          </w:p>
          <w:p w:rsidR="000120EB" w:rsidRDefault="001F3E92" w:rsidP="000046B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Asamblea Legislativa</w:t>
            </w:r>
          </w:p>
          <w:p w:rsidR="001F3E92" w:rsidRPr="006B4FBB" w:rsidRDefault="001F3E92" w:rsidP="000046BC">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1F3E92" w:rsidP="001F3E9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053D4" w:rsidRDefault="007742A1" w:rsidP="00DC4940">
            <w:pPr>
              <w:ind w:left="-74"/>
              <w:jc w:val="both"/>
              <w:rPr>
                <w:rFonts w:ascii="Arial"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20</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F3E92">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1F3E92">
              <w:rPr>
                <w:rFonts w:ascii="Arial" w:eastAsia="Calibri" w:hAnsi="Arial" w:cs="Arial"/>
                <w:b/>
                <w:sz w:val="22"/>
                <w:szCs w:val="22"/>
              </w:rPr>
              <w:t>03</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0046BC">
              <w:rPr>
                <w:rFonts w:ascii="Arial" w:eastAsia="Calibri" w:hAnsi="Arial" w:cs="Arial"/>
                <w:b/>
                <w:sz w:val="22"/>
                <w:szCs w:val="22"/>
              </w:rPr>
              <w:t>Pronunciamiento del Consejo Institucional sobre el Proyecto de “Ley</w:t>
            </w:r>
            <w:r w:rsidR="001F3E92">
              <w:rPr>
                <w:rFonts w:ascii="Arial" w:eastAsia="Calibri" w:hAnsi="Arial" w:cs="Arial"/>
                <w:b/>
                <w:sz w:val="22"/>
                <w:szCs w:val="22"/>
              </w:rPr>
              <w:t xml:space="preserve"> de Fideicomiso de Obra Pública para rehabilitación, ampliación, mantenimiento de la Ruta Nacional No. 32, entre el Estadio Ricardo </w:t>
            </w:r>
            <w:proofErr w:type="spellStart"/>
            <w:r w:rsidR="001F3E92">
              <w:rPr>
                <w:rFonts w:ascii="Arial" w:eastAsia="Calibri" w:hAnsi="Arial" w:cs="Arial"/>
                <w:b/>
                <w:sz w:val="22"/>
                <w:szCs w:val="22"/>
              </w:rPr>
              <w:t>Saprissa</w:t>
            </w:r>
            <w:proofErr w:type="spellEnd"/>
            <w:r w:rsidR="001F3E92">
              <w:rPr>
                <w:rFonts w:ascii="Arial" w:eastAsia="Calibri" w:hAnsi="Arial" w:cs="Arial"/>
                <w:b/>
                <w:sz w:val="22"/>
                <w:szCs w:val="22"/>
              </w:rPr>
              <w:t xml:space="preserve"> y el cruce de Río Frío o la construcción de una ruta alterna”</w:t>
            </w:r>
            <w:r w:rsidR="000046BC">
              <w:rPr>
                <w:rFonts w:ascii="Arial" w:eastAsia="Calibri" w:hAnsi="Arial" w:cs="Arial"/>
                <w:b/>
                <w:sz w:val="22"/>
                <w:szCs w:val="22"/>
              </w:rPr>
              <w:t>, Expediente N</w:t>
            </w:r>
            <w:r w:rsidR="00F2209C">
              <w:rPr>
                <w:rFonts w:ascii="Arial" w:eastAsia="Calibri" w:hAnsi="Arial" w:cs="Arial"/>
                <w:b/>
                <w:sz w:val="22"/>
                <w:szCs w:val="22"/>
              </w:rPr>
              <w:t>o.</w:t>
            </w:r>
            <w:r w:rsidR="000046BC">
              <w:rPr>
                <w:rFonts w:ascii="Arial" w:eastAsia="Calibri" w:hAnsi="Arial" w:cs="Arial"/>
                <w:b/>
                <w:sz w:val="22"/>
                <w:szCs w:val="22"/>
              </w:rPr>
              <w:t xml:space="preserve"> </w:t>
            </w:r>
            <w:r w:rsidR="001F3E92">
              <w:rPr>
                <w:rFonts w:ascii="Arial" w:eastAsia="Calibri" w:hAnsi="Arial" w:cs="Arial"/>
                <w:b/>
                <w:sz w:val="22"/>
                <w:szCs w:val="22"/>
              </w:rPr>
              <w:t>19</w:t>
            </w:r>
            <w:r w:rsidR="000046BC">
              <w:rPr>
                <w:rFonts w:ascii="Arial" w:eastAsia="Calibri" w:hAnsi="Arial" w:cs="Arial"/>
                <w:b/>
                <w:sz w:val="22"/>
                <w:szCs w:val="22"/>
              </w:rPr>
              <w:t>.1</w:t>
            </w:r>
            <w:r w:rsidR="001F3E92">
              <w:rPr>
                <w:rFonts w:ascii="Arial" w:eastAsia="Calibri" w:hAnsi="Arial" w:cs="Arial"/>
                <w:b/>
                <w:sz w:val="22"/>
                <w:szCs w:val="22"/>
              </w:rPr>
              <w:t>59</w:t>
            </w:r>
          </w:p>
          <w:p w:rsidR="00DC4940" w:rsidRPr="00DC4940" w:rsidRDefault="00DC4940" w:rsidP="00DC4940">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1F3E92" w:rsidRPr="001F3E92" w:rsidRDefault="001F3E92" w:rsidP="001F3E92">
      <w:pPr>
        <w:contextualSpacing/>
        <w:jc w:val="both"/>
        <w:outlineLvl w:val="0"/>
        <w:rPr>
          <w:rFonts w:ascii="Arial" w:hAnsi="Arial" w:cs="Arial"/>
          <w:b/>
        </w:rPr>
      </w:pPr>
      <w:r w:rsidRPr="001F3E92">
        <w:rPr>
          <w:rFonts w:ascii="Arial" w:hAnsi="Arial" w:cs="Arial"/>
          <w:b/>
        </w:rPr>
        <w:t>RESULTANDO QUE:</w:t>
      </w:r>
    </w:p>
    <w:p w:rsidR="001F3E92" w:rsidRPr="001F3E92" w:rsidRDefault="001F3E92" w:rsidP="001F3E92">
      <w:pPr>
        <w:contextualSpacing/>
        <w:jc w:val="both"/>
        <w:outlineLvl w:val="0"/>
        <w:rPr>
          <w:rFonts w:ascii="Arial" w:hAnsi="Arial" w:cs="Arial"/>
          <w:b/>
        </w:rPr>
      </w:pPr>
    </w:p>
    <w:p w:rsidR="001F3E92" w:rsidRPr="001F3E92" w:rsidRDefault="001F3E92" w:rsidP="001F3E92">
      <w:pPr>
        <w:numPr>
          <w:ilvl w:val="0"/>
          <w:numId w:val="19"/>
        </w:numPr>
        <w:ind w:left="360"/>
        <w:jc w:val="both"/>
        <w:rPr>
          <w:rFonts w:ascii="Arial" w:hAnsi="Arial" w:cs="Arial"/>
          <w:lang w:val="es-CR"/>
        </w:rPr>
      </w:pPr>
      <w:r w:rsidRPr="001F3E92">
        <w:rPr>
          <w:rFonts w:ascii="Arial" w:hAnsi="Arial" w:cs="Arial"/>
          <w:lang w:val="es-CR"/>
        </w:rPr>
        <w:t>El Artículo 88 de la Constitución Política de la República de Costa Rica prescribe:</w:t>
      </w:r>
    </w:p>
    <w:p w:rsidR="001F3E92" w:rsidRPr="001F3E92" w:rsidRDefault="001F3E92" w:rsidP="001F3E92">
      <w:pPr>
        <w:ind w:left="360"/>
        <w:jc w:val="both"/>
        <w:rPr>
          <w:rFonts w:ascii="Arial" w:hAnsi="Arial" w:cs="Arial"/>
          <w:lang w:val="es-CR"/>
        </w:rPr>
      </w:pPr>
    </w:p>
    <w:p w:rsidR="001F3E92" w:rsidRPr="001F3E92" w:rsidRDefault="001F3E92" w:rsidP="001F3E92">
      <w:pPr>
        <w:ind w:left="1080" w:right="689"/>
        <w:jc w:val="both"/>
        <w:rPr>
          <w:rFonts w:ascii="Arial" w:hAnsi="Arial" w:cs="Arial"/>
          <w:i/>
          <w:sz w:val="20"/>
          <w:szCs w:val="20"/>
          <w:lang w:val="es-CR"/>
        </w:rPr>
      </w:pPr>
      <w:r w:rsidRPr="001F3E92">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1F3E92" w:rsidRPr="001F3E92" w:rsidRDefault="001F3E92" w:rsidP="001F3E92">
      <w:pPr>
        <w:ind w:left="1080" w:right="689"/>
        <w:jc w:val="both"/>
        <w:rPr>
          <w:rFonts w:ascii="Arial" w:hAnsi="Arial" w:cs="Arial"/>
          <w:i/>
          <w:sz w:val="20"/>
          <w:szCs w:val="20"/>
          <w:lang w:val="es-CR"/>
        </w:rPr>
      </w:pPr>
    </w:p>
    <w:p w:rsidR="001F3E92" w:rsidRPr="001F3E92" w:rsidRDefault="001F3E92" w:rsidP="001F3E92">
      <w:pPr>
        <w:numPr>
          <w:ilvl w:val="0"/>
          <w:numId w:val="19"/>
        </w:numPr>
        <w:ind w:left="360"/>
        <w:jc w:val="both"/>
        <w:rPr>
          <w:rFonts w:ascii="Arial" w:hAnsi="Arial" w:cs="Arial"/>
          <w:lang w:val="es-CR"/>
        </w:rPr>
      </w:pPr>
      <w:r w:rsidRPr="001F3E92">
        <w:rPr>
          <w:rFonts w:ascii="Arial" w:hAnsi="Arial" w:cs="Arial"/>
          <w:lang w:val="es-CR"/>
        </w:rPr>
        <w:t>El Estatuto Orgánico del Instituto Tecnológico de Costa Rica, en el Artículo 18, inciso i) señala:</w:t>
      </w:r>
    </w:p>
    <w:p w:rsidR="001F3E92" w:rsidRPr="001F3E92" w:rsidRDefault="001F3E92" w:rsidP="001F3E92">
      <w:pPr>
        <w:ind w:left="1080" w:right="689"/>
        <w:jc w:val="both"/>
        <w:rPr>
          <w:rFonts w:ascii="Arial" w:hAnsi="Arial" w:cs="Arial"/>
          <w:i/>
          <w:sz w:val="20"/>
          <w:szCs w:val="20"/>
          <w:lang w:val="es-CR"/>
        </w:rPr>
      </w:pPr>
    </w:p>
    <w:p w:rsidR="001F3E92" w:rsidRPr="001F3E92" w:rsidRDefault="001F3E92" w:rsidP="001F3E92">
      <w:pPr>
        <w:ind w:left="1080" w:right="689"/>
        <w:jc w:val="both"/>
        <w:rPr>
          <w:rFonts w:ascii="Arial" w:hAnsi="Arial" w:cs="Arial"/>
          <w:i/>
          <w:sz w:val="20"/>
          <w:szCs w:val="20"/>
          <w:lang w:val="es-CR"/>
        </w:rPr>
      </w:pPr>
      <w:r w:rsidRPr="001F3E92">
        <w:rPr>
          <w:rFonts w:ascii="Arial" w:hAnsi="Arial" w:cs="Arial"/>
          <w:i/>
          <w:sz w:val="20"/>
          <w:szCs w:val="20"/>
          <w:lang w:val="es-CR"/>
        </w:rPr>
        <w:t>“Son funciones del Consejo Institucional:</w:t>
      </w:r>
    </w:p>
    <w:p w:rsidR="001F3E92" w:rsidRPr="001F3E92" w:rsidRDefault="001F3E92" w:rsidP="001F3E92">
      <w:pPr>
        <w:ind w:left="1080" w:right="689"/>
        <w:jc w:val="both"/>
        <w:rPr>
          <w:rFonts w:ascii="Arial" w:hAnsi="Arial" w:cs="Arial"/>
          <w:i/>
          <w:sz w:val="20"/>
          <w:szCs w:val="20"/>
          <w:lang w:val="es-CR"/>
        </w:rPr>
      </w:pPr>
      <w:r w:rsidRPr="001F3E92">
        <w:rPr>
          <w:rFonts w:ascii="Arial" w:hAnsi="Arial" w:cs="Arial"/>
          <w:i/>
          <w:sz w:val="20"/>
          <w:szCs w:val="20"/>
          <w:lang w:val="es-CR"/>
        </w:rPr>
        <w:t>…</w:t>
      </w:r>
    </w:p>
    <w:p w:rsidR="001F3E92" w:rsidRPr="001F3E92" w:rsidRDefault="001F3E92" w:rsidP="001F3E92">
      <w:pPr>
        <w:ind w:left="1080" w:right="689"/>
        <w:jc w:val="both"/>
        <w:rPr>
          <w:rFonts w:ascii="Arial" w:hAnsi="Arial" w:cs="Arial"/>
          <w:i/>
          <w:sz w:val="20"/>
          <w:szCs w:val="20"/>
          <w:lang w:val="es-CR"/>
        </w:rPr>
      </w:pPr>
      <w:r w:rsidRPr="001F3E92">
        <w:rPr>
          <w:rFonts w:ascii="Arial" w:hAnsi="Arial" w:cs="Arial"/>
          <w:i/>
          <w:sz w:val="20"/>
          <w:szCs w:val="20"/>
          <w:lang w:val="es-CR"/>
        </w:rPr>
        <w:t>Evacuar las consultas a que se refiere el Artículo 88 de la Constitución Política de la República”.</w:t>
      </w:r>
    </w:p>
    <w:p w:rsidR="001F3E92" w:rsidRPr="001F3E92" w:rsidRDefault="001F3E92" w:rsidP="001F3E92">
      <w:pPr>
        <w:ind w:right="689"/>
        <w:jc w:val="both"/>
        <w:rPr>
          <w:rFonts w:ascii="Arial" w:hAnsi="Arial" w:cs="Arial"/>
          <w:i/>
          <w:sz w:val="20"/>
          <w:szCs w:val="20"/>
          <w:lang w:val="es-CR"/>
        </w:rPr>
      </w:pPr>
    </w:p>
    <w:p w:rsidR="001F3E92" w:rsidRPr="001F3E92" w:rsidRDefault="001F3E92" w:rsidP="001F3E92">
      <w:pPr>
        <w:contextualSpacing/>
        <w:jc w:val="both"/>
        <w:outlineLvl w:val="0"/>
        <w:rPr>
          <w:rFonts w:ascii="Arial" w:hAnsi="Arial" w:cs="Arial"/>
          <w:b/>
        </w:rPr>
      </w:pPr>
      <w:r w:rsidRPr="001F3E92">
        <w:rPr>
          <w:rFonts w:ascii="Arial" w:hAnsi="Arial" w:cs="Arial"/>
          <w:b/>
        </w:rPr>
        <w:t>CONSIDERANDO QUE:</w:t>
      </w:r>
    </w:p>
    <w:p w:rsidR="001F3E92" w:rsidRPr="001F3E92" w:rsidRDefault="001F3E92" w:rsidP="001F3E92">
      <w:pPr>
        <w:contextualSpacing/>
        <w:jc w:val="both"/>
        <w:outlineLvl w:val="0"/>
        <w:rPr>
          <w:rFonts w:ascii="Arial" w:hAnsi="Arial" w:cs="Arial"/>
          <w:b/>
        </w:rPr>
      </w:pPr>
    </w:p>
    <w:p w:rsidR="001F3E92" w:rsidRPr="001F3E92" w:rsidRDefault="001F3E92" w:rsidP="001F3E92">
      <w:pPr>
        <w:numPr>
          <w:ilvl w:val="0"/>
          <w:numId w:val="20"/>
        </w:numPr>
        <w:ind w:left="426"/>
        <w:jc w:val="both"/>
        <w:rPr>
          <w:rFonts w:ascii="Arial" w:hAnsi="Arial" w:cs="Arial"/>
          <w:lang w:val="es-CR"/>
        </w:rPr>
      </w:pPr>
      <w:r w:rsidRPr="001F3E92">
        <w:rPr>
          <w:rFonts w:ascii="Arial" w:hAnsi="Arial" w:cs="Arial"/>
          <w:lang w:val="es-CR"/>
        </w:rPr>
        <w:t>La Secretaría del Consejo Institucional recibe mediante correo electrónico el oficio CE-128-2017, con fecha de recibido 28 de noviembre de 2016, suscrito por Licda. Nery Agüero Montero, Jefa de la Comisión Especial Investigadora Provincia de Limón, de la Asamblea Legislativa, dirigido al Dr. Julio Calvo, Rector, en el cual solicita criterio sobre el Proyecto de Ley “Fideicomiso de Obra Pública para Rehabilitación, Ampliación y Mantenimiento de la Ruta Nacional No</w:t>
      </w:r>
      <w:r w:rsidR="00530CF9">
        <w:rPr>
          <w:rFonts w:ascii="Arial" w:hAnsi="Arial" w:cs="Arial"/>
          <w:lang w:val="es-CR"/>
        </w:rPr>
        <w:t>.</w:t>
      </w:r>
      <w:r w:rsidRPr="001F3E92">
        <w:rPr>
          <w:rFonts w:ascii="Arial" w:hAnsi="Arial" w:cs="Arial"/>
          <w:lang w:val="es-CR"/>
        </w:rPr>
        <w:t xml:space="preserve"> 32, entre el Estadio Ricardo </w:t>
      </w:r>
      <w:proofErr w:type="spellStart"/>
      <w:r w:rsidRPr="001F3E92">
        <w:rPr>
          <w:rFonts w:ascii="Arial" w:hAnsi="Arial" w:cs="Arial"/>
          <w:lang w:val="es-CR"/>
        </w:rPr>
        <w:t>Saprissa</w:t>
      </w:r>
      <w:proofErr w:type="spellEnd"/>
      <w:r w:rsidRPr="001F3E92">
        <w:rPr>
          <w:rFonts w:ascii="Arial" w:hAnsi="Arial" w:cs="Arial"/>
          <w:lang w:val="es-CR"/>
        </w:rPr>
        <w:t xml:space="preserve"> y el Cruce del Río Frío o la Construcción de una Ruta Alterna”, Expediente No. 19.159.</w:t>
      </w:r>
    </w:p>
    <w:p w:rsidR="001F3E92" w:rsidRPr="001F3E92" w:rsidRDefault="001F3E92" w:rsidP="001F3E92">
      <w:pPr>
        <w:ind w:left="426"/>
        <w:jc w:val="both"/>
        <w:rPr>
          <w:rFonts w:ascii="Arial" w:hAnsi="Arial" w:cs="Arial"/>
          <w:lang w:val="es-CR"/>
        </w:rPr>
      </w:pPr>
    </w:p>
    <w:p w:rsidR="001F3E92" w:rsidRPr="001F3E92" w:rsidRDefault="001F3E92" w:rsidP="001F3E92">
      <w:pPr>
        <w:numPr>
          <w:ilvl w:val="0"/>
          <w:numId w:val="20"/>
        </w:numPr>
        <w:ind w:left="426"/>
        <w:jc w:val="both"/>
        <w:rPr>
          <w:rFonts w:ascii="Arial" w:hAnsi="Arial" w:cs="Arial"/>
          <w:lang w:val="es-CR"/>
        </w:rPr>
      </w:pPr>
      <w:r w:rsidRPr="001F3E92">
        <w:rPr>
          <w:rFonts w:ascii="Arial" w:hAnsi="Arial" w:cs="Arial"/>
          <w:lang w:val="es-CR"/>
        </w:rPr>
        <w:t xml:space="preserve">El precitado oficio fue conocido por el Consejo Institucional, en la Sesión No. </w:t>
      </w:r>
      <w:r w:rsidRPr="001F3E92">
        <w:rPr>
          <w:rFonts w:ascii="Arial" w:eastAsia="Cambria" w:hAnsi="Arial" w:cs="Arial"/>
          <w:lang w:val="es-ES_tradnl" w:eastAsia="en-US"/>
        </w:rPr>
        <w:t>3001 del Consejo Institucional, celebrada el día 07 de diciembre del 2017</w:t>
      </w:r>
      <w:r w:rsidRPr="001F3E92">
        <w:rPr>
          <w:rFonts w:ascii="Arial" w:hAnsi="Arial" w:cs="Arial"/>
          <w:lang w:val="es-CR"/>
        </w:rPr>
        <w:t>, y se dispone remitirlo en consulta a las siguientes escuelas: Escuela de Administración de Empresas y Escuela de Ingeniería en Construcción.</w:t>
      </w:r>
    </w:p>
    <w:p w:rsidR="001F3E92" w:rsidRPr="001F3E92" w:rsidRDefault="001F3E92" w:rsidP="001F3E92">
      <w:pPr>
        <w:ind w:left="708"/>
        <w:rPr>
          <w:rFonts w:ascii="Arial" w:hAnsi="Arial" w:cs="Arial"/>
          <w:highlight w:val="cyan"/>
          <w:lang w:val="es-CR"/>
        </w:rPr>
      </w:pPr>
    </w:p>
    <w:p w:rsidR="001F3E92" w:rsidRPr="001F3E92" w:rsidRDefault="001F3E92" w:rsidP="001F3E92">
      <w:pPr>
        <w:numPr>
          <w:ilvl w:val="0"/>
          <w:numId w:val="20"/>
        </w:numPr>
        <w:ind w:left="426"/>
        <w:jc w:val="both"/>
        <w:rPr>
          <w:rFonts w:ascii="Arial" w:hAnsi="Arial" w:cs="Arial"/>
          <w:lang w:val="es-CR"/>
        </w:rPr>
      </w:pPr>
      <w:r w:rsidRPr="001F3E92">
        <w:rPr>
          <w:rFonts w:ascii="Arial" w:hAnsi="Arial" w:cs="Arial"/>
          <w:lang w:val="es-CR"/>
        </w:rPr>
        <w:t>Lista de oficios anexos:</w:t>
      </w:r>
    </w:p>
    <w:p w:rsidR="001F3E92" w:rsidRPr="001F3E92" w:rsidRDefault="001F3E92" w:rsidP="001F3E92">
      <w:pPr>
        <w:rPr>
          <w:rFonts w:ascii="Arial" w:hAnsi="Arial" w:cs="Arial"/>
          <w:lang w:val="es-CR"/>
        </w:rPr>
      </w:pPr>
    </w:p>
    <w:p w:rsidR="001F3E92" w:rsidRPr="001F3E92" w:rsidRDefault="001F3E92" w:rsidP="001F3E92">
      <w:pPr>
        <w:ind w:left="360"/>
        <w:jc w:val="both"/>
        <w:rPr>
          <w:rFonts w:ascii="Arial" w:hAnsi="Arial" w:cs="Arial"/>
          <w:b/>
          <w:sz w:val="22"/>
          <w:szCs w:val="22"/>
          <w:lang w:val="es-CR"/>
        </w:rPr>
      </w:pPr>
      <w:r w:rsidRPr="001F3E92">
        <w:rPr>
          <w:rFonts w:ascii="Arial" w:hAnsi="Arial" w:cs="Arial"/>
          <w:b/>
          <w:sz w:val="22"/>
          <w:szCs w:val="22"/>
          <w:lang w:val="es-CR"/>
        </w:rPr>
        <w:t>Anexo 1</w:t>
      </w:r>
    </w:p>
    <w:p w:rsidR="001F3E92" w:rsidRPr="001F3E92" w:rsidRDefault="001F3E92" w:rsidP="001F3E92">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1F3E92" w:rsidRPr="001F3E92" w:rsidTr="002C3178">
        <w:trPr>
          <w:trHeight w:val="398"/>
        </w:trPr>
        <w:tc>
          <w:tcPr>
            <w:tcW w:w="2381"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Oficio</w:t>
            </w:r>
          </w:p>
        </w:tc>
        <w:tc>
          <w:tcPr>
            <w:tcW w:w="5930"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Asunto</w:t>
            </w:r>
          </w:p>
        </w:tc>
      </w:tr>
      <w:tr w:rsidR="001F3E92" w:rsidRPr="001F3E92" w:rsidTr="002C3178">
        <w:tc>
          <w:tcPr>
            <w:tcW w:w="2381" w:type="dxa"/>
            <w:shd w:val="clear" w:color="auto" w:fill="auto"/>
          </w:tcPr>
          <w:p w:rsidR="001F3E92" w:rsidRPr="001F3E92" w:rsidRDefault="001F3E92" w:rsidP="001F3E92">
            <w:pPr>
              <w:jc w:val="both"/>
              <w:rPr>
                <w:rFonts w:ascii="Arial" w:hAnsi="Arial" w:cs="Arial"/>
                <w:sz w:val="22"/>
                <w:szCs w:val="22"/>
                <w:lang w:val="es-CR"/>
              </w:rPr>
            </w:pPr>
            <w:r w:rsidRPr="001F3E92">
              <w:rPr>
                <w:rFonts w:ascii="Arial" w:hAnsi="Arial" w:cs="Arial"/>
                <w:sz w:val="22"/>
                <w:szCs w:val="22"/>
                <w:lang w:val="es-CR"/>
              </w:rPr>
              <w:t>CE-128-2007, del 23-11-2016 de la Asamblea Legislativa</w:t>
            </w:r>
          </w:p>
        </w:tc>
        <w:tc>
          <w:tcPr>
            <w:tcW w:w="5930" w:type="dxa"/>
            <w:shd w:val="clear" w:color="auto" w:fill="auto"/>
          </w:tcPr>
          <w:p w:rsidR="001F3E92" w:rsidRPr="001F3E92" w:rsidRDefault="001F3E92" w:rsidP="001F3E92">
            <w:pPr>
              <w:jc w:val="both"/>
              <w:rPr>
                <w:rFonts w:ascii="Arial" w:hAnsi="Arial" w:cs="Arial"/>
                <w:sz w:val="22"/>
                <w:szCs w:val="22"/>
              </w:rPr>
            </w:pPr>
            <w:r w:rsidRPr="001F3E92">
              <w:rPr>
                <w:rFonts w:ascii="Arial" w:eastAsia="Cambria" w:hAnsi="Arial" w:cs="Arial"/>
                <w:bCs/>
                <w:iCs/>
                <w:sz w:val="22"/>
                <w:szCs w:val="22"/>
                <w:lang w:val="es-ES_tradnl" w:eastAsia="en-US"/>
              </w:rPr>
              <w:t xml:space="preserve">Solicitud de criterio al Instituto Tecnológico de Costa Rica sobre el Proyecto de Ley </w:t>
            </w:r>
            <w:r w:rsidRPr="001F3E92">
              <w:rPr>
                <w:rFonts w:ascii="Arial" w:hAnsi="Arial" w:cs="Arial"/>
                <w:b/>
                <w:lang w:val="es-CR"/>
              </w:rPr>
              <w:t>“</w:t>
            </w:r>
            <w:r w:rsidRPr="001F3E92">
              <w:rPr>
                <w:rFonts w:ascii="Arial" w:eastAsia="Cambria" w:hAnsi="Arial" w:cs="Arial"/>
                <w:bCs/>
                <w:iCs/>
                <w:sz w:val="22"/>
                <w:szCs w:val="22"/>
                <w:lang w:val="es-ES_tradnl" w:eastAsia="en-US"/>
              </w:rPr>
              <w:t xml:space="preserve">Fideicomiso de Obra Pública para Rehabilitación, Ampliación y Mantenimiento de la Ruta Nacional No 32, entre el Estadio Ricardo </w:t>
            </w:r>
            <w:proofErr w:type="spellStart"/>
            <w:r w:rsidRPr="001F3E92">
              <w:rPr>
                <w:rFonts w:ascii="Arial" w:eastAsia="Cambria" w:hAnsi="Arial" w:cs="Arial"/>
                <w:bCs/>
                <w:iCs/>
                <w:sz w:val="22"/>
                <w:szCs w:val="22"/>
                <w:lang w:val="es-ES_tradnl" w:eastAsia="en-US"/>
              </w:rPr>
              <w:t>Saprissa</w:t>
            </w:r>
            <w:proofErr w:type="spellEnd"/>
            <w:r w:rsidRPr="001F3E92">
              <w:rPr>
                <w:rFonts w:ascii="Arial" w:eastAsia="Cambria" w:hAnsi="Arial" w:cs="Arial"/>
                <w:bCs/>
                <w:iCs/>
                <w:sz w:val="22"/>
                <w:szCs w:val="22"/>
                <w:lang w:val="es-ES_tradnl" w:eastAsia="en-US"/>
              </w:rPr>
              <w:t xml:space="preserve"> y el Cruce del Río Frío o la Construcción de una Ruta Alterna”, Expediente No. 19.159.</w:t>
            </w:r>
          </w:p>
        </w:tc>
      </w:tr>
    </w:tbl>
    <w:p w:rsidR="001F3E92" w:rsidRPr="001F3E92" w:rsidRDefault="001F3E92" w:rsidP="001F3E92">
      <w:pPr>
        <w:ind w:left="360"/>
        <w:jc w:val="both"/>
        <w:rPr>
          <w:rFonts w:ascii="Arial" w:hAnsi="Arial" w:cs="Arial"/>
          <w:b/>
          <w:sz w:val="22"/>
          <w:szCs w:val="22"/>
          <w:lang w:val="es-CR"/>
        </w:rPr>
      </w:pPr>
    </w:p>
    <w:p w:rsidR="001F3E92" w:rsidRPr="001F3E92" w:rsidRDefault="001F3E92" w:rsidP="001F3E92">
      <w:pPr>
        <w:ind w:left="360"/>
        <w:jc w:val="both"/>
        <w:rPr>
          <w:rFonts w:ascii="Arial" w:hAnsi="Arial" w:cs="Arial"/>
          <w:b/>
          <w:sz w:val="22"/>
          <w:szCs w:val="22"/>
          <w:lang w:val="es-CR"/>
        </w:rPr>
      </w:pPr>
      <w:r w:rsidRPr="001F3E92">
        <w:rPr>
          <w:rFonts w:ascii="Arial" w:hAnsi="Arial" w:cs="Arial"/>
          <w:b/>
          <w:sz w:val="22"/>
          <w:szCs w:val="22"/>
          <w:lang w:val="es-CR"/>
        </w:rPr>
        <w:t>Anexo 2</w:t>
      </w:r>
    </w:p>
    <w:p w:rsidR="001F3E92" w:rsidRPr="001F3E92" w:rsidRDefault="001F3E92" w:rsidP="001F3E92">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1F3E92" w:rsidRPr="001F3E92" w:rsidTr="002C3178">
        <w:tc>
          <w:tcPr>
            <w:tcW w:w="2334"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Oficio</w:t>
            </w:r>
          </w:p>
        </w:tc>
        <w:tc>
          <w:tcPr>
            <w:tcW w:w="5977"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Asunto</w:t>
            </w:r>
          </w:p>
        </w:tc>
      </w:tr>
      <w:tr w:rsidR="001F3E92" w:rsidRPr="001F3E92" w:rsidTr="002C3178">
        <w:tc>
          <w:tcPr>
            <w:tcW w:w="2334" w:type="dxa"/>
            <w:shd w:val="clear" w:color="auto" w:fill="auto"/>
          </w:tcPr>
          <w:p w:rsidR="001F3E92" w:rsidRPr="001F3E92" w:rsidRDefault="001F3E92" w:rsidP="001F3E92">
            <w:pPr>
              <w:jc w:val="both"/>
              <w:rPr>
                <w:rFonts w:ascii="Arial" w:hAnsi="Arial" w:cs="Arial"/>
                <w:sz w:val="22"/>
                <w:szCs w:val="22"/>
              </w:rPr>
            </w:pPr>
            <w:r w:rsidRPr="001F3E92">
              <w:rPr>
                <w:rFonts w:ascii="Arial" w:hAnsi="Arial" w:cs="Arial"/>
                <w:sz w:val="22"/>
                <w:szCs w:val="22"/>
              </w:rPr>
              <w:t>SCI-011-2017, del 18 de enero de 2017</w:t>
            </w:r>
          </w:p>
        </w:tc>
        <w:tc>
          <w:tcPr>
            <w:tcW w:w="5977" w:type="dxa"/>
            <w:shd w:val="clear" w:color="auto" w:fill="auto"/>
          </w:tcPr>
          <w:p w:rsidR="001F3E92" w:rsidRPr="001F3E92" w:rsidRDefault="001F3E92" w:rsidP="001F3E92">
            <w:pPr>
              <w:jc w:val="both"/>
              <w:rPr>
                <w:rFonts w:ascii="Arial" w:hAnsi="Arial" w:cs="Arial"/>
                <w:sz w:val="22"/>
                <w:szCs w:val="22"/>
                <w:lang w:val="es-CR"/>
              </w:rPr>
            </w:pPr>
            <w:r w:rsidRPr="001F3E92">
              <w:rPr>
                <w:rFonts w:ascii="Arial" w:hAnsi="Arial" w:cs="Arial"/>
                <w:sz w:val="22"/>
                <w:szCs w:val="22"/>
              </w:rPr>
              <w:t xml:space="preserve">Solicitud de criterio </w:t>
            </w:r>
            <w:r w:rsidRPr="001F3E92">
              <w:rPr>
                <w:rFonts w:ascii="Arial" w:eastAsia="Cambria" w:hAnsi="Arial" w:cs="Arial"/>
                <w:bCs/>
                <w:iCs/>
                <w:sz w:val="22"/>
                <w:szCs w:val="22"/>
                <w:lang w:val="es-ES_tradnl" w:eastAsia="en-US"/>
              </w:rPr>
              <w:t xml:space="preserve">a </w:t>
            </w:r>
            <w:r w:rsidRPr="001F3E92">
              <w:rPr>
                <w:rFonts w:ascii="Arial" w:hAnsi="Arial" w:cs="Arial"/>
                <w:sz w:val="22"/>
                <w:szCs w:val="22"/>
              </w:rPr>
              <w:t xml:space="preserve">la Escuela de Administración de Empresas y a la Escuela de Ingeniería en Construcción, del Proyecto de Ley “Fideicomiso de Obra Pública para Rehabilitación, Ampliación y Mantenimiento de la Ruta Nacional No 32, entre el Estadio Ricardo </w:t>
            </w:r>
            <w:proofErr w:type="spellStart"/>
            <w:r w:rsidRPr="001F3E92">
              <w:rPr>
                <w:rFonts w:ascii="Arial" w:hAnsi="Arial" w:cs="Arial"/>
                <w:sz w:val="22"/>
                <w:szCs w:val="22"/>
              </w:rPr>
              <w:t>Saprissa</w:t>
            </w:r>
            <w:proofErr w:type="spellEnd"/>
            <w:r w:rsidRPr="001F3E92">
              <w:rPr>
                <w:rFonts w:ascii="Arial" w:hAnsi="Arial" w:cs="Arial"/>
                <w:sz w:val="22"/>
                <w:szCs w:val="22"/>
              </w:rPr>
              <w:t xml:space="preserve"> y el Cruce del Río Frío o la Construcción de una Ruta Alterna”, Expediente No. 19.159</w:t>
            </w:r>
          </w:p>
        </w:tc>
      </w:tr>
    </w:tbl>
    <w:p w:rsidR="001F3E92" w:rsidRPr="001F3E92" w:rsidRDefault="001F3E92" w:rsidP="001F3E92">
      <w:pPr>
        <w:jc w:val="both"/>
        <w:rPr>
          <w:rFonts w:ascii="Arial" w:hAnsi="Arial" w:cs="Arial"/>
          <w:b/>
          <w:sz w:val="22"/>
          <w:szCs w:val="22"/>
          <w:lang w:val="es-CR"/>
        </w:rPr>
      </w:pPr>
    </w:p>
    <w:p w:rsidR="001F3E92" w:rsidRPr="001F3E92" w:rsidRDefault="001F3E92" w:rsidP="001F3E92">
      <w:pPr>
        <w:ind w:left="360"/>
        <w:jc w:val="both"/>
        <w:rPr>
          <w:rFonts w:ascii="Arial" w:hAnsi="Arial" w:cs="Arial"/>
          <w:b/>
          <w:sz w:val="22"/>
          <w:szCs w:val="22"/>
          <w:lang w:val="es-CR"/>
        </w:rPr>
      </w:pPr>
      <w:r w:rsidRPr="001F3E92">
        <w:rPr>
          <w:rFonts w:ascii="Arial" w:hAnsi="Arial" w:cs="Arial"/>
          <w:b/>
          <w:sz w:val="22"/>
          <w:szCs w:val="22"/>
          <w:lang w:val="es-CR"/>
        </w:rPr>
        <w:t>Anexo 3</w:t>
      </w:r>
    </w:p>
    <w:p w:rsidR="001F3E92" w:rsidRPr="001F3E92" w:rsidRDefault="001F3E92" w:rsidP="001F3E92">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1F3E92" w:rsidRPr="001F3E92" w:rsidTr="002C3178">
        <w:tc>
          <w:tcPr>
            <w:tcW w:w="2334"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Oficio</w:t>
            </w:r>
          </w:p>
        </w:tc>
        <w:tc>
          <w:tcPr>
            <w:tcW w:w="5977"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Asunto</w:t>
            </w:r>
          </w:p>
        </w:tc>
      </w:tr>
      <w:tr w:rsidR="001F3E92" w:rsidRPr="001F3E92" w:rsidTr="002C3178">
        <w:tc>
          <w:tcPr>
            <w:tcW w:w="2334" w:type="dxa"/>
            <w:shd w:val="clear" w:color="auto" w:fill="auto"/>
          </w:tcPr>
          <w:p w:rsidR="001F3E92" w:rsidRPr="001F3E92" w:rsidRDefault="001F3E92" w:rsidP="001F3E92">
            <w:pPr>
              <w:jc w:val="both"/>
              <w:rPr>
                <w:rFonts w:ascii="Arial" w:hAnsi="Arial" w:cs="Arial"/>
                <w:sz w:val="22"/>
                <w:szCs w:val="22"/>
              </w:rPr>
            </w:pPr>
            <w:r w:rsidRPr="001F3E92">
              <w:rPr>
                <w:rFonts w:ascii="Arial" w:hAnsi="Arial" w:cs="Arial"/>
                <w:sz w:val="22"/>
                <w:szCs w:val="22"/>
              </w:rPr>
              <w:t>CO-038-2017, del 26 de enero de 2017</w:t>
            </w:r>
          </w:p>
        </w:tc>
        <w:tc>
          <w:tcPr>
            <w:tcW w:w="5977" w:type="dxa"/>
            <w:shd w:val="clear" w:color="auto" w:fill="auto"/>
          </w:tcPr>
          <w:p w:rsidR="001F3E92" w:rsidRPr="001F3E92" w:rsidRDefault="001F3E92" w:rsidP="001F3E92">
            <w:pPr>
              <w:jc w:val="both"/>
              <w:rPr>
                <w:rFonts w:ascii="Arial" w:hAnsi="Arial" w:cs="Arial"/>
                <w:sz w:val="22"/>
                <w:szCs w:val="22"/>
              </w:rPr>
            </w:pPr>
            <w:r w:rsidRPr="001F3E92">
              <w:rPr>
                <w:rFonts w:ascii="Arial" w:hAnsi="Arial" w:cs="Arial"/>
                <w:sz w:val="22"/>
                <w:szCs w:val="22"/>
              </w:rPr>
              <w:t>Pronunciamiento de</w:t>
            </w:r>
            <w:r w:rsidRPr="001F3E92">
              <w:rPr>
                <w:rFonts w:ascii="Arial" w:eastAsia="Cambria" w:hAnsi="Arial" w:cs="Arial"/>
                <w:bCs/>
                <w:iCs/>
                <w:sz w:val="22"/>
                <w:szCs w:val="22"/>
                <w:lang w:val="es-ES_tradnl" w:eastAsia="en-US"/>
              </w:rPr>
              <w:t xml:space="preserve"> </w:t>
            </w:r>
            <w:r w:rsidRPr="001F3E92">
              <w:rPr>
                <w:rFonts w:ascii="Arial" w:hAnsi="Arial" w:cs="Arial"/>
                <w:sz w:val="22"/>
                <w:szCs w:val="22"/>
              </w:rPr>
              <w:t xml:space="preserve">la Escuela de Ingeniería en Construcción sobre el Proyecto de Ley “Fideicomiso de Obra Pública para Rehabilitación, Ampliación y Mantenimiento de la Ruta Nacional No 32, entre el Estadio Ricardo </w:t>
            </w:r>
            <w:proofErr w:type="spellStart"/>
            <w:r w:rsidRPr="001F3E92">
              <w:rPr>
                <w:rFonts w:ascii="Arial" w:hAnsi="Arial" w:cs="Arial"/>
                <w:sz w:val="22"/>
                <w:szCs w:val="22"/>
              </w:rPr>
              <w:t>Saprissa</w:t>
            </w:r>
            <w:proofErr w:type="spellEnd"/>
            <w:r w:rsidRPr="001F3E92">
              <w:rPr>
                <w:rFonts w:ascii="Arial" w:hAnsi="Arial" w:cs="Arial"/>
                <w:sz w:val="22"/>
                <w:szCs w:val="22"/>
              </w:rPr>
              <w:t xml:space="preserve"> y el Cruce del Río Frío o la Construcción de una Ruta Alterna”, Expediente No. 19.159.</w:t>
            </w:r>
          </w:p>
          <w:p w:rsidR="001F3E92" w:rsidRPr="001F3E92" w:rsidRDefault="001F3E92" w:rsidP="001F3E92">
            <w:pPr>
              <w:jc w:val="both"/>
              <w:rPr>
                <w:rFonts w:ascii="Arial" w:eastAsia="Cambria" w:hAnsi="Arial" w:cs="Arial"/>
                <w:bCs/>
                <w:iCs/>
                <w:sz w:val="22"/>
                <w:szCs w:val="22"/>
                <w:lang w:val="es-ES_tradnl" w:eastAsia="en-US"/>
              </w:rPr>
            </w:pPr>
          </w:p>
          <w:p w:rsidR="001F3E92" w:rsidRPr="001F3E92" w:rsidRDefault="001F3E92" w:rsidP="001F3E92">
            <w:pPr>
              <w:spacing w:after="160" w:line="259" w:lineRule="auto"/>
              <w:contextualSpacing/>
              <w:jc w:val="both"/>
              <w:rPr>
                <w:rFonts w:ascii="Arial" w:hAnsi="Arial" w:cs="Arial"/>
                <w:sz w:val="22"/>
                <w:szCs w:val="22"/>
              </w:rPr>
            </w:pPr>
            <w:r w:rsidRPr="001F3E92">
              <w:rPr>
                <w:rFonts w:ascii="Arial" w:hAnsi="Arial" w:cs="Arial"/>
                <w:sz w:val="22"/>
                <w:szCs w:val="22"/>
              </w:rPr>
              <w:t>Entre las observaciones expuestas en su oficio, señalan algunas en los artículos 1, 3,4, 7, 9 y 10 del Proyecto.</w:t>
            </w:r>
          </w:p>
          <w:p w:rsidR="001F3E92" w:rsidRPr="001F3E92" w:rsidRDefault="001F3E92" w:rsidP="001F3E92">
            <w:pPr>
              <w:spacing w:after="160" w:line="259" w:lineRule="auto"/>
              <w:contextualSpacing/>
              <w:jc w:val="both"/>
              <w:rPr>
                <w:rFonts w:ascii="Arial" w:hAnsi="Arial" w:cs="Arial"/>
                <w:sz w:val="22"/>
                <w:szCs w:val="22"/>
              </w:rPr>
            </w:pPr>
          </w:p>
          <w:p w:rsidR="001F3E92" w:rsidRPr="001F3E92" w:rsidRDefault="001F3E92" w:rsidP="001F3E92">
            <w:pPr>
              <w:jc w:val="both"/>
              <w:rPr>
                <w:rFonts w:ascii="Arial" w:hAnsi="Arial" w:cs="Arial"/>
                <w:sz w:val="22"/>
                <w:szCs w:val="22"/>
              </w:rPr>
            </w:pPr>
            <w:r w:rsidRPr="001F3E92">
              <w:rPr>
                <w:rFonts w:ascii="Arial" w:hAnsi="Arial" w:cs="Arial"/>
                <w:sz w:val="22"/>
                <w:szCs w:val="22"/>
              </w:rPr>
              <w:t>El Consejo Asesor no apoya el proyecto por las observaciones antes realizadas y brinda algunas recomendaciones al mismo.</w:t>
            </w:r>
          </w:p>
          <w:p w:rsidR="001F3E92" w:rsidRPr="001F3E92" w:rsidRDefault="001F3E92" w:rsidP="001F3E92">
            <w:pPr>
              <w:jc w:val="both"/>
              <w:rPr>
                <w:rFonts w:ascii="Arial" w:hAnsi="Arial" w:cs="Arial"/>
                <w:sz w:val="22"/>
                <w:szCs w:val="22"/>
              </w:rPr>
            </w:pPr>
            <w:r w:rsidRPr="001F3E92">
              <w:rPr>
                <w:rFonts w:ascii="Arial" w:hAnsi="Arial" w:cs="Arial"/>
                <w:sz w:val="22"/>
                <w:szCs w:val="22"/>
              </w:rPr>
              <w:t xml:space="preserve"> </w:t>
            </w:r>
          </w:p>
        </w:tc>
      </w:tr>
    </w:tbl>
    <w:p w:rsidR="001F3E92" w:rsidRPr="001F3E92" w:rsidRDefault="001F3E92" w:rsidP="001F3E92">
      <w:pPr>
        <w:jc w:val="both"/>
        <w:rPr>
          <w:rFonts w:ascii="Arial" w:hAnsi="Arial" w:cs="Arial"/>
          <w:b/>
          <w:sz w:val="22"/>
          <w:szCs w:val="22"/>
          <w:lang w:val="es-CR"/>
        </w:rPr>
      </w:pPr>
    </w:p>
    <w:p w:rsidR="001F3E92" w:rsidRPr="001F3E92" w:rsidRDefault="001F3E92" w:rsidP="001F3E92">
      <w:pPr>
        <w:ind w:left="360"/>
        <w:jc w:val="both"/>
        <w:rPr>
          <w:rFonts w:ascii="Arial" w:hAnsi="Arial" w:cs="Arial"/>
          <w:b/>
          <w:sz w:val="22"/>
          <w:szCs w:val="22"/>
          <w:lang w:val="es-CR"/>
        </w:rPr>
      </w:pPr>
      <w:r w:rsidRPr="001F3E92">
        <w:rPr>
          <w:rFonts w:ascii="Arial" w:hAnsi="Arial" w:cs="Arial"/>
          <w:b/>
          <w:sz w:val="22"/>
          <w:szCs w:val="22"/>
          <w:lang w:val="es-CR"/>
        </w:rPr>
        <w:t>Anexo 4</w:t>
      </w:r>
    </w:p>
    <w:p w:rsidR="001F3E92" w:rsidRPr="001F3E92" w:rsidRDefault="001F3E92" w:rsidP="001F3E92">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1F3E92" w:rsidRPr="001F3E92" w:rsidTr="002C3178">
        <w:tc>
          <w:tcPr>
            <w:tcW w:w="2334"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Oficio</w:t>
            </w:r>
          </w:p>
        </w:tc>
        <w:tc>
          <w:tcPr>
            <w:tcW w:w="5977" w:type="dxa"/>
            <w:shd w:val="clear" w:color="auto" w:fill="auto"/>
          </w:tcPr>
          <w:p w:rsidR="001F3E92" w:rsidRPr="001F3E92" w:rsidRDefault="001F3E92" w:rsidP="001F3E92">
            <w:pPr>
              <w:jc w:val="center"/>
              <w:rPr>
                <w:rFonts w:ascii="Arial" w:hAnsi="Arial" w:cs="Arial"/>
                <w:sz w:val="22"/>
                <w:szCs w:val="22"/>
              </w:rPr>
            </w:pPr>
            <w:r w:rsidRPr="001F3E92">
              <w:rPr>
                <w:rFonts w:ascii="Arial" w:hAnsi="Arial" w:cs="Arial"/>
                <w:sz w:val="22"/>
                <w:szCs w:val="22"/>
              </w:rPr>
              <w:t>Asunto</w:t>
            </w:r>
          </w:p>
        </w:tc>
      </w:tr>
      <w:tr w:rsidR="001F3E92" w:rsidRPr="001F3E92" w:rsidTr="002C3178">
        <w:tc>
          <w:tcPr>
            <w:tcW w:w="2334" w:type="dxa"/>
            <w:shd w:val="clear" w:color="auto" w:fill="auto"/>
          </w:tcPr>
          <w:p w:rsidR="001F3E92" w:rsidRPr="001F3E92" w:rsidRDefault="001F3E92" w:rsidP="001F3E92">
            <w:pPr>
              <w:jc w:val="both"/>
              <w:rPr>
                <w:rFonts w:ascii="Arial" w:hAnsi="Arial" w:cs="Arial"/>
                <w:sz w:val="22"/>
                <w:szCs w:val="22"/>
              </w:rPr>
            </w:pPr>
            <w:r w:rsidRPr="001F3E92">
              <w:rPr>
                <w:rFonts w:ascii="Arial" w:hAnsi="Arial" w:cs="Arial"/>
                <w:sz w:val="22"/>
                <w:szCs w:val="22"/>
              </w:rPr>
              <w:t>AE-115-2017, del 30 de marzo de 2017</w:t>
            </w:r>
          </w:p>
        </w:tc>
        <w:tc>
          <w:tcPr>
            <w:tcW w:w="5977" w:type="dxa"/>
            <w:shd w:val="clear" w:color="auto" w:fill="auto"/>
          </w:tcPr>
          <w:p w:rsidR="001F3E92" w:rsidRPr="001F3E92" w:rsidRDefault="001F3E92" w:rsidP="001F3E92">
            <w:pPr>
              <w:jc w:val="both"/>
              <w:rPr>
                <w:rFonts w:ascii="Arial" w:eastAsia="Cambria" w:hAnsi="Arial" w:cs="Arial"/>
                <w:bCs/>
                <w:iCs/>
                <w:sz w:val="22"/>
                <w:szCs w:val="22"/>
                <w:lang w:val="es-ES_tradnl" w:eastAsia="en-US"/>
              </w:rPr>
            </w:pPr>
            <w:r w:rsidRPr="001F3E92">
              <w:rPr>
                <w:rFonts w:ascii="Arial" w:hAnsi="Arial" w:cs="Arial"/>
                <w:sz w:val="22"/>
                <w:szCs w:val="22"/>
              </w:rPr>
              <w:t xml:space="preserve">Pronunciamiento </w:t>
            </w:r>
            <w:r w:rsidRPr="001F3E92">
              <w:rPr>
                <w:rFonts w:ascii="Arial" w:eastAsia="Cambria" w:hAnsi="Arial" w:cs="Arial"/>
                <w:bCs/>
                <w:iCs/>
                <w:sz w:val="22"/>
                <w:szCs w:val="22"/>
                <w:lang w:val="es-ES_tradnl" w:eastAsia="en-US"/>
              </w:rPr>
              <w:t xml:space="preserve">de la Escuela de Administración de Empresas sobre el Proyecto de Ley </w:t>
            </w:r>
            <w:r w:rsidRPr="001F3E92">
              <w:rPr>
                <w:rFonts w:ascii="Arial" w:hAnsi="Arial" w:cs="Arial"/>
                <w:sz w:val="22"/>
                <w:szCs w:val="22"/>
              </w:rPr>
              <w:t xml:space="preserve">“Fideicomiso de Obra </w:t>
            </w:r>
            <w:r w:rsidRPr="001F3E92">
              <w:rPr>
                <w:rFonts w:ascii="Arial" w:hAnsi="Arial" w:cs="Arial"/>
                <w:sz w:val="22"/>
                <w:szCs w:val="22"/>
              </w:rPr>
              <w:lastRenderedPageBreak/>
              <w:t xml:space="preserve">Pública para Rehabilitación, Ampliación y Mantenimiento de la Ruta Nacional No 32, entre el Estadio Ricardo </w:t>
            </w:r>
            <w:proofErr w:type="spellStart"/>
            <w:r w:rsidRPr="001F3E92">
              <w:rPr>
                <w:rFonts w:ascii="Arial" w:hAnsi="Arial" w:cs="Arial"/>
                <w:sz w:val="22"/>
                <w:szCs w:val="22"/>
              </w:rPr>
              <w:t>Saprissa</w:t>
            </w:r>
            <w:proofErr w:type="spellEnd"/>
            <w:r w:rsidRPr="001F3E92">
              <w:rPr>
                <w:rFonts w:ascii="Arial" w:hAnsi="Arial" w:cs="Arial"/>
                <w:sz w:val="22"/>
                <w:szCs w:val="22"/>
              </w:rPr>
              <w:t xml:space="preserve"> y el Cruce del Río Frío o la Construcción de una Ruta Alterna”, Expediente No. 19.159</w:t>
            </w:r>
          </w:p>
          <w:p w:rsidR="001F3E92" w:rsidRPr="001F3E92" w:rsidRDefault="001F3E92" w:rsidP="001F3E92">
            <w:pPr>
              <w:jc w:val="both"/>
              <w:rPr>
                <w:rFonts w:ascii="Arial" w:hAnsi="Arial" w:cs="Arial"/>
                <w:sz w:val="22"/>
                <w:szCs w:val="22"/>
              </w:rPr>
            </w:pPr>
          </w:p>
          <w:p w:rsidR="001F3E92" w:rsidRPr="001F3E92" w:rsidRDefault="001F3E92" w:rsidP="001F3E92">
            <w:pPr>
              <w:jc w:val="both"/>
              <w:rPr>
                <w:rFonts w:ascii="Arial" w:hAnsi="Arial" w:cs="Arial"/>
                <w:sz w:val="22"/>
                <w:szCs w:val="22"/>
              </w:rPr>
            </w:pPr>
            <w:r w:rsidRPr="001F3E92">
              <w:rPr>
                <w:rFonts w:ascii="Arial" w:hAnsi="Arial" w:cs="Arial"/>
                <w:sz w:val="22"/>
                <w:szCs w:val="22"/>
              </w:rPr>
              <w:t>Emiten observaciones al proyecto e indican rendir dictamen positivo al texto sustitutivo del proyecto y que no atenta contra la Autonomía Universitaria.</w:t>
            </w:r>
          </w:p>
          <w:p w:rsidR="001F3E92" w:rsidRPr="001F3E92" w:rsidRDefault="001F3E92" w:rsidP="001F3E92">
            <w:pPr>
              <w:jc w:val="both"/>
              <w:rPr>
                <w:rFonts w:ascii="Arial" w:hAnsi="Arial" w:cs="Arial"/>
                <w:sz w:val="22"/>
                <w:szCs w:val="22"/>
                <w:lang w:val="es-CR"/>
              </w:rPr>
            </w:pPr>
          </w:p>
        </w:tc>
      </w:tr>
    </w:tbl>
    <w:p w:rsidR="001F3E92" w:rsidRPr="001F3E92" w:rsidRDefault="001F3E92" w:rsidP="001F3E92">
      <w:pPr>
        <w:jc w:val="both"/>
        <w:rPr>
          <w:rFonts w:ascii="Arial" w:hAnsi="Arial" w:cs="Arial"/>
          <w:b/>
          <w:sz w:val="22"/>
          <w:szCs w:val="22"/>
          <w:lang w:val="es-CR"/>
        </w:rPr>
      </w:pPr>
    </w:p>
    <w:p w:rsidR="001F3E92" w:rsidRPr="001F3E92" w:rsidRDefault="001F3E92" w:rsidP="001F3E92">
      <w:pPr>
        <w:ind w:left="426"/>
        <w:jc w:val="both"/>
        <w:rPr>
          <w:rFonts w:ascii="Arial" w:hAnsi="Arial" w:cs="Arial"/>
          <w:b/>
          <w:lang w:val="es-CR"/>
        </w:rPr>
      </w:pPr>
      <w:r w:rsidRPr="001F3E92">
        <w:rPr>
          <w:rFonts w:ascii="Arial" w:hAnsi="Arial" w:cs="Arial"/>
          <w:b/>
          <w:lang w:val="es-CR"/>
        </w:rPr>
        <w:t>SE</w:t>
      </w:r>
      <w:r w:rsidR="00530CF9">
        <w:rPr>
          <w:rFonts w:ascii="Arial" w:hAnsi="Arial" w:cs="Arial"/>
          <w:b/>
          <w:lang w:val="es-CR"/>
        </w:rPr>
        <w:t xml:space="preserve"> ACUERDA</w:t>
      </w:r>
      <w:r w:rsidRPr="001F3E92">
        <w:rPr>
          <w:rFonts w:ascii="Arial" w:hAnsi="Arial" w:cs="Arial"/>
          <w:b/>
          <w:lang w:val="es-CR"/>
        </w:rPr>
        <w:t>:</w:t>
      </w:r>
    </w:p>
    <w:p w:rsidR="001F3E92" w:rsidRPr="001F3E92" w:rsidRDefault="001F3E92" w:rsidP="001F3E92">
      <w:pPr>
        <w:jc w:val="both"/>
        <w:rPr>
          <w:rFonts w:ascii="Arial" w:hAnsi="Arial" w:cs="Arial"/>
        </w:rPr>
      </w:pPr>
    </w:p>
    <w:p w:rsidR="001F3E92" w:rsidRPr="001F3E92" w:rsidRDefault="001F3E92" w:rsidP="001F3E92">
      <w:pPr>
        <w:numPr>
          <w:ilvl w:val="0"/>
          <w:numId w:val="21"/>
        </w:numPr>
        <w:jc w:val="both"/>
        <w:rPr>
          <w:rFonts w:ascii="Arial" w:eastAsia="Cambria" w:hAnsi="Arial" w:cs="Arial"/>
          <w:lang w:eastAsia="en-US"/>
        </w:rPr>
      </w:pPr>
      <w:r w:rsidRPr="001F3E92">
        <w:rPr>
          <w:rFonts w:ascii="Arial" w:eastAsia="Cambria" w:hAnsi="Arial" w:cs="Arial"/>
          <w:lang w:eastAsia="en-US"/>
        </w:rPr>
        <w:softHyphen/>
      </w:r>
      <w:r w:rsidRPr="001F3E92">
        <w:rPr>
          <w:rFonts w:ascii="Arial" w:eastAsia="Cambria" w:hAnsi="Arial" w:cs="Arial"/>
          <w:lang w:eastAsia="en-US"/>
        </w:rPr>
        <w:softHyphen/>
      </w:r>
      <w:r w:rsidRPr="001F3E92">
        <w:rPr>
          <w:rFonts w:ascii="Arial" w:eastAsia="Cambria" w:hAnsi="Arial" w:cs="Arial"/>
          <w:lang w:eastAsia="en-US"/>
        </w:rPr>
        <w:softHyphen/>
      </w:r>
      <w:r w:rsidRPr="001F3E92">
        <w:rPr>
          <w:rFonts w:ascii="Arial" w:eastAsia="Cambria" w:hAnsi="Arial" w:cs="Arial"/>
          <w:lang w:eastAsia="en-US"/>
        </w:rPr>
        <w:softHyphen/>
      </w:r>
      <w:r w:rsidRPr="001F3E92">
        <w:rPr>
          <w:rFonts w:ascii="Arial" w:eastAsia="Cambria" w:hAnsi="Arial" w:cs="Arial"/>
          <w:lang w:eastAsia="en-US"/>
        </w:rPr>
        <w:softHyphen/>
      </w:r>
      <w:r w:rsidRPr="001F3E92">
        <w:rPr>
          <w:rFonts w:ascii="Arial" w:eastAsia="Cambria" w:hAnsi="Arial" w:cs="Arial"/>
          <w:lang w:eastAsia="en-US"/>
        </w:rPr>
        <w:softHyphen/>
        <w:t>Apoyar el Proyecto de Ley “Fortalecimiento del control presupuestario de los órganos desconcentrados del gobierno central”, Expediente No. 19.159.</w:t>
      </w:r>
    </w:p>
    <w:p w:rsidR="001F3E92" w:rsidRPr="001F3E92" w:rsidRDefault="001F3E92" w:rsidP="001F3E92">
      <w:pPr>
        <w:ind w:left="720"/>
        <w:jc w:val="both"/>
        <w:rPr>
          <w:rFonts w:ascii="Arial" w:eastAsia="Cambria" w:hAnsi="Arial" w:cs="Arial"/>
          <w:lang w:eastAsia="en-US"/>
        </w:rPr>
      </w:pPr>
    </w:p>
    <w:p w:rsidR="001F3E92" w:rsidRPr="00530CF9" w:rsidRDefault="001F3E92" w:rsidP="00530CF9">
      <w:pPr>
        <w:numPr>
          <w:ilvl w:val="0"/>
          <w:numId w:val="21"/>
        </w:numPr>
        <w:jc w:val="both"/>
        <w:rPr>
          <w:rFonts w:ascii="Arial" w:eastAsia="Cambria" w:hAnsi="Arial" w:cs="Arial"/>
          <w:lang w:eastAsia="en-US"/>
        </w:rPr>
      </w:pPr>
      <w:r w:rsidRPr="00530CF9">
        <w:rPr>
          <w:rFonts w:ascii="Arial" w:eastAsia="Cambria" w:hAnsi="Arial" w:cs="Arial"/>
          <w:lang w:eastAsia="en-US"/>
        </w:rPr>
        <w:t>Solicitar a la Comisión Especial Investigadora de Limón, siempre que se consideren las recomendaciones emitidas por los entes consultados de esta Institución. (Ver Anexo</w:t>
      </w:r>
      <w:r w:rsidR="000B624C">
        <w:rPr>
          <w:rFonts w:ascii="Arial" w:eastAsia="Cambria" w:hAnsi="Arial" w:cs="Arial"/>
          <w:lang w:eastAsia="en-US"/>
        </w:rPr>
        <w:t>s 3 y 4</w:t>
      </w:r>
      <w:r w:rsidRPr="00530CF9">
        <w:rPr>
          <w:rFonts w:ascii="Arial" w:eastAsia="Cambria" w:hAnsi="Arial" w:cs="Arial"/>
          <w:lang w:eastAsia="en-US"/>
        </w:rPr>
        <w:t xml:space="preserve">) </w:t>
      </w:r>
    </w:p>
    <w:p w:rsidR="00DC4940" w:rsidRPr="006C4FFB" w:rsidRDefault="00DC4940" w:rsidP="006C4FFB">
      <w:pPr>
        <w:rPr>
          <w:rFonts w:ascii="Arial" w:hAnsi="Arial" w:cs="Arial"/>
          <w:lang w:eastAsia="en-US"/>
        </w:rPr>
      </w:pPr>
    </w:p>
    <w:p w:rsidR="00CB682F" w:rsidRDefault="007742A1" w:rsidP="00530CF9">
      <w:pPr>
        <w:numPr>
          <w:ilvl w:val="0"/>
          <w:numId w:val="21"/>
        </w:numPr>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530CF9" w:rsidRDefault="00530CF9" w:rsidP="0026727D">
      <w:pPr>
        <w:autoSpaceDE w:val="0"/>
        <w:autoSpaceDN w:val="0"/>
        <w:adjustRightInd w:val="0"/>
        <w:ind w:left="284"/>
        <w:jc w:val="both"/>
        <w:rPr>
          <w:rFonts w:ascii="Arial" w:hAnsi="Arial" w:cs="Arial"/>
          <w:b/>
          <w:lang w:val="es-CR"/>
        </w:rPr>
      </w:pPr>
    </w:p>
    <w:p w:rsidR="00530CF9" w:rsidRPr="001F3E92" w:rsidRDefault="00530CF9" w:rsidP="00530CF9">
      <w:pPr>
        <w:autoSpaceDE w:val="0"/>
        <w:autoSpaceDN w:val="0"/>
        <w:adjustRightInd w:val="0"/>
        <w:ind w:right="-91"/>
        <w:jc w:val="both"/>
        <w:rPr>
          <w:rFonts w:ascii="Arial" w:eastAsia="Cambria" w:hAnsi="Arial" w:cs="Arial"/>
          <w:b/>
          <w:lang w:val="es-CR" w:eastAsia="en-US"/>
        </w:rPr>
      </w:pPr>
      <w:r w:rsidRPr="001F3E92">
        <w:rPr>
          <w:rFonts w:ascii="Arial" w:hAnsi="Arial" w:cs="Arial"/>
          <w:b/>
          <w:sz w:val="20"/>
          <w:szCs w:val="20"/>
          <w:lang w:val="es-CR"/>
        </w:rPr>
        <w:t>PALABRAS CLAVE:   Proyecto-</w:t>
      </w:r>
      <w:r w:rsidRPr="001F3E92">
        <w:rPr>
          <w:rFonts w:ascii="Arial" w:hAnsi="Arial" w:cs="Arial"/>
          <w:b/>
          <w:sz w:val="22"/>
          <w:szCs w:val="22"/>
          <w:lang w:val="es-CR"/>
        </w:rPr>
        <w:t>Ley-Fideicomiso-Obra-Pública-19.159</w:t>
      </w:r>
    </w:p>
    <w:p w:rsidR="00530CF9" w:rsidRPr="001F3E92" w:rsidRDefault="00530CF9" w:rsidP="00530CF9">
      <w:pPr>
        <w:jc w:val="both"/>
        <w:rPr>
          <w:rFonts w:ascii="Arial" w:hAnsi="Arial" w:cs="Arial"/>
          <w:lang w:val="es-CR"/>
        </w:rPr>
      </w:pPr>
    </w:p>
    <w:p w:rsidR="00530CF9" w:rsidRPr="001F3E92" w:rsidRDefault="00530CF9" w:rsidP="00530CF9">
      <w:pPr>
        <w:jc w:val="both"/>
        <w:rPr>
          <w:rFonts w:ascii="Arial" w:hAnsi="Arial" w:cs="Arial"/>
          <w:lang w:val="es-CR"/>
        </w:rPr>
      </w:pPr>
    </w:p>
    <w:p w:rsidR="00474B22" w:rsidRPr="00DC4940" w:rsidRDefault="00474B22" w:rsidP="00B63D1C">
      <w:pPr>
        <w:autoSpaceDE w:val="0"/>
        <w:autoSpaceDN w:val="0"/>
        <w:adjustRightInd w:val="0"/>
        <w:jc w:val="both"/>
        <w:rPr>
          <w:rFonts w:ascii="Arial" w:eastAsia="Cambria"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34046D" w:rsidRPr="00474B22" w:rsidTr="00D17F37">
        <w:trPr>
          <w:trHeight w:val="183"/>
        </w:trPr>
        <w:tc>
          <w:tcPr>
            <w:tcW w:w="4361" w:type="dxa"/>
          </w:tcPr>
          <w:p w:rsidR="0034046D" w:rsidRPr="00474B22" w:rsidRDefault="0034046D" w:rsidP="00D17F37">
            <w:pPr>
              <w:ind w:left="-567" w:firstLine="567"/>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5103" w:type="dxa"/>
            <w:gridSpan w:val="2"/>
          </w:tcPr>
          <w:p w:rsidR="0034046D" w:rsidRPr="00474B22" w:rsidRDefault="0034046D" w:rsidP="00D17F37">
            <w:pPr>
              <w:jc w:val="both"/>
              <w:rPr>
                <w:rFonts w:ascii="Arial" w:eastAsia="Cambria" w:hAnsi="Arial" w:cs="Arial"/>
                <w:b/>
                <w:sz w:val="16"/>
                <w:szCs w:val="16"/>
                <w:lang w:val="es-ES_tradnl" w:eastAsia="en-US"/>
              </w:rPr>
            </w:pPr>
          </w:p>
        </w:tc>
      </w:tr>
      <w:tr w:rsidR="0034046D" w:rsidRPr="00474B22" w:rsidTr="00D17F37">
        <w:trPr>
          <w:gridAfter w:val="1"/>
          <w:wAfter w:w="4361" w:type="dxa"/>
          <w:trHeight w:val="183"/>
        </w:trPr>
        <w:tc>
          <w:tcPr>
            <w:tcW w:w="4361" w:type="dxa"/>
          </w:tcPr>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VIESA</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34046D" w:rsidRPr="00474B22" w:rsidRDefault="0034046D" w:rsidP="00D17F37">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34046D" w:rsidRPr="00474B22" w:rsidRDefault="0034046D" w:rsidP="00D17F37">
            <w:pPr>
              <w:ind w:left="-567" w:firstLine="567"/>
              <w:jc w:val="both"/>
              <w:rPr>
                <w:rFonts w:ascii="Arial" w:eastAsia="Cambria" w:hAnsi="Arial" w:cs="Arial"/>
                <w:b/>
                <w:sz w:val="16"/>
                <w:szCs w:val="16"/>
                <w:lang w:val="es-ES_tradnl" w:eastAsia="en-US"/>
              </w:rPr>
            </w:pPr>
          </w:p>
          <w:p w:rsidR="0034046D" w:rsidRPr="00474B22" w:rsidRDefault="0034046D" w:rsidP="00D17F37">
            <w:pPr>
              <w:ind w:left="-567" w:firstLine="567"/>
              <w:jc w:val="both"/>
              <w:rPr>
                <w:rFonts w:ascii="Arial" w:eastAsia="Cambria" w:hAnsi="Arial" w:cs="Arial"/>
                <w:b/>
                <w:sz w:val="16"/>
                <w:szCs w:val="16"/>
                <w:lang w:val="es-ES_tradnl" w:eastAsia="en-US"/>
              </w:rPr>
            </w:pPr>
          </w:p>
          <w:p w:rsidR="0034046D" w:rsidRPr="00474B22" w:rsidRDefault="0034046D" w:rsidP="00D17F37">
            <w:pPr>
              <w:ind w:left="-567" w:firstLine="567"/>
              <w:jc w:val="both"/>
              <w:rPr>
                <w:rFonts w:ascii="Arial" w:eastAsia="Cambria" w:hAnsi="Arial" w:cs="Arial"/>
                <w:b/>
                <w:sz w:val="16"/>
                <w:szCs w:val="16"/>
                <w:lang w:val="es-ES_tradnl"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p w:rsidR="0034046D" w:rsidRPr="00474B22" w:rsidRDefault="0034046D" w:rsidP="00D17F37">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34046D" w:rsidRPr="00474B22" w:rsidRDefault="0034046D" w:rsidP="00D17F3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34046D" w:rsidRPr="00474B22" w:rsidRDefault="0034046D" w:rsidP="00D17F37">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34046D" w:rsidRDefault="0034046D" w:rsidP="00D17F37">
            <w:pPr>
              <w:rPr>
                <w:rFonts w:ascii="Arial" w:eastAsia="Cambria" w:hAnsi="Arial" w:cs="Arial"/>
                <w:b/>
                <w:sz w:val="16"/>
                <w:szCs w:val="16"/>
                <w:lang w:val="es-CR" w:eastAsia="en-US"/>
              </w:rPr>
            </w:pPr>
            <w:proofErr w:type="spellStart"/>
            <w:r w:rsidRPr="00474B22">
              <w:rPr>
                <w:rFonts w:ascii="Arial" w:eastAsia="Cambria" w:hAnsi="Arial" w:cs="Arial"/>
                <w:b/>
                <w:sz w:val="16"/>
                <w:szCs w:val="16"/>
                <w:lang w:val="es-CR" w:eastAsia="en-US"/>
              </w:rPr>
              <w:t>FEITEC</w:t>
            </w:r>
            <w:proofErr w:type="spellEnd"/>
          </w:p>
          <w:p w:rsidR="00530CF9" w:rsidRDefault="00530CF9" w:rsidP="00D17F37">
            <w:pPr>
              <w:rPr>
                <w:rFonts w:ascii="Arial" w:eastAsia="Cambria" w:hAnsi="Arial" w:cs="Arial"/>
                <w:b/>
                <w:sz w:val="16"/>
                <w:szCs w:val="16"/>
                <w:lang w:val="es-CR" w:eastAsia="en-US"/>
              </w:rPr>
            </w:pPr>
            <w:r>
              <w:rPr>
                <w:rFonts w:ascii="Arial" w:eastAsia="Cambria" w:hAnsi="Arial" w:cs="Arial"/>
                <w:b/>
                <w:sz w:val="16"/>
                <w:szCs w:val="16"/>
                <w:lang w:val="es-CR" w:eastAsia="en-US"/>
              </w:rPr>
              <w:t>Ing. Gustavo Rojas, Director Escuela Construcción</w:t>
            </w:r>
          </w:p>
          <w:p w:rsidR="00530CF9" w:rsidRPr="00474B22" w:rsidRDefault="00530CF9" w:rsidP="00D17F37">
            <w:pPr>
              <w:rPr>
                <w:rFonts w:ascii="Arial" w:eastAsia="Cambria" w:hAnsi="Arial" w:cs="Arial"/>
                <w:b/>
                <w:sz w:val="16"/>
                <w:szCs w:val="16"/>
                <w:lang w:val="es-CR" w:eastAsia="en-US"/>
              </w:rPr>
            </w:pPr>
            <w:r>
              <w:rPr>
                <w:rFonts w:ascii="Arial" w:eastAsia="Cambria" w:hAnsi="Arial" w:cs="Arial"/>
                <w:b/>
                <w:sz w:val="16"/>
                <w:szCs w:val="16"/>
                <w:lang w:val="es-CR" w:eastAsia="en-US"/>
              </w:rPr>
              <w:t xml:space="preserve">Dr. Alejandro Masís, Director Escuela Administración de Empresas </w:t>
            </w:r>
          </w:p>
          <w:p w:rsidR="0034046D" w:rsidRPr="00474B22" w:rsidRDefault="0034046D" w:rsidP="001F3E92">
            <w:pPr>
              <w:keepLines/>
              <w:jc w:val="both"/>
              <w:rPr>
                <w:rFonts w:ascii="Arial" w:eastAsia="Cambria" w:hAnsi="Arial" w:cs="Arial"/>
                <w:b/>
                <w:sz w:val="16"/>
                <w:szCs w:val="16"/>
                <w:lang w:val="es-CR" w:eastAsia="en-US"/>
              </w:rPr>
            </w:pPr>
          </w:p>
        </w:tc>
        <w:tc>
          <w:tcPr>
            <w:tcW w:w="4361" w:type="dxa"/>
          </w:tcPr>
          <w:p w:rsidR="0034046D" w:rsidRPr="00474B22" w:rsidRDefault="0034046D" w:rsidP="00D17F37">
            <w:pPr>
              <w:jc w:val="both"/>
              <w:rPr>
                <w:rFonts w:ascii="Arial" w:eastAsia="Cambria" w:hAnsi="Arial" w:cs="Arial"/>
                <w:b/>
                <w:sz w:val="16"/>
                <w:szCs w:val="16"/>
                <w:lang w:val="es-ES_tradnl" w:eastAsia="en-US"/>
              </w:rPr>
            </w:pPr>
          </w:p>
        </w:tc>
        <w:tc>
          <w:tcPr>
            <w:tcW w:w="5103" w:type="dxa"/>
            <w:gridSpan w:val="2"/>
          </w:tcPr>
          <w:p w:rsidR="0034046D" w:rsidRPr="00474B22" w:rsidRDefault="0034046D" w:rsidP="00D17F37">
            <w:pPr>
              <w:jc w:val="both"/>
              <w:rPr>
                <w:rFonts w:ascii="Arial" w:eastAsia="Cambria" w:hAnsi="Arial" w:cs="Arial"/>
                <w:b/>
                <w:sz w:val="16"/>
                <w:szCs w:val="16"/>
                <w:lang w:val="es-ES_tradnl" w:eastAsia="en-US"/>
              </w:rPr>
            </w:pPr>
          </w:p>
        </w:tc>
      </w:tr>
    </w:tbl>
    <w:p w:rsidR="008D0FEC" w:rsidRDefault="00530CF9" w:rsidP="008D0FEC">
      <w:pPr>
        <w:jc w:val="both"/>
        <w:rPr>
          <w:rFonts w:ascii="Arial" w:hAnsi="Arial" w:cs="Arial"/>
          <w:b/>
          <w:i/>
          <w:sz w:val="22"/>
          <w:szCs w:val="22"/>
        </w:rPr>
      </w:pPr>
      <w:r>
        <w:rPr>
          <w:rFonts w:ascii="Arial" w:hAnsi="Arial" w:cs="Arial"/>
          <w:b/>
          <w:i/>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Link" ProgID="Word.Document.8" ShapeID="_x0000_i1025" DrawAspect="Icon" r:id="rId9" UpdateMode="OnCall">
            <o:LinkType>EnhancedMetaFile</o:LinkType>
            <o:LockedField>false</o:LockedField>
            <o:FieldCodes>\f 0</o:FieldCodes>
          </o:OLEObject>
        </w:object>
      </w:r>
      <w:r w:rsidR="00DB4191">
        <w:rPr>
          <w:rFonts w:ascii="Arial" w:hAnsi="Arial" w:cs="Arial"/>
          <w:b/>
          <w:i/>
          <w:sz w:val="22"/>
          <w:szCs w:val="22"/>
        </w:rPr>
        <w:object w:dxaOrig="1513" w:dyaOrig="984">
          <v:shape id="_x0000_i1026" type="#_x0000_t75" style="width:75.6pt;height:49.2pt" o:ole="">
            <v:imagedata r:id="rId10" o:title=""/>
          </v:shape>
          <o:OLEObject Type="Link" ProgID="AcroExch.Document.11" ShapeID="_x0000_i1026" DrawAspect="Icon" r:id="rId11" UpdateMode="OnCall">
            <o:LinkType>EnhancedMetaFile</o:LinkType>
            <o:LockedField>false</o:LockedField>
            <o:FieldCodes>\f 0</o:FieldCodes>
          </o:OLEObject>
        </w:object>
      </w:r>
      <w:bookmarkStart w:id="0" w:name="_GoBack"/>
      <w:bookmarkEnd w:id="0"/>
    </w:p>
    <w:sectPr w:rsidR="008D0FEC"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86" w:rsidRDefault="008F4B86">
      <w:r>
        <w:separator/>
      </w:r>
    </w:p>
  </w:endnote>
  <w:endnote w:type="continuationSeparator" w:id="0">
    <w:p w:rsidR="008F4B86" w:rsidRDefault="008F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86" w:rsidRDefault="008F4B86">
      <w:r>
        <w:separator/>
      </w:r>
    </w:p>
  </w:footnote>
  <w:footnote w:type="continuationSeparator" w:id="0">
    <w:p w:rsidR="008F4B86" w:rsidRDefault="008F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1F3E92">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F3E92">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B419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6"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9"/>
  </w:num>
  <w:num w:numId="7">
    <w:abstractNumId w:val="3"/>
  </w:num>
  <w:num w:numId="8">
    <w:abstractNumId w:val="40"/>
  </w:num>
  <w:num w:numId="9">
    <w:abstractNumId w:val="39"/>
  </w:num>
  <w:num w:numId="10">
    <w:abstractNumId w:val="27"/>
  </w:num>
  <w:num w:numId="11">
    <w:abstractNumId w:val="34"/>
  </w:num>
  <w:num w:numId="12">
    <w:abstractNumId w:val="10"/>
  </w:num>
  <w:num w:numId="13">
    <w:abstractNumId w:val="30"/>
  </w:num>
  <w:num w:numId="14">
    <w:abstractNumId w:val="29"/>
  </w:num>
  <w:num w:numId="15">
    <w:abstractNumId w:val="32"/>
  </w:num>
  <w:num w:numId="16">
    <w:abstractNumId w:val="33"/>
  </w:num>
  <w:num w:numId="17">
    <w:abstractNumId w:val="6"/>
  </w:num>
  <w:num w:numId="18">
    <w:abstractNumId w:val="14"/>
  </w:num>
  <w:num w:numId="19">
    <w:abstractNumId w:val="20"/>
  </w:num>
  <w:num w:numId="20">
    <w:abstractNumId w:val="19"/>
  </w:num>
  <w:num w:numId="21">
    <w:abstractNumId w:val="16"/>
  </w:num>
  <w:num w:numId="22">
    <w:abstractNumId w:val="31"/>
  </w:num>
  <w:num w:numId="23">
    <w:abstractNumId w:val="15"/>
  </w:num>
  <w:num w:numId="24">
    <w:abstractNumId w:val="43"/>
  </w:num>
  <w:num w:numId="25">
    <w:abstractNumId w:val="12"/>
  </w:num>
  <w:num w:numId="26">
    <w:abstractNumId w:val="36"/>
  </w:num>
  <w:num w:numId="27">
    <w:abstractNumId w:val="7"/>
  </w:num>
  <w:num w:numId="28">
    <w:abstractNumId w:val="41"/>
  </w:num>
  <w:num w:numId="29">
    <w:abstractNumId w:val="8"/>
  </w:num>
  <w:num w:numId="30">
    <w:abstractNumId w:val="24"/>
  </w:num>
  <w:num w:numId="31">
    <w:abstractNumId w:val="28"/>
  </w:num>
  <w:num w:numId="32">
    <w:abstractNumId w:val="4"/>
  </w:num>
  <w:num w:numId="33">
    <w:abstractNumId w:val="25"/>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3"/>
  </w:num>
  <w:num w:numId="38">
    <w:abstractNumId w:val="0"/>
  </w:num>
  <w:num w:numId="39">
    <w:abstractNumId w:val="1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6"/>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F:\HPSCANS\criterio%20proyecto%20Le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file:///F:\SESIONES%202017\Sesi&#243;n%20No.%203020\Propuestas\Digitales%20Proyecto%20de%20Ley%2019.159%20SUSITTUTIVO\CO-036-2017%20Criterio%20Ley%20Ruta%2032.do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ACEC-42E9-4F95-B943-0123FBA1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74</cp:revision>
  <cp:lastPrinted>2017-04-19T19:58:00Z</cp:lastPrinted>
  <dcterms:created xsi:type="dcterms:W3CDTF">2016-10-05T20:00:00Z</dcterms:created>
  <dcterms:modified xsi:type="dcterms:W3CDTF">2017-05-03T21:20:00Z</dcterms:modified>
</cp:coreProperties>
</file>