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7742A1" w:rsidRDefault="007742A1" w:rsidP="007C024F">
      <w:pPr>
        <w:jc w:val="both"/>
        <w:rPr>
          <w:rFonts w:ascii="Arial" w:eastAsia="Calibri" w:hAnsi="Arial" w:cs="Arial"/>
          <w:b/>
        </w:rPr>
      </w:pPr>
    </w:p>
    <w:p w:rsidR="007742A1" w:rsidRPr="00D958BC" w:rsidRDefault="007742A1" w:rsidP="00353D08">
      <w:pPr>
        <w:ind w:left="284" w:hanging="142"/>
        <w:outlineLvl w:val="4"/>
        <w:rPr>
          <w:rFonts w:ascii="Arial" w:hAnsi="Arial" w:cs="Arial"/>
          <w:b/>
          <w:bCs/>
          <w:iCs/>
          <w:sz w:val="26"/>
          <w:szCs w:val="22"/>
          <w:lang w:val="es-CR"/>
        </w:rPr>
      </w:pPr>
      <w:r w:rsidRPr="00D958BC">
        <w:rPr>
          <w:rFonts w:ascii="Arial" w:hAnsi="Arial" w:cs="Arial"/>
          <w:b/>
          <w:bCs/>
          <w:iCs/>
          <w:sz w:val="26"/>
          <w:szCs w:val="22"/>
          <w:lang w:val="es-CR"/>
        </w:rPr>
        <w:t>SCI-</w:t>
      </w:r>
      <w:r w:rsidR="004C23E9">
        <w:rPr>
          <w:rFonts w:ascii="Arial" w:hAnsi="Arial" w:cs="Arial"/>
          <w:b/>
          <w:bCs/>
          <w:iCs/>
          <w:sz w:val="26"/>
          <w:szCs w:val="22"/>
          <w:lang w:val="es-CR"/>
        </w:rPr>
        <w:t>258</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D958BC" w:rsidRDefault="007742A1" w:rsidP="00353D08">
      <w:pPr>
        <w:tabs>
          <w:tab w:val="left" w:pos="6612"/>
        </w:tabs>
        <w:ind w:left="142"/>
        <w:rPr>
          <w:rFonts w:ascii="Cambria" w:eastAsia="Cambria" w:hAnsi="Cambria" w:cs="Arial"/>
          <w:bCs/>
          <w:iCs/>
          <w:sz w:val="16"/>
          <w:szCs w:val="16"/>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Layout w:type="fixed"/>
        <w:tblLook w:val="01E0" w:firstRow="1" w:lastRow="1" w:firstColumn="1" w:lastColumn="1" w:noHBand="0" w:noVBand="0"/>
      </w:tblPr>
      <w:tblGrid>
        <w:gridCol w:w="1418"/>
        <w:gridCol w:w="8221"/>
      </w:tblGrid>
      <w:tr w:rsidR="007742A1" w:rsidRPr="00D958BC" w:rsidTr="00353D08">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4C23E9" w:rsidRDefault="001E08C0"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Pr>
                <w:rFonts w:ascii="Arial" w:eastAsia="Cambria" w:hAnsi="Arial" w:cs="Arial"/>
                <w:sz w:val="22"/>
                <w:szCs w:val="22"/>
                <w:lang w:val="es-ES_tradnl" w:eastAsia="en-US"/>
              </w:rPr>
              <w:t>, Rector</w:t>
            </w:r>
          </w:p>
          <w:p w:rsidR="005D234B" w:rsidRDefault="004C23E9" w:rsidP="00BC733B">
            <w:pPr>
              <w:ind w:left="45"/>
              <w:jc w:val="both"/>
              <w:rPr>
                <w:rFonts w:ascii="Arial" w:hAnsi="Arial" w:cs="Arial"/>
                <w:sz w:val="22"/>
                <w:szCs w:val="22"/>
                <w:lang w:val="es-CR"/>
              </w:rPr>
            </w:pPr>
            <w:r w:rsidRPr="00353D08">
              <w:rPr>
                <w:rFonts w:ascii="Arial" w:hAnsi="Arial" w:cs="Arial"/>
                <w:sz w:val="22"/>
                <w:szCs w:val="22"/>
                <w:lang w:val="es-CR"/>
              </w:rPr>
              <w:t xml:space="preserve">Licda. Silvia María Jiménez </w:t>
            </w:r>
            <w:proofErr w:type="spellStart"/>
            <w:r w:rsidRPr="00353D08">
              <w:rPr>
                <w:rFonts w:ascii="Arial" w:hAnsi="Arial" w:cs="Arial"/>
                <w:sz w:val="22"/>
                <w:szCs w:val="22"/>
                <w:lang w:val="es-CR"/>
              </w:rPr>
              <w:t>Jiménez</w:t>
            </w:r>
            <w:proofErr w:type="spellEnd"/>
            <w:r w:rsidRPr="00353D08">
              <w:rPr>
                <w:rFonts w:ascii="Arial" w:hAnsi="Arial" w:cs="Arial"/>
                <w:sz w:val="22"/>
                <w:szCs w:val="22"/>
                <w:lang w:val="es-CR"/>
              </w:rPr>
              <w:t>, Encargada de la Comisión de Jurídicos</w:t>
            </w:r>
          </w:p>
          <w:p w:rsidR="004C23E9" w:rsidRDefault="004C23E9" w:rsidP="00BC733B">
            <w:pPr>
              <w:ind w:left="45"/>
              <w:jc w:val="both"/>
              <w:rPr>
                <w:rFonts w:ascii="Arial" w:hAnsi="Arial" w:cs="Arial"/>
                <w:sz w:val="22"/>
                <w:szCs w:val="22"/>
                <w:lang w:val="es-CR"/>
              </w:rPr>
            </w:pPr>
            <w:r>
              <w:rPr>
                <w:rFonts w:ascii="Arial" w:hAnsi="Arial" w:cs="Arial"/>
                <w:sz w:val="22"/>
                <w:szCs w:val="22"/>
                <w:lang w:val="es-CR"/>
              </w:rPr>
              <w:t>Asamblea Legislativa</w:t>
            </w:r>
          </w:p>
          <w:p w:rsidR="004C23E9" w:rsidRPr="004C23E9" w:rsidRDefault="004C23E9" w:rsidP="00BC733B">
            <w:pPr>
              <w:ind w:left="45"/>
              <w:jc w:val="both"/>
              <w:rPr>
                <w:rFonts w:ascii="Arial" w:eastAsia="Cambria" w:hAnsi="Arial" w:cs="Arial"/>
                <w:sz w:val="22"/>
                <w:szCs w:val="22"/>
                <w:lang w:val="es-ES_tradnl" w:eastAsia="en-US"/>
              </w:rPr>
            </w:pPr>
          </w:p>
        </w:tc>
      </w:tr>
      <w:tr w:rsidR="007742A1" w:rsidRPr="00D958BC" w:rsidTr="00353D08">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353D08">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BC733B" w:rsidP="00BC733B">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03</w:t>
            </w:r>
            <w:r w:rsidR="00A772EF">
              <w:rPr>
                <w:rFonts w:ascii="Arial" w:eastAsia="Cambria" w:hAnsi="Arial" w:cs="Arial"/>
                <w:b/>
                <w:sz w:val="22"/>
                <w:szCs w:val="22"/>
                <w:lang w:val="es-ES_tradnl" w:eastAsia="en-US"/>
              </w:rPr>
              <w:t xml:space="preserve"> </w:t>
            </w:r>
            <w:r w:rsidR="007742A1" w:rsidRPr="00D958BC">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mayo</w:t>
            </w:r>
            <w:r w:rsidR="007742A1" w:rsidRPr="00D958BC">
              <w:rPr>
                <w:rFonts w:ascii="Arial" w:eastAsia="Cambria" w:hAnsi="Arial" w:cs="Arial"/>
                <w:b/>
                <w:sz w:val="22"/>
                <w:szCs w:val="22"/>
                <w:lang w:val="es-ES_tradnl" w:eastAsia="en-US"/>
              </w:rPr>
              <w:t xml:space="preserve"> de 201</w:t>
            </w:r>
            <w:r w:rsidR="00A772EF">
              <w:rPr>
                <w:rFonts w:ascii="Arial" w:eastAsia="Cambria" w:hAnsi="Arial" w:cs="Arial"/>
                <w:b/>
                <w:sz w:val="22"/>
                <w:szCs w:val="22"/>
                <w:lang w:val="es-ES_tradnl" w:eastAsia="en-US"/>
              </w:rPr>
              <w:t>7</w:t>
            </w:r>
          </w:p>
        </w:tc>
      </w:tr>
      <w:tr w:rsidR="007742A1" w:rsidRPr="00D958BC" w:rsidTr="00353D08">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7742A1" w:rsidRPr="00D958BC" w:rsidTr="00353D08">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6F18F6" w:rsidRPr="005D234B" w:rsidRDefault="007742A1" w:rsidP="00BC733B">
            <w:pPr>
              <w:jc w:val="both"/>
              <w:rPr>
                <w:rFonts w:ascii="Arial" w:eastAsia="Cambria" w:hAnsi="Arial" w:cs="Arial"/>
                <w:b/>
                <w:sz w:val="22"/>
                <w:szCs w:val="22"/>
                <w:highlight w:val="yellow"/>
                <w:lang w:val="es-CR" w:eastAsia="en-US"/>
              </w:rPr>
            </w:pPr>
            <w:r w:rsidRPr="00D958BC">
              <w:rPr>
                <w:rFonts w:ascii="Arial" w:eastAsia="Calibri" w:hAnsi="Arial" w:cs="Arial"/>
                <w:b/>
                <w:sz w:val="22"/>
                <w:szCs w:val="22"/>
              </w:rPr>
              <w:t xml:space="preserve">Sesión Ordinaria No. </w:t>
            </w:r>
            <w:r w:rsidR="00337455">
              <w:rPr>
                <w:rFonts w:ascii="Arial" w:eastAsia="Calibri" w:hAnsi="Arial" w:cs="Arial"/>
                <w:b/>
                <w:sz w:val="22"/>
                <w:szCs w:val="22"/>
              </w:rPr>
              <w:t>30</w:t>
            </w:r>
            <w:r w:rsidR="00BC733B">
              <w:rPr>
                <w:rFonts w:ascii="Arial" w:eastAsia="Calibri" w:hAnsi="Arial" w:cs="Arial"/>
                <w:b/>
                <w:sz w:val="22"/>
                <w:szCs w:val="22"/>
              </w:rPr>
              <w:t>20</w:t>
            </w:r>
            <w:r w:rsidRPr="00D958BC">
              <w:rPr>
                <w:rFonts w:ascii="Arial" w:eastAsia="Calibri" w:hAnsi="Arial" w:cs="Arial"/>
                <w:b/>
                <w:sz w:val="22"/>
                <w:szCs w:val="22"/>
              </w:rPr>
              <w:t>, Artículo</w:t>
            </w:r>
            <w:r w:rsidR="00437F0F">
              <w:rPr>
                <w:rFonts w:ascii="Arial" w:eastAsia="Calibri" w:hAnsi="Arial" w:cs="Arial"/>
                <w:b/>
                <w:sz w:val="22"/>
                <w:szCs w:val="22"/>
              </w:rPr>
              <w:t xml:space="preserve"> </w:t>
            </w:r>
            <w:r w:rsidR="000B1A07">
              <w:rPr>
                <w:rFonts w:ascii="Arial" w:eastAsia="Calibri" w:hAnsi="Arial" w:cs="Arial"/>
                <w:b/>
                <w:sz w:val="22"/>
                <w:szCs w:val="22"/>
              </w:rPr>
              <w:t>8</w:t>
            </w:r>
            <w:r w:rsidR="00337455">
              <w:rPr>
                <w:rFonts w:ascii="Arial" w:eastAsia="Calibri" w:hAnsi="Arial" w:cs="Arial"/>
                <w:b/>
                <w:sz w:val="22"/>
                <w:szCs w:val="22"/>
              </w:rPr>
              <w:t>,</w:t>
            </w:r>
            <w:r w:rsidRPr="00D958BC">
              <w:rPr>
                <w:rFonts w:ascii="Arial" w:eastAsia="Calibri" w:hAnsi="Arial" w:cs="Arial"/>
                <w:b/>
                <w:sz w:val="22"/>
                <w:szCs w:val="22"/>
              </w:rPr>
              <w:t xml:space="preserve"> del </w:t>
            </w:r>
            <w:r w:rsidR="00BC733B">
              <w:rPr>
                <w:rFonts w:ascii="Arial" w:eastAsia="Calibri" w:hAnsi="Arial" w:cs="Arial"/>
                <w:b/>
                <w:sz w:val="22"/>
                <w:szCs w:val="22"/>
              </w:rPr>
              <w:t>03</w:t>
            </w:r>
            <w:r w:rsidRPr="00D958BC">
              <w:rPr>
                <w:rFonts w:ascii="Arial" w:eastAsia="Calibri" w:hAnsi="Arial" w:cs="Arial"/>
                <w:b/>
                <w:sz w:val="22"/>
                <w:szCs w:val="22"/>
              </w:rPr>
              <w:t xml:space="preserve"> de </w:t>
            </w:r>
            <w:r w:rsidR="00BC733B">
              <w:rPr>
                <w:rFonts w:ascii="Arial" w:eastAsia="Calibri" w:hAnsi="Arial" w:cs="Arial"/>
                <w:b/>
                <w:sz w:val="22"/>
                <w:szCs w:val="22"/>
              </w:rPr>
              <w:t>mayo</w:t>
            </w:r>
            <w:r w:rsidR="00A772EF">
              <w:rPr>
                <w:rFonts w:ascii="Arial" w:eastAsia="Calibri" w:hAnsi="Arial" w:cs="Arial"/>
                <w:b/>
                <w:sz w:val="22"/>
                <w:szCs w:val="22"/>
              </w:rPr>
              <w:t xml:space="preserve"> de 2017</w:t>
            </w:r>
            <w:r w:rsidR="001E08C0">
              <w:rPr>
                <w:rFonts w:ascii="Arial" w:eastAsia="Calibri" w:hAnsi="Arial" w:cs="Arial"/>
                <w:b/>
                <w:sz w:val="22"/>
                <w:szCs w:val="22"/>
              </w:rPr>
              <w:t xml:space="preserve">.  </w:t>
            </w:r>
            <w:r w:rsidR="00BC733B">
              <w:rPr>
                <w:rFonts w:ascii="Arial" w:eastAsia="Calibri" w:hAnsi="Arial" w:cs="Arial"/>
                <w:b/>
                <w:sz w:val="22"/>
                <w:szCs w:val="22"/>
              </w:rPr>
              <w:t>Pronunciamiento del Consejo Institucional sobre el Proyecto</w:t>
            </w:r>
            <w:r w:rsidR="00F84356">
              <w:rPr>
                <w:rFonts w:ascii="Arial" w:eastAsia="Calibri" w:hAnsi="Arial" w:cs="Arial"/>
                <w:b/>
                <w:sz w:val="22"/>
                <w:szCs w:val="22"/>
              </w:rPr>
              <w:t xml:space="preserve"> de Ley</w:t>
            </w:r>
            <w:bookmarkStart w:id="0" w:name="_GoBack"/>
            <w:bookmarkEnd w:id="0"/>
            <w:r w:rsidR="00BC733B">
              <w:rPr>
                <w:rFonts w:ascii="Arial" w:eastAsia="Calibri" w:hAnsi="Arial" w:cs="Arial"/>
                <w:b/>
                <w:sz w:val="22"/>
                <w:szCs w:val="22"/>
              </w:rPr>
              <w:t xml:space="preserve"> “Fortalecimiento del Control Presupuesto de los órganos Desconcentrados del Gobierno Central”, Expediente No. 20.203</w:t>
            </w:r>
          </w:p>
        </w:tc>
      </w:tr>
    </w:tbl>
    <w:p w:rsidR="00287232" w:rsidRDefault="00287232" w:rsidP="007742A1">
      <w:pPr>
        <w:jc w:val="both"/>
        <w:rPr>
          <w:rFonts w:ascii="Arial" w:eastAsia="Cambria" w:hAnsi="Arial" w:cs="Arial"/>
          <w:lang w:val="es-ES_tradnl" w:eastAsia="en-US"/>
        </w:rPr>
      </w:pPr>
    </w:p>
    <w:p w:rsidR="007742A1" w:rsidRDefault="007742A1" w:rsidP="001218FD">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521B94" w:rsidRDefault="00521B94" w:rsidP="007742A1">
      <w:pPr>
        <w:jc w:val="both"/>
        <w:rPr>
          <w:rFonts w:ascii="Arial" w:eastAsia="Cambria" w:hAnsi="Arial" w:cs="Arial"/>
          <w:lang w:val="es-ES_tradnl" w:eastAsia="en-US"/>
        </w:rPr>
      </w:pPr>
    </w:p>
    <w:p w:rsidR="00353D08" w:rsidRDefault="00353D08" w:rsidP="007742A1">
      <w:pPr>
        <w:jc w:val="both"/>
        <w:rPr>
          <w:rFonts w:ascii="Arial" w:eastAsia="Cambria" w:hAnsi="Arial" w:cs="Arial"/>
          <w:lang w:val="es-ES_tradnl" w:eastAsia="en-US"/>
        </w:rPr>
      </w:pPr>
    </w:p>
    <w:p w:rsidR="00353D08" w:rsidRPr="00353D08" w:rsidRDefault="00353D08" w:rsidP="001218FD">
      <w:pPr>
        <w:contextualSpacing/>
        <w:jc w:val="both"/>
        <w:outlineLvl w:val="0"/>
        <w:rPr>
          <w:rFonts w:ascii="Arial" w:hAnsi="Arial" w:cs="Arial"/>
          <w:b/>
        </w:rPr>
      </w:pPr>
      <w:r w:rsidRPr="00353D08">
        <w:rPr>
          <w:rFonts w:ascii="Arial" w:hAnsi="Arial" w:cs="Arial"/>
          <w:b/>
        </w:rPr>
        <w:t>RESULTANDO QUE:</w:t>
      </w:r>
    </w:p>
    <w:p w:rsidR="00353D08" w:rsidRPr="00353D08" w:rsidRDefault="00353D08" w:rsidP="00353D08">
      <w:pPr>
        <w:ind w:left="567"/>
        <w:contextualSpacing/>
        <w:jc w:val="both"/>
        <w:outlineLvl w:val="0"/>
        <w:rPr>
          <w:rFonts w:ascii="Arial" w:hAnsi="Arial" w:cs="Arial"/>
          <w:b/>
        </w:rPr>
      </w:pPr>
    </w:p>
    <w:p w:rsidR="00353D08" w:rsidRPr="00353D08" w:rsidRDefault="00353D08" w:rsidP="00353D08">
      <w:pPr>
        <w:numPr>
          <w:ilvl w:val="0"/>
          <w:numId w:val="9"/>
        </w:numPr>
        <w:ind w:left="360"/>
        <w:jc w:val="both"/>
        <w:rPr>
          <w:rFonts w:ascii="Arial" w:hAnsi="Arial" w:cs="Arial"/>
          <w:lang w:val="es-CR"/>
        </w:rPr>
      </w:pPr>
      <w:r w:rsidRPr="00353D08">
        <w:rPr>
          <w:rFonts w:ascii="Arial" w:hAnsi="Arial" w:cs="Arial"/>
          <w:lang w:val="es-CR"/>
        </w:rPr>
        <w:t>El Artículo 88 de la Constitución Política de la República de Costa Rica prescribe:</w:t>
      </w:r>
    </w:p>
    <w:p w:rsidR="00353D08" w:rsidRPr="00353D08" w:rsidRDefault="00353D08" w:rsidP="00353D08">
      <w:pPr>
        <w:ind w:left="360"/>
        <w:jc w:val="both"/>
        <w:rPr>
          <w:rFonts w:ascii="Arial" w:hAnsi="Arial" w:cs="Arial"/>
          <w:lang w:val="es-CR"/>
        </w:rPr>
      </w:pPr>
    </w:p>
    <w:p w:rsidR="00353D08" w:rsidRPr="00353D08" w:rsidRDefault="00353D08" w:rsidP="00353D08">
      <w:pPr>
        <w:ind w:left="1080" w:right="689"/>
        <w:jc w:val="both"/>
        <w:rPr>
          <w:rFonts w:ascii="Arial" w:hAnsi="Arial" w:cs="Arial"/>
          <w:i/>
          <w:sz w:val="22"/>
          <w:szCs w:val="22"/>
          <w:lang w:val="es-CR"/>
        </w:rPr>
      </w:pPr>
      <w:r w:rsidRPr="00353D08">
        <w:rPr>
          <w:rFonts w:ascii="Arial" w:hAnsi="Arial" w:cs="Arial"/>
          <w:i/>
          <w:sz w:val="20"/>
          <w:szCs w:val="20"/>
          <w:lang w:val="es-CR"/>
        </w:rPr>
        <w:t>“</w:t>
      </w:r>
      <w:r w:rsidRPr="00353D08">
        <w:rPr>
          <w:rFonts w:ascii="Arial" w:hAnsi="Arial" w:cs="Arial"/>
          <w:i/>
          <w:sz w:val="22"/>
          <w:szCs w:val="22"/>
          <w:lang w:val="es-CR"/>
        </w:rPr>
        <w:t>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353D08" w:rsidRPr="00353D08" w:rsidRDefault="00353D08" w:rsidP="00353D08">
      <w:pPr>
        <w:ind w:left="1080" w:right="689"/>
        <w:jc w:val="both"/>
        <w:rPr>
          <w:rFonts w:ascii="Arial" w:hAnsi="Arial" w:cs="Arial"/>
          <w:i/>
          <w:sz w:val="20"/>
          <w:szCs w:val="20"/>
          <w:lang w:val="es-CR"/>
        </w:rPr>
      </w:pPr>
    </w:p>
    <w:p w:rsidR="00353D08" w:rsidRPr="00353D08" w:rsidRDefault="00353D08" w:rsidP="00353D08">
      <w:pPr>
        <w:numPr>
          <w:ilvl w:val="0"/>
          <w:numId w:val="9"/>
        </w:numPr>
        <w:ind w:left="360"/>
        <w:jc w:val="both"/>
        <w:rPr>
          <w:rFonts w:ascii="Arial" w:hAnsi="Arial" w:cs="Arial"/>
          <w:lang w:val="es-CR"/>
        </w:rPr>
      </w:pPr>
      <w:r w:rsidRPr="00353D08">
        <w:rPr>
          <w:rFonts w:ascii="Arial" w:hAnsi="Arial" w:cs="Arial"/>
          <w:lang w:val="es-CR"/>
        </w:rPr>
        <w:t>El Estatuto Orgánico del Instituto Tecnológico de Costa Rica, en el Artículo 18, inciso i) señala:</w:t>
      </w:r>
    </w:p>
    <w:p w:rsidR="00353D08" w:rsidRPr="00353D08" w:rsidRDefault="00353D08" w:rsidP="00353D08">
      <w:pPr>
        <w:ind w:left="1080" w:right="689"/>
        <w:jc w:val="both"/>
        <w:rPr>
          <w:rFonts w:ascii="Arial" w:hAnsi="Arial" w:cs="Arial"/>
          <w:i/>
          <w:sz w:val="20"/>
          <w:szCs w:val="20"/>
          <w:lang w:val="es-CR"/>
        </w:rPr>
      </w:pPr>
    </w:p>
    <w:p w:rsidR="00353D08" w:rsidRPr="00353D08" w:rsidRDefault="00353D08" w:rsidP="00353D08">
      <w:pPr>
        <w:ind w:left="1080" w:right="689"/>
        <w:jc w:val="both"/>
        <w:rPr>
          <w:rFonts w:ascii="Arial" w:hAnsi="Arial" w:cs="Arial"/>
          <w:i/>
          <w:sz w:val="22"/>
          <w:szCs w:val="22"/>
          <w:lang w:val="es-CR"/>
        </w:rPr>
      </w:pPr>
      <w:r w:rsidRPr="00353D08">
        <w:rPr>
          <w:rFonts w:ascii="Arial" w:hAnsi="Arial" w:cs="Arial"/>
          <w:i/>
          <w:sz w:val="22"/>
          <w:szCs w:val="22"/>
          <w:lang w:val="es-CR"/>
        </w:rPr>
        <w:t>“Son funciones del Consejo Institucional:</w:t>
      </w:r>
    </w:p>
    <w:p w:rsidR="00353D08" w:rsidRPr="00353D08" w:rsidRDefault="00353D08" w:rsidP="00353D08">
      <w:pPr>
        <w:ind w:left="1080" w:right="689"/>
        <w:jc w:val="both"/>
        <w:rPr>
          <w:rFonts w:ascii="Arial" w:hAnsi="Arial" w:cs="Arial"/>
          <w:i/>
          <w:sz w:val="22"/>
          <w:szCs w:val="22"/>
          <w:lang w:val="es-CR"/>
        </w:rPr>
      </w:pPr>
      <w:r w:rsidRPr="00353D08">
        <w:rPr>
          <w:rFonts w:ascii="Arial" w:hAnsi="Arial" w:cs="Arial"/>
          <w:i/>
          <w:sz w:val="22"/>
          <w:szCs w:val="22"/>
          <w:lang w:val="es-CR"/>
        </w:rPr>
        <w:t>…</w:t>
      </w:r>
    </w:p>
    <w:p w:rsidR="00353D08" w:rsidRPr="00353D08" w:rsidRDefault="00353D08" w:rsidP="00353D08">
      <w:pPr>
        <w:ind w:left="1080" w:right="689"/>
        <w:jc w:val="both"/>
        <w:rPr>
          <w:rFonts w:ascii="Arial" w:hAnsi="Arial" w:cs="Arial"/>
          <w:i/>
          <w:sz w:val="22"/>
          <w:szCs w:val="22"/>
          <w:lang w:val="es-CR"/>
        </w:rPr>
      </w:pPr>
      <w:r w:rsidRPr="00353D08">
        <w:rPr>
          <w:rFonts w:ascii="Arial" w:hAnsi="Arial" w:cs="Arial"/>
          <w:i/>
          <w:sz w:val="22"/>
          <w:szCs w:val="22"/>
          <w:lang w:val="es-CR"/>
        </w:rPr>
        <w:t>Evacuar las consultas a que se refiere el Artículo 88 de la Constitución Política de la República”.</w:t>
      </w:r>
    </w:p>
    <w:p w:rsidR="00353D08" w:rsidRPr="00353D08" w:rsidRDefault="00353D08" w:rsidP="00353D08">
      <w:pPr>
        <w:ind w:right="689"/>
        <w:jc w:val="both"/>
        <w:rPr>
          <w:rFonts w:ascii="Arial" w:hAnsi="Arial" w:cs="Arial"/>
          <w:i/>
          <w:sz w:val="20"/>
          <w:szCs w:val="20"/>
          <w:lang w:val="es-CR"/>
        </w:rPr>
      </w:pPr>
    </w:p>
    <w:p w:rsidR="00353D08" w:rsidRPr="00353D08" w:rsidRDefault="00353D08" w:rsidP="00353D08">
      <w:pPr>
        <w:contextualSpacing/>
        <w:jc w:val="both"/>
        <w:outlineLvl w:val="0"/>
        <w:rPr>
          <w:rFonts w:ascii="Arial" w:hAnsi="Arial" w:cs="Arial"/>
          <w:b/>
        </w:rPr>
      </w:pPr>
      <w:r w:rsidRPr="00353D08">
        <w:rPr>
          <w:rFonts w:ascii="Arial" w:hAnsi="Arial" w:cs="Arial"/>
          <w:b/>
        </w:rPr>
        <w:t>CONSIDERANDO QUE:</w:t>
      </w:r>
    </w:p>
    <w:p w:rsidR="00353D08" w:rsidRPr="00353D08" w:rsidRDefault="00353D08" w:rsidP="00353D08">
      <w:pPr>
        <w:contextualSpacing/>
        <w:jc w:val="both"/>
        <w:outlineLvl w:val="0"/>
        <w:rPr>
          <w:rFonts w:ascii="Arial" w:hAnsi="Arial" w:cs="Arial"/>
          <w:b/>
        </w:rPr>
      </w:pPr>
    </w:p>
    <w:p w:rsidR="00353D08" w:rsidRPr="00353D08" w:rsidRDefault="00353D08" w:rsidP="00353D08">
      <w:pPr>
        <w:numPr>
          <w:ilvl w:val="0"/>
          <w:numId w:val="10"/>
        </w:numPr>
        <w:ind w:left="426"/>
        <w:jc w:val="both"/>
        <w:rPr>
          <w:rFonts w:ascii="Arial" w:hAnsi="Arial" w:cs="Arial"/>
          <w:lang w:val="es-CR"/>
        </w:rPr>
      </w:pPr>
      <w:r w:rsidRPr="00353D08">
        <w:rPr>
          <w:rFonts w:ascii="Arial" w:hAnsi="Arial" w:cs="Arial"/>
          <w:lang w:val="es-CR"/>
        </w:rPr>
        <w:t xml:space="preserve">La Secretaría del Consejo Institucional recibe mediante correo electrónico el oficio CE-24-2017, con fecha de recibido 16 de febrero de 2017, suscrito por la Licda. Silvia María Jiménez </w:t>
      </w:r>
      <w:proofErr w:type="spellStart"/>
      <w:r w:rsidRPr="00353D08">
        <w:rPr>
          <w:rFonts w:ascii="Arial" w:hAnsi="Arial" w:cs="Arial"/>
          <w:lang w:val="es-CR"/>
        </w:rPr>
        <w:t>Jiménez</w:t>
      </w:r>
      <w:proofErr w:type="spellEnd"/>
      <w:r w:rsidRPr="00353D08">
        <w:rPr>
          <w:rFonts w:ascii="Arial" w:hAnsi="Arial" w:cs="Arial"/>
          <w:lang w:val="es-CR"/>
        </w:rPr>
        <w:t>, Encargada de la Comisión de Jurídicos de la Asamblea Legislativa, dirigido al Dr. Julio Calvo, Rector, en el cual solicita criterio sobre el Proyecto de Ley “Fortalecimiento del control presupuestario de los órganos desconcentrados de gobierno central”, Expediente No. 20.203.</w:t>
      </w:r>
    </w:p>
    <w:p w:rsidR="00353D08" w:rsidRPr="00353D08" w:rsidRDefault="00353D08" w:rsidP="00353D08">
      <w:pPr>
        <w:jc w:val="both"/>
        <w:rPr>
          <w:rFonts w:ascii="Arial" w:hAnsi="Arial" w:cs="Arial"/>
          <w:lang w:val="es-CR"/>
        </w:rPr>
      </w:pPr>
    </w:p>
    <w:p w:rsidR="00353D08" w:rsidRPr="00353D08" w:rsidRDefault="00353D08" w:rsidP="00353D08">
      <w:pPr>
        <w:numPr>
          <w:ilvl w:val="0"/>
          <w:numId w:val="10"/>
        </w:numPr>
        <w:ind w:left="426"/>
        <w:jc w:val="both"/>
        <w:rPr>
          <w:rFonts w:ascii="Arial" w:hAnsi="Arial" w:cs="Arial"/>
          <w:lang w:val="es-CR"/>
        </w:rPr>
      </w:pPr>
      <w:r w:rsidRPr="00353D08">
        <w:rPr>
          <w:rFonts w:ascii="Arial" w:hAnsi="Arial" w:cs="Arial"/>
          <w:lang w:val="es-CR"/>
        </w:rPr>
        <w:t xml:space="preserve">El precitado oficio fue conocido por el Consejo Institucional, en la Sesión No. </w:t>
      </w:r>
      <w:r w:rsidRPr="00353D08">
        <w:rPr>
          <w:rFonts w:ascii="Arial" w:eastAsia="Cambria" w:hAnsi="Arial" w:cs="Arial"/>
          <w:lang w:val="es-ES_tradnl" w:eastAsia="en-US"/>
        </w:rPr>
        <w:t>3009 del Consejo Institucional, celebrada el día 22 de febrero del 2017</w:t>
      </w:r>
      <w:r w:rsidRPr="00353D08">
        <w:rPr>
          <w:rFonts w:ascii="Arial" w:hAnsi="Arial" w:cs="Arial"/>
          <w:lang w:val="es-CR"/>
        </w:rPr>
        <w:t xml:space="preserve">, y se dispone remitirlo en consulta a las siguientes instancias: Vicerrectoría de Administración, Escuela de Administración de Empresas, Comisión de Planificación y Administración. </w:t>
      </w:r>
    </w:p>
    <w:p w:rsidR="00353D08" w:rsidRPr="00353D08" w:rsidRDefault="00353D08" w:rsidP="00353D08">
      <w:pPr>
        <w:ind w:left="708"/>
        <w:rPr>
          <w:rFonts w:ascii="Arial" w:hAnsi="Arial" w:cs="Arial"/>
          <w:highlight w:val="cyan"/>
          <w:lang w:val="es-CR"/>
        </w:rPr>
      </w:pPr>
    </w:p>
    <w:p w:rsidR="00353D08" w:rsidRPr="00353D08" w:rsidRDefault="00353D08" w:rsidP="00353D08">
      <w:pPr>
        <w:numPr>
          <w:ilvl w:val="0"/>
          <w:numId w:val="10"/>
        </w:numPr>
        <w:ind w:left="426"/>
        <w:jc w:val="both"/>
        <w:rPr>
          <w:rFonts w:ascii="Arial" w:hAnsi="Arial" w:cs="Arial"/>
          <w:lang w:val="es-CR"/>
        </w:rPr>
      </w:pPr>
      <w:r w:rsidRPr="00353D08">
        <w:rPr>
          <w:rFonts w:ascii="Arial" w:hAnsi="Arial" w:cs="Arial"/>
          <w:lang w:val="es-CR"/>
        </w:rPr>
        <w:t>Lista de oficios anexos:</w:t>
      </w:r>
    </w:p>
    <w:p w:rsidR="00353D08" w:rsidRPr="00353D08" w:rsidRDefault="00353D08" w:rsidP="00353D08">
      <w:pPr>
        <w:ind w:left="708"/>
        <w:rPr>
          <w:rFonts w:ascii="Arial" w:hAnsi="Arial" w:cs="Arial"/>
          <w:lang w:val="es-CR"/>
        </w:rPr>
      </w:pPr>
    </w:p>
    <w:p w:rsidR="00353D08" w:rsidRPr="00353D08" w:rsidRDefault="00353D08" w:rsidP="00353D08">
      <w:pPr>
        <w:ind w:left="360"/>
        <w:jc w:val="both"/>
        <w:rPr>
          <w:rFonts w:ascii="Arial" w:hAnsi="Arial" w:cs="Arial"/>
          <w:b/>
          <w:sz w:val="22"/>
          <w:szCs w:val="22"/>
          <w:lang w:val="es-CR"/>
        </w:rPr>
      </w:pPr>
      <w:r w:rsidRPr="00353D08">
        <w:rPr>
          <w:rFonts w:ascii="Arial" w:hAnsi="Arial" w:cs="Arial"/>
          <w:b/>
          <w:sz w:val="22"/>
          <w:szCs w:val="22"/>
          <w:lang w:val="es-CR"/>
        </w:rPr>
        <w:t>Anexo 1</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27"/>
      </w:tblGrid>
      <w:tr w:rsidR="00353D08" w:rsidRPr="00353D08" w:rsidTr="00D823E9">
        <w:trPr>
          <w:trHeight w:val="398"/>
        </w:trPr>
        <w:tc>
          <w:tcPr>
            <w:tcW w:w="1984"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Oficio</w:t>
            </w:r>
          </w:p>
        </w:tc>
        <w:tc>
          <w:tcPr>
            <w:tcW w:w="6327"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Asunto</w:t>
            </w:r>
          </w:p>
        </w:tc>
      </w:tr>
      <w:tr w:rsidR="00353D08" w:rsidRPr="00353D08" w:rsidTr="00D823E9">
        <w:tc>
          <w:tcPr>
            <w:tcW w:w="1984" w:type="dxa"/>
            <w:shd w:val="clear" w:color="auto" w:fill="auto"/>
          </w:tcPr>
          <w:p w:rsidR="00353D08" w:rsidRPr="00353D08" w:rsidRDefault="00353D08" w:rsidP="00353D08">
            <w:pPr>
              <w:jc w:val="both"/>
              <w:rPr>
                <w:rFonts w:ascii="Arial" w:hAnsi="Arial" w:cs="Arial"/>
                <w:sz w:val="22"/>
                <w:szCs w:val="22"/>
                <w:lang w:val="es-CR"/>
              </w:rPr>
            </w:pPr>
            <w:r w:rsidRPr="00353D08">
              <w:rPr>
                <w:rFonts w:ascii="Arial" w:hAnsi="Arial" w:cs="Arial"/>
                <w:sz w:val="22"/>
                <w:szCs w:val="22"/>
                <w:lang w:val="es-CR"/>
              </w:rPr>
              <w:t>CE-24-2007, del 16-02-2017 de la Asamblea Legislativa</w:t>
            </w:r>
          </w:p>
        </w:tc>
        <w:tc>
          <w:tcPr>
            <w:tcW w:w="6327" w:type="dxa"/>
            <w:shd w:val="clear" w:color="auto" w:fill="auto"/>
          </w:tcPr>
          <w:p w:rsidR="00353D08" w:rsidRPr="00353D08" w:rsidRDefault="00353D08" w:rsidP="00353D08">
            <w:pPr>
              <w:jc w:val="both"/>
              <w:rPr>
                <w:rFonts w:ascii="Arial" w:hAnsi="Arial" w:cs="Arial"/>
                <w:sz w:val="22"/>
                <w:szCs w:val="22"/>
              </w:rPr>
            </w:pPr>
            <w:r w:rsidRPr="00353D08">
              <w:rPr>
                <w:rFonts w:ascii="Arial" w:eastAsia="Cambria" w:hAnsi="Arial" w:cs="Arial"/>
                <w:bCs/>
                <w:iCs/>
                <w:sz w:val="22"/>
                <w:szCs w:val="22"/>
                <w:lang w:val="es-ES_tradnl" w:eastAsia="en-US"/>
              </w:rPr>
              <w:t>Solicitud de criterio al Instituto Tecnológico de Costa Rica sobre el Proyecto de Ley “Fortalecimiento del control presupuestario de los órganos desconcentrados del gobierno central”, Expediente No. 20.203</w:t>
            </w:r>
          </w:p>
        </w:tc>
      </w:tr>
    </w:tbl>
    <w:p w:rsidR="00353D08" w:rsidRPr="00353D08" w:rsidRDefault="00353D08" w:rsidP="00353D08">
      <w:pPr>
        <w:ind w:left="360"/>
        <w:jc w:val="both"/>
        <w:rPr>
          <w:rFonts w:ascii="Arial" w:hAnsi="Arial" w:cs="Arial"/>
          <w:b/>
          <w:sz w:val="22"/>
          <w:szCs w:val="22"/>
          <w:lang w:val="es-CR"/>
        </w:rPr>
      </w:pPr>
    </w:p>
    <w:p w:rsidR="00353D08" w:rsidRPr="00353D08" w:rsidRDefault="00353D08" w:rsidP="00353D08">
      <w:pPr>
        <w:ind w:left="360"/>
        <w:jc w:val="both"/>
        <w:rPr>
          <w:rFonts w:ascii="Arial" w:hAnsi="Arial" w:cs="Arial"/>
          <w:b/>
          <w:sz w:val="22"/>
          <w:szCs w:val="22"/>
          <w:lang w:val="es-CR"/>
        </w:rPr>
      </w:pPr>
      <w:r w:rsidRPr="00353D08">
        <w:rPr>
          <w:rFonts w:ascii="Arial" w:hAnsi="Arial" w:cs="Arial"/>
          <w:b/>
          <w:sz w:val="22"/>
          <w:szCs w:val="22"/>
          <w:lang w:val="es-CR"/>
        </w:rPr>
        <w:t>Anexo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374"/>
      </w:tblGrid>
      <w:tr w:rsidR="00353D08" w:rsidRPr="00353D08" w:rsidTr="00D823E9">
        <w:tc>
          <w:tcPr>
            <w:tcW w:w="1937"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Oficio</w:t>
            </w:r>
          </w:p>
        </w:tc>
        <w:tc>
          <w:tcPr>
            <w:tcW w:w="6374"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Asunto</w:t>
            </w:r>
          </w:p>
        </w:tc>
      </w:tr>
      <w:tr w:rsidR="00353D08" w:rsidRPr="00353D08" w:rsidTr="00D823E9">
        <w:tc>
          <w:tcPr>
            <w:tcW w:w="1937" w:type="dxa"/>
            <w:shd w:val="clear" w:color="auto" w:fill="auto"/>
          </w:tcPr>
          <w:p w:rsidR="00353D08" w:rsidRPr="00353D08" w:rsidRDefault="00353D08" w:rsidP="00353D08">
            <w:pPr>
              <w:jc w:val="both"/>
              <w:rPr>
                <w:rFonts w:ascii="Arial" w:hAnsi="Arial" w:cs="Arial"/>
                <w:sz w:val="22"/>
                <w:szCs w:val="22"/>
              </w:rPr>
            </w:pPr>
            <w:r w:rsidRPr="00353D08">
              <w:rPr>
                <w:rFonts w:ascii="Arial" w:hAnsi="Arial" w:cs="Arial"/>
                <w:sz w:val="22"/>
                <w:szCs w:val="22"/>
              </w:rPr>
              <w:t>SCI-073-2017, del 22 de febrero de 2017</w:t>
            </w:r>
          </w:p>
        </w:tc>
        <w:tc>
          <w:tcPr>
            <w:tcW w:w="6374" w:type="dxa"/>
            <w:shd w:val="clear" w:color="auto" w:fill="auto"/>
          </w:tcPr>
          <w:p w:rsidR="00353D08" w:rsidRPr="00353D08" w:rsidRDefault="00353D08" w:rsidP="00353D08">
            <w:pPr>
              <w:jc w:val="both"/>
              <w:rPr>
                <w:rFonts w:ascii="Arial" w:hAnsi="Arial" w:cs="Arial"/>
                <w:sz w:val="22"/>
                <w:szCs w:val="22"/>
                <w:lang w:val="es-CR"/>
              </w:rPr>
            </w:pPr>
            <w:r w:rsidRPr="00353D08">
              <w:rPr>
                <w:rFonts w:ascii="Arial" w:hAnsi="Arial" w:cs="Arial"/>
                <w:sz w:val="22"/>
                <w:szCs w:val="22"/>
              </w:rPr>
              <w:t xml:space="preserve">Solicitud de criterio </w:t>
            </w:r>
            <w:r w:rsidRPr="00353D08">
              <w:rPr>
                <w:rFonts w:ascii="Arial" w:eastAsia="Cambria" w:hAnsi="Arial" w:cs="Arial"/>
                <w:bCs/>
                <w:iCs/>
                <w:sz w:val="22"/>
                <w:szCs w:val="22"/>
                <w:lang w:val="es-ES_tradnl" w:eastAsia="en-US"/>
              </w:rPr>
              <w:t xml:space="preserve">a </w:t>
            </w:r>
            <w:r w:rsidRPr="00353D08">
              <w:rPr>
                <w:rFonts w:ascii="Arial" w:hAnsi="Arial" w:cs="Arial"/>
                <w:sz w:val="22"/>
                <w:szCs w:val="22"/>
              </w:rPr>
              <w:t xml:space="preserve">la  Vicerrectoría de Administración, Escuela de Administración de Empresas, Comisión de Planificación y Administración, </w:t>
            </w:r>
            <w:r w:rsidRPr="00353D08">
              <w:rPr>
                <w:rFonts w:ascii="Arial" w:eastAsia="Cambria" w:hAnsi="Arial" w:cs="Arial"/>
                <w:bCs/>
                <w:iCs/>
                <w:sz w:val="22"/>
                <w:szCs w:val="22"/>
                <w:lang w:val="es-ES_tradnl" w:eastAsia="en-US"/>
              </w:rPr>
              <w:t>“Fortalecimiento del control presupuestario de los órganos desconcentrados del gobierno central”, Expediente No. 20.203</w:t>
            </w:r>
          </w:p>
        </w:tc>
      </w:tr>
    </w:tbl>
    <w:p w:rsidR="00353D08" w:rsidRPr="00353D08" w:rsidRDefault="00353D08" w:rsidP="00353D08">
      <w:pPr>
        <w:jc w:val="both"/>
        <w:rPr>
          <w:rFonts w:ascii="Arial" w:hAnsi="Arial" w:cs="Arial"/>
          <w:b/>
          <w:sz w:val="22"/>
          <w:szCs w:val="22"/>
          <w:lang w:val="es-CR"/>
        </w:rPr>
      </w:pPr>
    </w:p>
    <w:p w:rsidR="00353D08" w:rsidRPr="00353D08" w:rsidRDefault="00353D08" w:rsidP="00353D08">
      <w:pPr>
        <w:ind w:left="360"/>
        <w:jc w:val="both"/>
        <w:rPr>
          <w:rFonts w:ascii="Arial" w:hAnsi="Arial" w:cs="Arial"/>
          <w:b/>
          <w:sz w:val="22"/>
          <w:szCs w:val="22"/>
          <w:lang w:val="es-CR"/>
        </w:rPr>
      </w:pPr>
      <w:r w:rsidRPr="00353D08">
        <w:rPr>
          <w:rFonts w:ascii="Arial" w:hAnsi="Arial" w:cs="Arial"/>
          <w:b/>
          <w:sz w:val="22"/>
          <w:szCs w:val="22"/>
          <w:lang w:val="es-CR"/>
        </w:rPr>
        <w:t>Anexo 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374"/>
      </w:tblGrid>
      <w:tr w:rsidR="00353D08" w:rsidRPr="00353D08" w:rsidTr="00D823E9">
        <w:tc>
          <w:tcPr>
            <w:tcW w:w="1937"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Oficio</w:t>
            </w:r>
          </w:p>
        </w:tc>
        <w:tc>
          <w:tcPr>
            <w:tcW w:w="6374"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Asunto</w:t>
            </w:r>
          </w:p>
        </w:tc>
      </w:tr>
      <w:tr w:rsidR="00353D08" w:rsidRPr="00353D08" w:rsidTr="00D823E9">
        <w:tc>
          <w:tcPr>
            <w:tcW w:w="1937" w:type="dxa"/>
            <w:shd w:val="clear" w:color="auto" w:fill="auto"/>
          </w:tcPr>
          <w:p w:rsidR="00353D08" w:rsidRPr="00353D08" w:rsidRDefault="00353D08" w:rsidP="00353D08">
            <w:pPr>
              <w:jc w:val="both"/>
              <w:rPr>
                <w:rFonts w:ascii="Arial" w:hAnsi="Arial" w:cs="Arial"/>
                <w:sz w:val="22"/>
                <w:szCs w:val="22"/>
              </w:rPr>
            </w:pPr>
            <w:r w:rsidRPr="00353D08">
              <w:rPr>
                <w:rFonts w:ascii="Arial" w:hAnsi="Arial" w:cs="Arial"/>
                <w:sz w:val="22"/>
                <w:szCs w:val="22"/>
              </w:rPr>
              <w:t>VAD-161-2017, del 07 de marzo de 2017</w:t>
            </w:r>
          </w:p>
        </w:tc>
        <w:tc>
          <w:tcPr>
            <w:tcW w:w="6374" w:type="dxa"/>
            <w:shd w:val="clear" w:color="auto" w:fill="auto"/>
          </w:tcPr>
          <w:p w:rsidR="00353D08" w:rsidRPr="00353D08" w:rsidRDefault="00353D08" w:rsidP="00353D08">
            <w:pPr>
              <w:jc w:val="both"/>
              <w:rPr>
                <w:rFonts w:ascii="Arial" w:eastAsia="Cambria" w:hAnsi="Arial" w:cs="Arial"/>
                <w:bCs/>
                <w:iCs/>
                <w:sz w:val="22"/>
                <w:szCs w:val="22"/>
                <w:lang w:val="es-ES_tradnl" w:eastAsia="en-US"/>
              </w:rPr>
            </w:pPr>
            <w:r w:rsidRPr="00353D08">
              <w:rPr>
                <w:rFonts w:ascii="Arial" w:hAnsi="Arial" w:cs="Arial"/>
                <w:sz w:val="22"/>
                <w:szCs w:val="22"/>
              </w:rPr>
              <w:t>Pronunciamiento de</w:t>
            </w:r>
            <w:r w:rsidRPr="00353D08">
              <w:rPr>
                <w:rFonts w:ascii="Arial" w:eastAsia="Cambria" w:hAnsi="Arial" w:cs="Arial"/>
                <w:bCs/>
                <w:iCs/>
                <w:sz w:val="22"/>
                <w:szCs w:val="22"/>
                <w:lang w:val="es-ES_tradnl" w:eastAsia="en-US"/>
              </w:rPr>
              <w:t xml:space="preserve"> </w:t>
            </w:r>
            <w:r w:rsidRPr="00353D08">
              <w:rPr>
                <w:rFonts w:ascii="Arial" w:hAnsi="Arial" w:cs="Arial"/>
                <w:sz w:val="22"/>
                <w:szCs w:val="22"/>
              </w:rPr>
              <w:t xml:space="preserve">la Vicerrectoría de Administración, del Proyecto de Ley </w:t>
            </w:r>
            <w:r w:rsidRPr="00353D08">
              <w:rPr>
                <w:rFonts w:ascii="Arial" w:eastAsia="Cambria" w:hAnsi="Arial" w:cs="Arial"/>
                <w:bCs/>
                <w:iCs/>
                <w:sz w:val="22"/>
                <w:szCs w:val="22"/>
                <w:lang w:val="es-ES_tradnl" w:eastAsia="en-US"/>
              </w:rPr>
              <w:t>“Fortalecimiento del control presupuestario de los órganos desconcentrados del gobierno central”, Expediente No. 20.203.</w:t>
            </w:r>
          </w:p>
          <w:p w:rsidR="00353D08" w:rsidRPr="00353D08" w:rsidRDefault="00353D08" w:rsidP="00353D08">
            <w:pPr>
              <w:jc w:val="both"/>
              <w:rPr>
                <w:rFonts w:ascii="Arial" w:eastAsia="Cambria" w:hAnsi="Arial" w:cs="Arial"/>
                <w:bCs/>
                <w:iCs/>
                <w:sz w:val="16"/>
                <w:szCs w:val="16"/>
                <w:lang w:val="es-ES_tradnl" w:eastAsia="en-US"/>
              </w:rPr>
            </w:pPr>
          </w:p>
          <w:p w:rsidR="00353D08" w:rsidRPr="00353D08" w:rsidRDefault="00353D08" w:rsidP="00353D08">
            <w:pPr>
              <w:jc w:val="both"/>
              <w:rPr>
                <w:rFonts w:ascii="Arial" w:hAnsi="Arial" w:cs="Arial"/>
                <w:sz w:val="22"/>
                <w:szCs w:val="22"/>
              </w:rPr>
            </w:pPr>
            <w:r w:rsidRPr="00353D08">
              <w:rPr>
                <w:rFonts w:ascii="Arial" w:hAnsi="Arial" w:cs="Arial"/>
                <w:sz w:val="22"/>
                <w:szCs w:val="22"/>
              </w:rPr>
              <w:t>Con base en la argumentación del Proyecto de Ley parecieran haber suficientes razones para apoyar el Proyecto.</w:t>
            </w:r>
          </w:p>
          <w:p w:rsidR="00353D08" w:rsidRPr="00353D08" w:rsidRDefault="00353D08" w:rsidP="00353D08">
            <w:pPr>
              <w:jc w:val="both"/>
              <w:rPr>
                <w:rFonts w:ascii="Arial" w:hAnsi="Arial" w:cs="Arial"/>
                <w:sz w:val="16"/>
                <w:szCs w:val="16"/>
              </w:rPr>
            </w:pPr>
          </w:p>
          <w:p w:rsidR="00353D08" w:rsidRPr="00353D08" w:rsidRDefault="00353D08" w:rsidP="00353D08">
            <w:pPr>
              <w:jc w:val="both"/>
              <w:rPr>
                <w:rFonts w:ascii="Arial" w:hAnsi="Arial" w:cs="Arial"/>
                <w:sz w:val="22"/>
                <w:szCs w:val="22"/>
              </w:rPr>
            </w:pPr>
            <w:r w:rsidRPr="00353D08">
              <w:rPr>
                <w:rFonts w:ascii="Arial" w:hAnsi="Arial" w:cs="Arial"/>
                <w:sz w:val="22"/>
                <w:szCs w:val="22"/>
              </w:rPr>
              <w:t xml:space="preserve">Pero, antes de dar una posición Institucional, es importante indagar la relación que tiene el TEC con algunos órganos desconcentrados que pudieran verse afectados por esta variación en su normativa. Podrían existir Escuelas o Departamentos que tienen vinculación con alguno de éstos Órganos Desconcentrados, para determinar si puede haber afectaciones desde el punto de vista funcional, por ejemplo, el caso de la Escuela de Ingeniería en Construcción con los proyectos que tiene con el </w:t>
            </w:r>
            <w:proofErr w:type="spellStart"/>
            <w:r w:rsidRPr="00353D08">
              <w:rPr>
                <w:rFonts w:ascii="Arial" w:hAnsi="Arial" w:cs="Arial"/>
                <w:sz w:val="22"/>
                <w:szCs w:val="22"/>
              </w:rPr>
              <w:t>CONAVI</w:t>
            </w:r>
            <w:proofErr w:type="spellEnd"/>
            <w:r w:rsidRPr="00353D08">
              <w:rPr>
                <w:rFonts w:ascii="Arial" w:hAnsi="Arial" w:cs="Arial"/>
                <w:sz w:val="22"/>
                <w:szCs w:val="22"/>
              </w:rPr>
              <w:t>.</w:t>
            </w:r>
          </w:p>
          <w:p w:rsidR="00353D08" w:rsidRPr="00353D08" w:rsidRDefault="00353D08" w:rsidP="00353D08">
            <w:pPr>
              <w:jc w:val="both"/>
              <w:rPr>
                <w:rFonts w:ascii="Arial" w:hAnsi="Arial" w:cs="Arial"/>
                <w:sz w:val="18"/>
                <w:szCs w:val="18"/>
              </w:rPr>
            </w:pPr>
          </w:p>
          <w:p w:rsidR="00353D08" w:rsidRPr="00353D08" w:rsidRDefault="00353D08" w:rsidP="00353D08">
            <w:pPr>
              <w:jc w:val="both"/>
              <w:rPr>
                <w:rFonts w:ascii="Arial" w:hAnsi="Arial" w:cs="Arial"/>
                <w:sz w:val="22"/>
                <w:szCs w:val="22"/>
                <w:lang w:val="es-CR"/>
              </w:rPr>
            </w:pPr>
            <w:r w:rsidRPr="00353D08">
              <w:rPr>
                <w:rFonts w:ascii="Arial" w:hAnsi="Arial" w:cs="Arial"/>
                <w:sz w:val="22"/>
                <w:szCs w:val="22"/>
              </w:rPr>
              <w:t xml:space="preserve">Con respecto a la Autonomía Universitaria, al estar el Proyecto de Ley enfocado exclusivamente sobre los Órganos Desconcentrados de la Administración Central, no afecta al Instituto Tecnológico y su Autonomía. No obstante, si es importante que la aprobación de este tipo de proyectos no genere un antecedente, para que luego se quiera, como se ha pretendido en otro momento, que las Universidades también </w:t>
            </w:r>
            <w:r w:rsidRPr="00353D08">
              <w:rPr>
                <w:rFonts w:ascii="Arial" w:hAnsi="Arial" w:cs="Arial"/>
                <w:sz w:val="22"/>
                <w:szCs w:val="22"/>
              </w:rPr>
              <w:lastRenderedPageBreak/>
              <w:t>sean controladas por la Autoridad Presupuestaria u otros órganos. Es importante recordar, que el Presupuesto de las Universidades está dentro del Presupuesto del Ministerio de Educación, por lo que de prosperar este Proyecto, la línea podría seguir hacia las Universidades, Municipalidades y otras Instituciones descentralizadas.</w:t>
            </w:r>
          </w:p>
        </w:tc>
      </w:tr>
    </w:tbl>
    <w:p w:rsidR="00353D08" w:rsidRDefault="00353D08" w:rsidP="00353D08">
      <w:pPr>
        <w:ind w:left="360"/>
        <w:jc w:val="both"/>
        <w:rPr>
          <w:rFonts w:ascii="Arial" w:hAnsi="Arial" w:cs="Arial"/>
          <w:b/>
          <w:sz w:val="22"/>
          <w:szCs w:val="22"/>
          <w:lang w:val="es-CR"/>
        </w:rPr>
      </w:pPr>
    </w:p>
    <w:p w:rsidR="00353D08" w:rsidRPr="00353D08" w:rsidRDefault="00353D08" w:rsidP="00353D08">
      <w:pPr>
        <w:ind w:left="360"/>
        <w:jc w:val="both"/>
        <w:rPr>
          <w:rFonts w:ascii="Arial" w:hAnsi="Arial" w:cs="Arial"/>
          <w:b/>
          <w:sz w:val="22"/>
          <w:szCs w:val="22"/>
          <w:lang w:val="es-CR"/>
        </w:rPr>
      </w:pPr>
      <w:r w:rsidRPr="00353D08">
        <w:rPr>
          <w:rFonts w:ascii="Arial" w:hAnsi="Arial" w:cs="Arial"/>
          <w:b/>
          <w:sz w:val="22"/>
          <w:szCs w:val="22"/>
          <w:lang w:val="es-CR"/>
        </w:rPr>
        <w:t>Anexo 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5977"/>
      </w:tblGrid>
      <w:tr w:rsidR="00353D08" w:rsidRPr="00353D08" w:rsidTr="00D823E9">
        <w:tc>
          <w:tcPr>
            <w:tcW w:w="2334"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Oficio</w:t>
            </w:r>
          </w:p>
        </w:tc>
        <w:tc>
          <w:tcPr>
            <w:tcW w:w="5977"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Asunto</w:t>
            </w:r>
          </w:p>
        </w:tc>
      </w:tr>
      <w:tr w:rsidR="00353D08" w:rsidRPr="00353D08" w:rsidTr="00D823E9">
        <w:tc>
          <w:tcPr>
            <w:tcW w:w="2334" w:type="dxa"/>
            <w:shd w:val="clear" w:color="auto" w:fill="auto"/>
          </w:tcPr>
          <w:p w:rsidR="00353D08" w:rsidRPr="00353D08" w:rsidRDefault="00353D08" w:rsidP="00353D08">
            <w:pPr>
              <w:jc w:val="both"/>
              <w:rPr>
                <w:rFonts w:ascii="Arial" w:hAnsi="Arial" w:cs="Arial"/>
                <w:sz w:val="22"/>
                <w:szCs w:val="22"/>
              </w:rPr>
            </w:pPr>
            <w:r w:rsidRPr="00353D08">
              <w:rPr>
                <w:rFonts w:ascii="Arial" w:hAnsi="Arial" w:cs="Arial"/>
                <w:sz w:val="22"/>
                <w:szCs w:val="22"/>
              </w:rPr>
              <w:t>AE-236-161-2017, del 17 de marzo de 2017</w:t>
            </w:r>
          </w:p>
        </w:tc>
        <w:tc>
          <w:tcPr>
            <w:tcW w:w="5977" w:type="dxa"/>
            <w:shd w:val="clear" w:color="auto" w:fill="auto"/>
          </w:tcPr>
          <w:p w:rsidR="00353D08" w:rsidRPr="00353D08" w:rsidRDefault="00353D08" w:rsidP="00353D08">
            <w:pPr>
              <w:jc w:val="both"/>
              <w:rPr>
                <w:rFonts w:ascii="Arial" w:eastAsia="Cambria" w:hAnsi="Arial" w:cs="Arial"/>
                <w:bCs/>
                <w:iCs/>
                <w:sz w:val="22"/>
                <w:szCs w:val="22"/>
                <w:lang w:val="es-ES_tradnl" w:eastAsia="en-US"/>
              </w:rPr>
            </w:pPr>
            <w:r w:rsidRPr="00353D08">
              <w:rPr>
                <w:rFonts w:ascii="Arial" w:hAnsi="Arial" w:cs="Arial"/>
                <w:sz w:val="22"/>
                <w:szCs w:val="22"/>
              </w:rPr>
              <w:t xml:space="preserve">Pronunciamiento </w:t>
            </w:r>
            <w:r w:rsidRPr="00353D08">
              <w:rPr>
                <w:rFonts w:ascii="Arial" w:eastAsia="Cambria" w:hAnsi="Arial" w:cs="Arial"/>
                <w:bCs/>
                <w:iCs/>
                <w:sz w:val="22"/>
                <w:szCs w:val="22"/>
                <w:lang w:val="es-ES_tradnl" w:eastAsia="en-US"/>
              </w:rPr>
              <w:t>de la Escuela de Administración de Empresas sobre el Proyecto de Ley “Fortalecimiento del control presupuestario de los órganos desconcentrados del gobierno central”, Expediente No. 20.203.</w:t>
            </w:r>
          </w:p>
          <w:p w:rsidR="00353D08" w:rsidRPr="00353D08" w:rsidRDefault="00353D08" w:rsidP="00353D08">
            <w:pPr>
              <w:jc w:val="both"/>
              <w:rPr>
                <w:rFonts w:ascii="Arial" w:hAnsi="Arial" w:cs="Arial"/>
                <w:sz w:val="22"/>
                <w:szCs w:val="22"/>
              </w:rPr>
            </w:pPr>
          </w:p>
          <w:p w:rsidR="00353D08" w:rsidRPr="00353D08" w:rsidRDefault="00353D08" w:rsidP="00353D08">
            <w:pPr>
              <w:jc w:val="both"/>
              <w:rPr>
                <w:rFonts w:ascii="Arial" w:hAnsi="Arial" w:cs="Arial"/>
                <w:sz w:val="22"/>
                <w:szCs w:val="22"/>
              </w:rPr>
            </w:pPr>
            <w:r w:rsidRPr="00353D08">
              <w:rPr>
                <w:rFonts w:ascii="Arial" w:hAnsi="Arial" w:cs="Arial"/>
                <w:sz w:val="22"/>
                <w:szCs w:val="22"/>
              </w:rPr>
              <w:t>Realizadas las observaciones al proyecto indican que sí apoyan el proyecto, por las siguientes razones:</w:t>
            </w:r>
          </w:p>
          <w:p w:rsidR="00353D08" w:rsidRPr="00353D08" w:rsidRDefault="00353D08" w:rsidP="00353D08">
            <w:pPr>
              <w:jc w:val="both"/>
              <w:rPr>
                <w:rFonts w:ascii="Arial" w:hAnsi="Arial" w:cs="Arial"/>
                <w:sz w:val="16"/>
                <w:szCs w:val="16"/>
              </w:rPr>
            </w:pPr>
          </w:p>
          <w:p w:rsidR="00353D08" w:rsidRPr="00353D08" w:rsidRDefault="00353D08" w:rsidP="00353D08">
            <w:pPr>
              <w:autoSpaceDE w:val="0"/>
              <w:autoSpaceDN w:val="0"/>
              <w:adjustRightInd w:val="0"/>
              <w:spacing w:after="14"/>
              <w:ind w:left="543" w:right="312" w:hanging="401"/>
              <w:jc w:val="both"/>
              <w:rPr>
                <w:rFonts w:ascii="Arial" w:eastAsiaTheme="minorHAnsi" w:hAnsi="Arial" w:cs="Arial"/>
                <w:i/>
                <w:color w:val="000000"/>
                <w:sz w:val="20"/>
                <w:szCs w:val="20"/>
                <w:lang w:val="es-CR" w:eastAsia="en-US"/>
              </w:rPr>
            </w:pPr>
            <w:r w:rsidRPr="00353D08">
              <w:rPr>
                <w:rFonts w:ascii="Arial" w:eastAsiaTheme="minorHAnsi" w:hAnsi="Arial" w:cs="Arial"/>
                <w:i/>
                <w:color w:val="000000"/>
                <w:sz w:val="20"/>
                <w:szCs w:val="20"/>
                <w:lang w:val="es-CR" w:eastAsia="en-US"/>
              </w:rPr>
              <w:t xml:space="preserve">a) Permite que los presupuestos de los órganos desconcentrados del Gobierno de la República se incorporen al presupuesto de cada Ministerio </w:t>
            </w:r>
          </w:p>
          <w:p w:rsidR="00353D08" w:rsidRPr="00353D08" w:rsidRDefault="00353D08" w:rsidP="00353D08">
            <w:pPr>
              <w:autoSpaceDE w:val="0"/>
              <w:autoSpaceDN w:val="0"/>
              <w:adjustRightInd w:val="0"/>
              <w:spacing w:after="14"/>
              <w:ind w:left="543" w:right="312" w:hanging="401"/>
              <w:jc w:val="both"/>
              <w:rPr>
                <w:rFonts w:ascii="Arial" w:eastAsiaTheme="minorHAnsi" w:hAnsi="Arial" w:cs="Arial"/>
                <w:i/>
                <w:color w:val="000000"/>
                <w:sz w:val="20"/>
                <w:szCs w:val="20"/>
                <w:lang w:val="es-CR" w:eastAsia="en-US"/>
              </w:rPr>
            </w:pPr>
            <w:r w:rsidRPr="00353D08">
              <w:rPr>
                <w:rFonts w:ascii="Arial" w:eastAsiaTheme="minorHAnsi" w:hAnsi="Arial" w:cs="Arial"/>
                <w:i/>
                <w:color w:val="000000"/>
                <w:sz w:val="20"/>
                <w:szCs w:val="20"/>
                <w:lang w:val="es-CR" w:eastAsia="en-US"/>
              </w:rPr>
              <w:t xml:space="preserve">b) </w:t>
            </w:r>
            <w:r w:rsidRPr="00353D08">
              <w:rPr>
                <w:rFonts w:ascii="Arial" w:eastAsiaTheme="minorHAnsi" w:hAnsi="Arial" w:cs="Arial"/>
                <w:i/>
                <w:color w:val="000000"/>
                <w:sz w:val="20"/>
                <w:szCs w:val="20"/>
                <w:lang w:val="es-CR" w:eastAsia="en-US"/>
              </w:rPr>
              <w:tab/>
              <w:t xml:space="preserve">Se lograría una mayor eficiencia en el proceso de control presupuestario </w:t>
            </w:r>
          </w:p>
          <w:p w:rsidR="00353D08" w:rsidRPr="00353D08" w:rsidRDefault="00353D08" w:rsidP="00353D08">
            <w:pPr>
              <w:autoSpaceDE w:val="0"/>
              <w:autoSpaceDN w:val="0"/>
              <w:adjustRightInd w:val="0"/>
              <w:ind w:left="543" w:right="312" w:hanging="401"/>
              <w:jc w:val="both"/>
              <w:rPr>
                <w:rFonts w:ascii="Arial" w:eastAsiaTheme="minorHAnsi" w:hAnsi="Arial" w:cs="Arial"/>
                <w:i/>
                <w:color w:val="000000"/>
                <w:sz w:val="20"/>
                <w:szCs w:val="20"/>
                <w:lang w:val="es-CR" w:eastAsia="en-US"/>
              </w:rPr>
            </w:pPr>
            <w:r w:rsidRPr="00353D08">
              <w:rPr>
                <w:rFonts w:ascii="Arial" w:eastAsiaTheme="minorHAnsi" w:hAnsi="Arial" w:cs="Arial"/>
                <w:i/>
                <w:color w:val="000000"/>
                <w:sz w:val="20"/>
                <w:szCs w:val="20"/>
                <w:lang w:val="es-CR" w:eastAsia="en-US"/>
              </w:rPr>
              <w:t xml:space="preserve">c) </w:t>
            </w:r>
            <w:r w:rsidRPr="00353D08">
              <w:rPr>
                <w:rFonts w:ascii="Arial" w:eastAsiaTheme="minorHAnsi" w:hAnsi="Arial" w:cs="Arial"/>
                <w:i/>
                <w:color w:val="000000"/>
                <w:sz w:val="20"/>
                <w:szCs w:val="20"/>
                <w:lang w:val="es-CR" w:eastAsia="en-US"/>
              </w:rPr>
              <w:tab/>
              <w:t xml:space="preserve">Habría un mejor control político sobre los presupuestos pertenecientes al Gobierno Central y entes desconcentrados. </w:t>
            </w:r>
          </w:p>
          <w:p w:rsidR="00353D08" w:rsidRPr="00353D08" w:rsidRDefault="00353D08" w:rsidP="00353D08">
            <w:pPr>
              <w:autoSpaceDE w:val="0"/>
              <w:autoSpaceDN w:val="0"/>
              <w:adjustRightInd w:val="0"/>
              <w:rPr>
                <w:rFonts w:ascii="Arial" w:eastAsiaTheme="minorHAnsi" w:hAnsi="Arial" w:cs="Arial"/>
                <w:color w:val="000000"/>
                <w:sz w:val="22"/>
                <w:szCs w:val="22"/>
                <w:lang w:val="es-CR" w:eastAsia="en-US"/>
              </w:rPr>
            </w:pPr>
          </w:p>
          <w:p w:rsidR="00353D08" w:rsidRPr="00353D08" w:rsidRDefault="00353D08" w:rsidP="00353D08">
            <w:pPr>
              <w:jc w:val="both"/>
              <w:rPr>
                <w:rFonts w:ascii="Arial" w:hAnsi="Arial" w:cs="Arial"/>
                <w:sz w:val="22"/>
                <w:szCs w:val="22"/>
              </w:rPr>
            </w:pPr>
            <w:r w:rsidRPr="00353D08">
              <w:rPr>
                <w:rFonts w:ascii="Arial" w:hAnsi="Arial" w:cs="Arial"/>
                <w:sz w:val="22"/>
                <w:szCs w:val="22"/>
              </w:rPr>
              <w:t xml:space="preserve">Según lo analizado en el Proyecto de Ley consideran que no atentan contra la Autonomía Universitaria. </w:t>
            </w:r>
          </w:p>
          <w:p w:rsidR="00353D08" w:rsidRPr="00353D08" w:rsidRDefault="00353D08" w:rsidP="00353D08">
            <w:pPr>
              <w:contextualSpacing/>
              <w:jc w:val="both"/>
              <w:rPr>
                <w:rFonts w:ascii="Arial" w:hAnsi="Arial" w:cs="Arial"/>
                <w:sz w:val="22"/>
                <w:szCs w:val="22"/>
                <w:lang w:val="es-CR"/>
              </w:rPr>
            </w:pPr>
          </w:p>
        </w:tc>
      </w:tr>
    </w:tbl>
    <w:p w:rsidR="00353D08" w:rsidRPr="00353D08" w:rsidRDefault="00353D08" w:rsidP="00353D08">
      <w:pPr>
        <w:jc w:val="both"/>
        <w:rPr>
          <w:rFonts w:ascii="Arial" w:hAnsi="Arial" w:cs="Arial"/>
          <w:b/>
          <w:sz w:val="22"/>
          <w:szCs w:val="22"/>
          <w:lang w:val="es-CR"/>
        </w:rPr>
      </w:pPr>
    </w:p>
    <w:p w:rsidR="00353D08" w:rsidRPr="00353D08" w:rsidRDefault="00353D08" w:rsidP="00353D08">
      <w:pPr>
        <w:ind w:left="360"/>
        <w:jc w:val="both"/>
        <w:rPr>
          <w:rFonts w:ascii="Arial" w:hAnsi="Arial" w:cs="Arial"/>
          <w:b/>
          <w:sz w:val="22"/>
          <w:szCs w:val="22"/>
          <w:lang w:val="es-CR"/>
        </w:rPr>
      </w:pPr>
      <w:r w:rsidRPr="00353D08">
        <w:rPr>
          <w:rFonts w:ascii="Arial" w:hAnsi="Arial" w:cs="Arial"/>
          <w:b/>
          <w:sz w:val="22"/>
          <w:szCs w:val="22"/>
          <w:lang w:val="es-CR"/>
        </w:rPr>
        <w:t>Anexo 5</w:t>
      </w:r>
    </w:p>
    <w:p w:rsidR="00353D08" w:rsidRPr="00353D08" w:rsidRDefault="00353D08" w:rsidP="00353D08">
      <w:pPr>
        <w:ind w:left="360"/>
        <w:jc w:val="both"/>
        <w:rPr>
          <w:rFonts w:ascii="Arial" w:hAnsi="Arial" w:cs="Arial"/>
          <w:b/>
          <w:sz w:val="22"/>
          <w:szCs w:val="22"/>
          <w:lang w:val="es-CR"/>
        </w:rPr>
      </w:pPr>
    </w:p>
    <w:tbl>
      <w:tblPr>
        <w:tblpPr w:leftFromText="141" w:rightFromText="141"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935"/>
      </w:tblGrid>
      <w:tr w:rsidR="00353D08" w:rsidRPr="00353D08" w:rsidTr="00D823E9">
        <w:tc>
          <w:tcPr>
            <w:tcW w:w="2376"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Oficio</w:t>
            </w:r>
          </w:p>
        </w:tc>
        <w:tc>
          <w:tcPr>
            <w:tcW w:w="5935" w:type="dxa"/>
            <w:shd w:val="clear" w:color="auto" w:fill="auto"/>
          </w:tcPr>
          <w:p w:rsidR="00353D08" w:rsidRPr="00353D08" w:rsidRDefault="00353D08" w:rsidP="00353D08">
            <w:pPr>
              <w:jc w:val="center"/>
              <w:rPr>
                <w:rFonts w:ascii="Arial" w:hAnsi="Arial" w:cs="Arial"/>
                <w:sz w:val="22"/>
                <w:szCs w:val="22"/>
              </w:rPr>
            </w:pPr>
            <w:r w:rsidRPr="00353D08">
              <w:rPr>
                <w:rFonts w:ascii="Arial" w:hAnsi="Arial" w:cs="Arial"/>
                <w:sz w:val="22"/>
                <w:szCs w:val="22"/>
              </w:rPr>
              <w:t>Asunto</w:t>
            </w:r>
          </w:p>
        </w:tc>
      </w:tr>
      <w:tr w:rsidR="00353D08" w:rsidRPr="00353D08" w:rsidTr="00D823E9">
        <w:trPr>
          <w:trHeight w:val="2839"/>
        </w:trPr>
        <w:tc>
          <w:tcPr>
            <w:tcW w:w="2376" w:type="dxa"/>
            <w:shd w:val="clear" w:color="auto" w:fill="auto"/>
          </w:tcPr>
          <w:p w:rsidR="00353D08" w:rsidRPr="00353D08" w:rsidRDefault="00353D08" w:rsidP="00353D08">
            <w:pPr>
              <w:rPr>
                <w:rFonts w:ascii="Arial" w:hAnsi="Arial" w:cs="Arial"/>
                <w:b/>
                <w:sz w:val="22"/>
                <w:szCs w:val="22"/>
              </w:rPr>
            </w:pPr>
            <w:r w:rsidRPr="00353D08">
              <w:rPr>
                <w:rFonts w:ascii="Arial" w:hAnsi="Arial" w:cs="Arial"/>
                <w:b/>
                <w:sz w:val="22"/>
                <w:szCs w:val="22"/>
              </w:rPr>
              <w:t>SCI-206-2017, del 17 de abril de 2017</w:t>
            </w:r>
          </w:p>
        </w:tc>
        <w:tc>
          <w:tcPr>
            <w:tcW w:w="5935" w:type="dxa"/>
            <w:shd w:val="clear" w:color="auto" w:fill="auto"/>
          </w:tcPr>
          <w:p w:rsidR="00353D08" w:rsidRPr="00353D08" w:rsidRDefault="00353D08" w:rsidP="00353D08">
            <w:pPr>
              <w:jc w:val="both"/>
              <w:rPr>
                <w:rFonts w:ascii="Arial" w:eastAsia="Cambria" w:hAnsi="Arial" w:cs="Arial"/>
                <w:bCs/>
                <w:iCs/>
                <w:sz w:val="22"/>
                <w:szCs w:val="22"/>
                <w:lang w:val="es-ES_tradnl" w:eastAsia="en-US"/>
              </w:rPr>
            </w:pPr>
            <w:r w:rsidRPr="00353D08">
              <w:rPr>
                <w:rFonts w:ascii="Arial" w:hAnsi="Arial" w:cs="Arial"/>
                <w:sz w:val="22"/>
                <w:szCs w:val="22"/>
              </w:rPr>
              <w:t>Pronunciamiento de la Comisión de Planificación y Administración sobre el criterio del Proyecto de Ley “Fortalecimiento</w:t>
            </w:r>
            <w:r w:rsidRPr="00353D08">
              <w:rPr>
                <w:rFonts w:ascii="Arial" w:eastAsia="Cambria" w:hAnsi="Arial" w:cs="Arial"/>
                <w:bCs/>
                <w:iCs/>
                <w:sz w:val="22"/>
                <w:szCs w:val="22"/>
                <w:lang w:val="es-ES_tradnl" w:eastAsia="en-US"/>
              </w:rPr>
              <w:t xml:space="preserve"> del control presupuestario de los órganos desconcentrados del gobierno central”, Expediente No. 20.203.</w:t>
            </w:r>
          </w:p>
          <w:p w:rsidR="00353D08" w:rsidRPr="00353D08" w:rsidRDefault="00353D08" w:rsidP="00353D08">
            <w:pPr>
              <w:jc w:val="both"/>
              <w:rPr>
                <w:rFonts w:ascii="Arial" w:hAnsi="Arial" w:cs="Arial"/>
                <w:sz w:val="22"/>
                <w:szCs w:val="22"/>
                <w:lang w:val="es-ES_tradnl"/>
              </w:rPr>
            </w:pPr>
          </w:p>
          <w:p w:rsidR="00353D08" w:rsidRPr="00353D08" w:rsidRDefault="00353D08" w:rsidP="00353D08">
            <w:pPr>
              <w:widowControl w:val="0"/>
              <w:tabs>
                <w:tab w:val="left" w:pos="-720"/>
              </w:tabs>
              <w:suppressAutoHyphens/>
              <w:adjustRightInd w:val="0"/>
              <w:jc w:val="both"/>
              <w:rPr>
                <w:rFonts w:ascii="Arial" w:hAnsi="Arial" w:cs="Arial"/>
                <w:sz w:val="22"/>
                <w:szCs w:val="22"/>
              </w:rPr>
            </w:pPr>
            <w:r w:rsidRPr="00353D08">
              <w:rPr>
                <w:rFonts w:ascii="Arial" w:hAnsi="Arial" w:cs="Arial"/>
                <w:sz w:val="22"/>
                <w:szCs w:val="22"/>
              </w:rPr>
              <w:t>Entre las observaciones expuestas en su oficio indican sí apoyar el proyecto, por las siguientes razones:</w:t>
            </w:r>
          </w:p>
          <w:p w:rsidR="00353D08" w:rsidRPr="00353D08" w:rsidRDefault="00353D08" w:rsidP="00353D08">
            <w:pPr>
              <w:widowControl w:val="0"/>
              <w:tabs>
                <w:tab w:val="left" w:pos="-720"/>
              </w:tabs>
              <w:suppressAutoHyphens/>
              <w:adjustRightInd w:val="0"/>
              <w:jc w:val="both"/>
              <w:rPr>
                <w:rFonts w:ascii="Arial" w:hAnsi="Arial" w:cs="Arial"/>
                <w:sz w:val="22"/>
                <w:szCs w:val="22"/>
              </w:rPr>
            </w:pPr>
          </w:p>
          <w:p w:rsidR="00353D08" w:rsidRPr="00353D08" w:rsidRDefault="00353D08" w:rsidP="00353D08">
            <w:pPr>
              <w:numPr>
                <w:ilvl w:val="0"/>
                <w:numId w:val="12"/>
              </w:numPr>
              <w:autoSpaceDE w:val="0"/>
              <w:autoSpaceDN w:val="0"/>
              <w:adjustRightInd w:val="0"/>
              <w:spacing w:after="14"/>
              <w:ind w:left="488" w:right="312"/>
              <w:jc w:val="both"/>
              <w:rPr>
                <w:rFonts w:ascii="Arial" w:eastAsiaTheme="minorHAnsi" w:hAnsi="Arial" w:cs="Arial"/>
                <w:i/>
                <w:color w:val="000000"/>
                <w:sz w:val="20"/>
                <w:szCs w:val="20"/>
                <w:lang w:val="es-CR" w:eastAsia="en-US"/>
              </w:rPr>
            </w:pPr>
            <w:r w:rsidRPr="00353D08">
              <w:rPr>
                <w:rFonts w:ascii="Arial" w:eastAsiaTheme="minorHAnsi" w:hAnsi="Arial" w:cs="Arial"/>
                <w:i/>
                <w:color w:val="000000"/>
                <w:sz w:val="20"/>
                <w:szCs w:val="20"/>
                <w:lang w:val="es-CR" w:eastAsia="en-US"/>
              </w:rPr>
              <w:t>Permite que los presupuestos de los órganos desconcentrados del Gobierno de la República se incorporen al presupuesto de cada Ministerio.</w:t>
            </w:r>
          </w:p>
          <w:p w:rsidR="00353D08" w:rsidRPr="00353D08" w:rsidRDefault="00353D08" w:rsidP="00353D08">
            <w:pPr>
              <w:numPr>
                <w:ilvl w:val="0"/>
                <w:numId w:val="12"/>
              </w:numPr>
              <w:autoSpaceDE w:val="0"/>
              <w:autoSpaceDN w:val="0"/>
              <w:adjustRightInd w:val="0"/>
              <w:spacing w:after="14"/>
              <w:ind w:left="488" w:right="312"/>
              <w:jc w:val="both"/>
              <w:rPr>
                <w:rFonts w:ascii="Arial" w:eastAsiaTheme="minorHAnsi" w:hAnsi="Arial" w:cs="Arial"/>
                <w:i/>
                <w:color w:val="000000"/>
                <w:sz w:val="20"/>
                <w:szCs w:val="20"/>
                <w:lang w:val="es-CR" w:eastAsia="en-US"/>
              </w:rPr>
            </w:pPr>
            <w:r w:rsidRPr="00353D08">
              <w:rPr>
                <w:rFonts w:ascii="Arial" w:eastAsiaTheme="minorHAnsi" w:hAnsi="Arial" w:cs="Arial"/>
                <w:i/>
                <w:color w:val="000000"/>
                <w:sz w:val="20"/>
                <w:szCs w:val="20"/>
                <w:lang w:val="es-CR" w:eastAsia="en-US"/>
              </w:rPr>
              <w:t>Se mejora el control político sobre esos recursos</w:t>
            </w:r>
          </w:p>
          <w:p w:rsidR="00353D08" w:rsidRPr="00353D08" w:rsidRDefault="00353D08" w:rsidP="00353D08">
            <w:pPr>
              <w:widowControl w:val="0"/>
              <w:tabs>
                <w:tab w:val="left" w:pos="-720"/>
              </w:tabs>
              <w:suppressAutoHyphens/>
              <w:adjustRightInd w:val="0"/>
              <w:jc w:val="both"/>
              <w:rPr>
                <w:rFonts w:ascii="Arial" w:hAnsi="Arial" w:cs="Arial"/>
                <w:sz w:val="22"/>
                <w:szCs w:val="22"/>
              </w:rPr>
            </w:pPr>
          </w:p>
          <w:p w:rsidR="00353D08" w:rsidRPr="00353D08" w:rsidRDefault="00353D08" w:rsidP="00353D08">
            <w:pPr>
              <w:widowControl w:val="0"/>
              <w:tabs>
                <w:tab w:val="left" w:pos="-720"/>
              </w:tabs>
              <w:suppressAutoHyphens/>
              <w:adjustRightInd w:val="0"/>
              <w:jc w:val="both"/>
              <w:rPr>
                <w:rFonts w:ascii="Arial" w:hAnsi="Arial" w:cs="Arial"/>
                <w:sz w:val="22"/>
                <w:szCs w:val="22"/>
              </w:rPr>
            </w:pPr>
          </w:p>
          <w:p w:rsidR="00353D08" w:rsidRPr="00353D08" w:rsidRDefault="00353D08" w:rsidP="00353D08">
            <w:pPr>
              <w:widowControl w:val="0"/>
              <w:tabs>
                <w:tab w:val="left" w:pos="-720"/>
              </w:tabs>
              <w:suppressAutoHyphens/>
              <w:adjustRightInd w:val="0"/>
              <w:jc w:val="both"/>
              <w:rPr>
                <w:rFonts w:ascii="Arial" w:hAnsi="Arial" w:cs="Arial"/>
                <w:sz w:val="22"/>
                <w:szCs w:val="22"/>
              </w:rPr>
            </w:pPr>
            <w:r w:rsidRPr="00353D08">
              <w:rPr>
                <w:rFonts w:ascii="Arial" w:hAnsi="Arial" w:cs="Arial"/>
                <w:sz w:val="22"/>
                <w:szCs w:val="22"/>
              </w:rPr>
              <w:t xml:space="preserve">El criterio no </w:t>
            </w:r>
            <w:proofErr w:type="gramStart"/>
            <w:r w:rsidRPr="00353D08">
              <w:rPr>
                <w:rFonts w:ascii="Arial" w:hAnsi="Arial" w:cs="Arial"/>
                <w:sz w:val="22"/>
                <w:szCs w:val="22"/>
              </w:rPr>
              <w:t>atenta</w:t>
            </w:r>
            <w:proofErr w:type="gramEnd"/>
            <w:r w:rsidRPr="00353D08">
              <w:rPr>
                <w:rFonts w:ascii="Arial" w:hAnsi="Arial" w:cs="Arial"/>
                <w:sz w:val="22"/>
                <w:szCs w:val="22"/>
              </w:rPr>
              <w:t xml:space="preserve"> contra la Autonomía Universitaria.   </w:t>
            </w:r>
          </w:p>
          <w:p w:rsidR="00353D08" w:rsidRPr="00353D08" w:rsidRDefault="00353D08" w:rsidP="00353D08">
            <w:pPr>
              <w:widowControl w:val="0"/>
              <w:jc w:val="both"/>
              <w:rPr>
                <w:rFonts w:ascii="Arial" w:hAnsi="Arial" w:cs="Arial"/>
                <w:sz w:val="22"/>
                <w:szCs w:val="22"/>
              </w:rPr>
            </w:pPr>
          </w:p>
        </w:tc>
      </w:tr>
    </w:tbl>
    <w:p w:rsidR="00353D08" w:rsidRDefault="00353D08"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Default="001218FD" w:rsidP="00353D08">
      <w:pPr>
        <w:jc w:val="both"/>
        <w:rPr>
          <w:rFonts w:ascii="Arial" w:hAnsi="Arial" w:cs="Arial"/>
          <w:sz w:val="22"/>
          <w:szCs w:val="22"/>
        </w:rPr>
      </w:pPr>
    </w:p>
    <w:p w:rsidR="001218FD" w:rsidRPr="00353D08" w:rsidRDefault="001218FD" w:rsidP="00353D08">
      <w:pPr>
        <w:jc w:val="both"/>
        <w:rPr>
          <w:rFonts w:ascii="Arial" w:hAnsi="Arial" w:cs="Arial"/>
          <w:sz w:val="22"/>
          <w:szCs w:val="22"/>
        </w:rPr>
      </w:pPr>
    </w:p>
    <w:p w:rsidR="00353D08" w:rsidRPr="00353D08" w:rsidRDefault="00353D08" w:rsidP="00353D08">
      <w:pPr>
        <w:jc w:val="both"/>
        <w:rPr>
          <w:rFonts w:ascii="Arial" w:hAnsi="Arial" w:cs="Arial"/>
          <w:b/>
        </w:rPr>
      </w:pPr>
      <w:r w:rsidRPr="00353D08">
        <w:rPr>
          <w:rFonts w:ascii="Arial" w:hAnsi="Arial" w:cs="Arial"/>
          <w:b/>
        </w:rPr>
        <w:t xml:space="preserve">SE </w:t>
      </w:r>
      <w:r w:rsidR="001218FD">
        <w:rPr>
          <w:rFonts w:ascii="Arial" w:hAnsi="Arial" w:cs="Arial"/>
          <w:b/>
        </w:rPr>
        <w:t>ACUERDA:</w:t>
      </w:r>
    </w:p>
    <w:p w:rsidR="00353D08" w:rsidRPr="00353D08" w:rsidRDefault="00353D08" w:rsidP="00353D08">
      <w:pPr>
        <w:jc w:val="both"/>
        <w:rPr>
          <w:rFonts w:ascii="Arial" w:hAnsi="Arial" w:cs="Arial"/>
        </w:rPr>
      </w:pPr>
    </w:p>
    <w:p w:rsidR="00353D08" w:rsidRPr="00353D08" w:rsidRDefault="00353D08" w:rsidP="001218FD">
      <w:pPr>
        <w:numPr>
          <w:ilvl w:val="0"/>
          <w:numId w:val="11"/>
        </w:numPr>
        <w:ind w:left="426" w:hanging="426"/>
        <w:jc w:val="both"/>
        <w:rPr>
          <w:rFonts w:ascii="Arial" w:eastAsia="Cambria" w:hAnsi="Arial" w:cs="Arial"/>
          <w:lang w:eastAsia="en-US"/>
        </w:rPr>
      </w:pPr>
      <w:r w:rsidRPr="00353D08">
        <w:rPr>
          <w:rFonts w:ascii="Arial" w:eastAsia="Cambria" w:hAnsi="Arial" w:cs="Arial"/>
          <w:lang w:eastAsia="en-US"/>
        </w:rPr>
        <w:softHyphen/>
      </w:r>
      <w:r w:rsidRPr="00353D08">
        <w:rPr>
          <w:rFonts w:ascii="Arial" w:eastAsia="Cambria" w:hAnsi="Arial" w:cs="Arial"/>
          <w:lang w:eastAsia="en-US"/>
        </w:rPr>
        <w:softHyphen/>
      </w:r>
      <w:r w:rsidRPr="00353D08">
        <w:rPr>
          <w:rFonts w:ascii="Arial" w:eastAsia="Cambria" w:hAnsi="Arial" w:cs="Arial"/>
          <w:lang w:eastAsia="en-US"/>
        </w:rPr>
        <w:softHyphen/>
      </w:r>
      <w:r w:rsidRPr="00353D08">
        <w:rPr>
          <w:rFonts w:ascii="Arial" w:eastAsia="Cambria" w:hAnsi="Arial" w:cs="Arial"/>
          <w:lang w:eastAsia="en-US"/>
        </w:rPr>
        <w:softHyphen/>
      </w:r>
      <w:r w:rsidRPr="00353D08">
        <w:rPr>
          <w:rFonts w:ascii="Arial" w:eastAsia="Cambria" w:hAnsi="Arial" w:cs="Arial"/>
          <w:lang w:eastAsia="en-US"/>
        </w:rPr>
        <w:softHyphen/>
      </w:r>
      <w:r w:rsidRPr="00353D08">
        <w:rPr>
          <w:rFonts w:ascii="Arial" w:eastAsia="Cambria" w:hAnsi="Arial" w:cs="Arial"/>
          <w:lang w:eastAsia="en-US"/>
        </w:rPr>
        <w:softHyphen/>
        <w:t>Apoyar el Proyecto de Ley “Fortalecimiento del control presupuestario de los órganos desconcentrados del gobierno central”, Expediente No. 20.203.</w:t>
      </w:r>
    </w:p>
    <w:p w:rsidR="00353D08" w:rsidRPr="00353D08" w:rsidRDefault="00353D08" w:rsidP="00353D08">
      <w:pPr>
        <w:autoSpaceDE w:val="0"/>
        <w:autoSpaceDN w:val="0"/>
        <w:adjustRightInd w:val="0"/>
        <w:ind w:right="-91"/>
        <w:jc w:val="both"/>
        <w:rPr>
          <w:rFonts w:ascii="Arial" w:eastAsia="Cambria" w:hAnsi="Arial" w:cs="Arial"/>
          <w:lang w:eastAsia="en-US"/>
        </w:rPr>
      </w:pPr>
    </w:p>
    <w:p w:rsidR="00515E4C" w:rsidRPr="00917CB1" w:rsidRDefault="00515E4C" w:rsidP="007742A1">
      <w:pPr>
        <w:jc w:val="both"/>
        <w:rPr>
          <w:rFonts w:ascii="Arial" w:eastAsia="Cambria" w:hAnsi="Arial" w:cs="Arial"/>
          <w:lang w:val="es-CR" w:eastAsia="en-US"/>
        </w:rPr>
      </w:pPr>
    </w:p>
    <w:p w:rsidR="00CB682F" w:rsidRDefault="007742A1" w:rsidP="001218FD">
      <w:pPr>
        <w:numPr>
          <w:ilvl w:val="0"/>
          <w:numId w:val="11"/>
        </w:numPr>
        <w:ind w:left="426" w:hanging="426"/>
        <w:jc w:val="both"/>
        <w:rPr>
          <w:rFonts w:ascii="Arial" w:hAnsi="Arial" w:cs="Arial"/>
          <w:b/>
          <w:lang w:val="es-CR"/>
        </w:rPr>
      </w:pPr>
      <w:r w:rsidRPr="0026727D">
        <w:rPr>
          <w:rFonts w:ascii="Arial" w:hAnsi="Arial" w:cs="Arial"/>
          <w:lang w:val="es-CR"/>
        </w:rPr>
        <w:t xml:space="preserve">Comunicar. </w:t>
      </w:r>
      <w:r w:rsidRPr="0026727D">
        <w:rPr>
          <w:rFonts w:ascii="Arial" w:hAnsi="Arial" w:cs="Arial"/>
          <w:b/>
          <w:lang w:val="es-CR"/>
        </w:rPr>
        <w:t xml:space="preserve"> ACUERDO FIRME.</w:t>
      </w:r>
      <w:r w:rsidR="007C46B5" w:rsidRPr="0026727D">
        <w:rPr>
          <w:rFonts w:ascii="Arial" w:hAnsi="Arial" w:cs="Arial"/>
          <w:b/>
          <w:lang w:val="es-CR"/>
        </w:rPr>
        <w:t xml:space="preserve">  </w:t>
      </w:r>
    </w:p>
    <w:p w:rsidR="00B34BFF" w:rsidRDefault="00B34BFF" w:rsidP="00474B22">
      <w:pPr>
        <w:spacing w:line="360" w:lineRule="auto"/>
        <w:jc w:val="both"/>
        <w:outlineLvl w:val="0"/>
        <w:rPr>
          <w:rFonts w:ascii="Arial" w:eastAsia="Cambria" w:hAnsi="Arial" w:cs="Arial"/>
          <w:sz w:val="18"/>
          <w:szCs w:val="18"/>
          <w:lang w:val="es-CR" w:eastAsia="en-US"/>
        </w:rPr>
      </w:pPr>
    </w:p>
    <w:p w:rsidR="00B34BFF" w:rsidRDefault="00B34BFF" w:rsidP="00B34BFF">
      <w:pPr>
        <w:autoSpaceDE w:val="0"/>
        <w:autoSpaceDN w:val="0"/>
        <w:adjustRightInd w:val="0"/>
        <w:jc w:val="both"/>
        <w:rPr>
          <w:rFonts w:ascii="Arial" w:hAnsi="Arial" w:cs="Arial"/>
          <w:sz w:val="22"/>
          <w:szCs w:val="22"/>
          <w:lang w:val="es-CR"/>
        </w:rPr>
      </w:pPr>
    </w:p>
    <w:p w:rsidR="00765C2A" w:rsidRDefault="00765C2A" w:rsidP="00B34BFF">
      <w:pPr>
        <w:autoSpaceDE w:val="0"/>
        <w:autoSpaceDN w:val="0"/>
        <w:adjustRightInd w:val="0"/>
        <w:jc w:val="both"/>
        <w:rPr>
          <w:rFonts w:ascii="Arial" w:hAnsi="Arial" w:cs="Arial"/>
          <w:sz w:val="22"/>
          <w:szCs w:val="22"/>
          <w:lang w:val="es-CR"/>
        </w:rPr>
      </w:pPr>
    </w:p>
    <w:p w:rsidR="00765C2A" w:rsidRDefault="00765C2A" w:rsidP="00B34BFF">
      <w:pPr>
        <w:autoSpaceDE w:val="0"/>
        <w:autoSpaceDN w:val="0"/>
        <w:adjustRightInd w:val="0"/>
        <w:jc w:val="both"/>
        <w:rPr>
          <w:rFonts w:ascii="Arial" w:hAnsi="Arial" w:cs="Arial"/>
          <w:sz w:val="22"/>
          <w:szCs w:val="22"/>
          <w:lang w:val="es-CR"/>
        </w:rPr>
      </w:pPr>
    </w:p>
    <w:p w:rsidR="001218FD" w:rsidRPr="00353D08" w:rsidRDefault="001218FD" w:rsidP="001218FD">
      <w:pPr>
        <w:autoSpaceDE w:val="0"/>
        <w:autoSpaceDN w:val="0"/>
        <w:adjustRightInd w:val="0"/>
        <w:ind w:right="-91"/>
        <w:jc w:val="both"/>
        <w:rPr>
          <w:rFonts w:ascii="Arial" w:eastAsia="Cambria" w:hAnsi="Arial" w:cs="Arial"/>
          <w:b/>
          <w:lang w:val="es-CR" w:eastAsia="en-US"/>
        </w:rPr>
      </w:pPr>
      <w:r w:rsidRPr="00353D08">
        <w:rPr>
          <w:rFonts w:ascii="Arial" w:hAnsi="Arial" w:cs="Arial"/>
          <w:b/>
          <w:sz w:val="20"/>
          <w:szCs w:val="20"/>
          <w:lang w:val="es-CR"/>
        </w:rPr>
        <w:t xml:space="preserve">PALABRAS CLAVE:   Proyecto </w:t>
      </w:r>
      <w:r w:rsidRPr="00353D08">
        <w:rPr>
          <w:rFonts w:ascii="Arial" w:hAnsi="Arial" w:cs="Arial"/>
          <w:sz w:val="20"/>
          <w:szCs w:val="20"/>
          <w:lang w:val="es-CR"/>
        </w:rPr>
        <w:t xml:space="preserve">– </w:t>
      </w:r>
      <w:r w:rsidRPr="00353D08">
        <w:rPr>
          <w:rFonts w:ascii="Arial" w:hAnsi="Arial" w:cs="Arial"/>
          <w:b/>
          <w:sz w:val="22"/>
          <w:szCs w:val="22"/>
          <w:lang w:val="es-CR"/>
        </w:rPr>
        <w:t>Ley- Fortalecimiento – control – presupuestario –Órganos – desconcentrados –Gobierno -20.203</w:t>
      </w:r>
    </w:p>
    <w:p w:rsidR="001218FD" w:rsidRPr="00353D08" w:rsidRDefault="001218FD" w:rsidP="001218FD">
      <w:pPr>
        <w:jc w:val="both"/>
        <w:rPr>
          <w:rFonts w:ascii="Arial" w:eastAsia="Cambria" w:hAnsi="Arial" w:cs="Arial"/>
          <w:lang w:val="es-CR" w:eastAsia="en-US"/>
        </w:rPr>
      </w:pPr>
    </w:p>
    <w:p w:rsidR="00765C2A" w:rsidRDefault="00765C2A" w:rsidP="00B34BFF">
      <w:pPr>
        <w:autoSpaceDE w:val="0"/>
        <w:autoSpaceDN w:val="0"/>
        <w:adjustRightInd w:val="0"/>
        <w:jc w:val="both"/>
        <w:rPr>
          <w:rFonts w:ascii="Arial" w:hAnsi="Arial" w:cs="Arial"/>
          <w:sz w:val="22"/>
          <w:szCs w:val="22"/>
          <w:lang w:val="es-CR"/>
        </w:rPr>
      </w:pPr>
    </w:p>
    <w:p w:rsidR="00765C2A" w:rsidRPr="00917CB1" w:rsidRDefault="00765C2A" w:rsidP="00B34BFF">
      <w:pPr>
        <w:autoSpaceDE w:val="0"/>
        <w:autoSpaceDN w:val="0"/>
        <w:adjustRightInd w:val="0"/>
        <w:jc w:val="both"/>
        <w:rPr>
          <w:rFonts w:ascii="Arial" w:hAnsi="Arial" w:cs="Arial"/>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1218FD" w:rsidRPr="00474B22" w:rsidTr="00D823E9">
        <w:trPr>
          <w:trHeight w:val="183"/>
        </w:trPr>
        <w:tc>
          <w:tcPr>
            <w:tcW w:w="4361" w:type="dxa"/>
          </w:tcPr>
          <w:p w:rsidR="001218FD" w:rsidRPr="00474B22" w:rsidRDefault="001218FD" w:rsidP="00D823E9">
            <w:pPr>
              <w:ind w:left="-567" w:firstLine="567"/>
              <w:jc w:val="both"/>
              <w:rPr>
                <w:rFonts w:ascii="Arial" w:eastAsia="Cambria" w:hAnsi="Arial" w:cs="Arial"/>
                <w:b/>
                <w:sz w:val="16"/>
                <w:szCs w:val="16"/>
                <w:lang w:val="es-ES_tradnl" w:eastAsia="en-US"/>
              </w:rPr>
            </w:pPr>
          </w:p>
        </w:tc>
        <w:tc>
          <w:tcPr>
            <w:tcW w:w="4361" w:type="dxa"/>
          </w:tcPr>
          <w:p w:rsidR="001218FD" w:rsidRPr="00474B22" w:rsidRDefault="001218FD" w:rsidP="00D823E9">
            <w:pPr>
              <w:jc w:val="both"/>
              <w:rPr>
                <w:rFonts w:ascii="Arial" w:eastAsia="Cambria" w:hAnsi="Arial" w:cs="Arial"/>
                <w:b/>
                <w:sz w:val="16"/>
                <w:szCs w:val="16"/>
                <w:lang w:val="es-ES_tradnl" w:eastAsia="en-US"/>
              </w:rPr>
            </w:pPr>
          </w:p>
        </w:tc>
        <w:tc>
          <w:tcPr>
            <w:tcW w:w="4361" w:type="dxa"/>
          </w:tcPr>
          <w:p w:rsidR="001218FD" w:rsidRPr="00474B22" w:rsidRDefault="001218FD" w:rsidP="00D823E9">
            <w:pPr>
              <w:jc w:val="both"/>
              <w:rPr>
                <w:rFonts w:ascii="Arial" w:eastAsia="Cambria" w:hAnsi="Arial" w:cs="Arial"/>
                <w:b/>
                <w:sz w:val="16"/>
                <w:szCs w:val="16"/>
                <w:lang w:val="es-ES_tradnl" w:eastAsia="en-US"/>
              </w:rPr>
            </w:pPr>
          </w:p>
        </w:tc>
        <w:tc>
          <w:tcPr>
            <w:tcW w:w="4361" w:type="dxa"/>
          </w:tcPr>
          <w:p w:rsidR="001218FD" w:rsidRPr="00474B22" w:rsidRDefault="001218FD" w:rsidP="00D823E9">
            <w:pPr>
              <w:jc w:val="both"/>
              <w:rPr>
                <w:rFonts w:ascii="Arial" w:eastAsia="Cambria" w:hAnsi="Arial" w:cs="Arial"/>
                <w:b/>
                <w:sz w:val="16"/>
                <w:szCs w:val="16"/>
                <w:lang w:val="es-ES_tradnl" w:eastAsia="en-US"/>
              </w:rPr>
            </w:pPr>
          </w:p>
        </w:tc>
        <w:tc>
          <w:tcPr>
            <w:tcW w:w="5103" w:type="dxa"/>
            <w:gridSpan w:val="2"/>
          </w:tcPr>
          <w:p w:rsidR="001218FD" w:rsidRPr="00474B22" w:rsidRDefault="001218FD" w:rsidP="00D823E9">
            <w:pPr>
              <w:jc w:val="both"/>
              <w:rPr>
                <w:rFonts w:ascii="Arial" w:eastAsia="Cambria" w:hAnsi="Arial" w:cs="Arial"/>
                <w:b/>
                <w:sz w:val="16"/>
                <w:szCs w:val="16"/>
                <w:lang w:val="es-ES_tradnl" w:eastAsia="en-US"/>
              </w:rPr>
            </w:pPr>
          </w:p>
        </w:tc>
      </w:tr>
      <w:tr w:rsidR="001218FD" w:rsidRPr="00474B22" w:rsidTr="00D823E9">
        <w:trPr>
          <w:gridAfter w:val="1"/>
          <w:wAfter w:w="4361" w:type="dxa"/>
          <w:trHeight w:val="183"/>
        </w:trPr>
        <w:tc>
          <w:tcPr>
            <w:tcW w:w="4361" w:type="dxa"/>
          </w:tcPr>
          <w:p w:rsidR="001218FD" w:rsidRPr="00474B22" w:rsidRDefault="001218FD" w:rsidP="00D823E9">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ci.  Secretaría del Consejo Institucional</w:t>
            </w:r>
          </w:p>
          <w:p w:rsidR="001218FD" w:rsidRPr="00474B22" w:rsidRDefault="001218FD" w:rsidP="00D823E9">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Vicerrectoría Docencia</w:t>
            </w:r>
          </w:p>
          <w:p w:rsidR="001218FD" w:rsidRPr="00474B22" w:rsidRDefault="001218FD" w:rsidP="00D823E9">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VIE</w:t>
            </w:r>
          </w:p>
          <w:p w:rsidR="001218FD" w:rsidRPr="00474B22" w:rsidRDefault="001218FD" w:rsidP="00D823E9">
            <w:pPr>
              <w:ind w:left="-567" w:firstLine="567"/>
              <w:jc w:val="both"/>
              <w:rPr>
                <w:rFonts w:ascii="Arial" w:eastAsia="Cambria" w:hAnsi="Arial" w:cs="Arial"/>
                <w:b/>
                <w:sz w:val="16"/>
                <w:szCs w:val="16"/>
                <w:lang w:val="es-ES_tradnl" w:eastAsia="en-US"/>
              </w:rPr>
            </w:pPr>
            <w:proofErr w:type="spellStart"/>
            <w:r w:rsidRPr="00474B22">
              <w:rPr>
                <w:rFonts w:ascii="Arial" w:eastAsia="Cambria" w:hAnsi="Arial" w:cs="Arial"/>
                <w:b/>
                <w:sz w:val="16"/>
                <w:szCs w:val="16"/>
                <w:lang w:val="es-ES_tradnl" w:eastAsia="en-US"/>
              </w:rPr>
              <w:t>VIESA</w:t>
            </w:r>
            <w:proofErr w:type="spellEnd"/>
          </w:p>
          <w:p w:rsidR="001218FD" w:rsidRPr="00474B22" w:rsidRDefault="001218FD" w:rsidP="00D823E9">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Sede Regional San Carlos</w:t>
            </w:r>
          </w:p>
          <w:p w:rsidR="001218FD" w:rsidRPr="00474B22" w:rsidRDefault="001218FD" w:rsidP="00D823E9">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Académico de San José</w:t>
            </w:r>
          </w:p>
          <w:p w:rsidR="001218FD" w:rsidRPr="00474B22" w:rsidRDefault="001218FD" w:rsidP="00D823E9">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Académico de Alajuela</w:t>
            </w:r>
          </w:p>
          <w:p w:rsidR="001218FD" w:rsidRPr="00474B22" w:rsidRDefault="001218FD" w:rsidP="00D823E9">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Académico de Limón</w:t>
            </w:r>
          </w:p>
          <w:p w:rsidR="001218FD" w:rsidRPr="00474B22" w:rsidRDefault="001218FD" w:rsidP="00D823E9">
            <w:pPr>
              <w:ind w:left="-567" w:firstLine="567"/>
              <w:jc w:val="both"/>
              <w:rPr>
                <w:rFonts w:ascii="Arial" w:eastAsia="Cambria" w:hAnsi="Arial" w:cs="Arial"/>
                <w:b/>
                <w:sz w:val="16"/>
                <w:szCs w:val="16"/>
                <w:lang w:val="es-ES_tradnl" w:eastAsia="en-US"/>
              </w:rPr>
            </w:pPr>
            <w:proofErr w:type="spellStart"/>
            <w:r w:rsidRPr="00474B22">
              <w:rPr>
                <w:rFonts w:ascii="Arial" w:eastAsia="Cambria" w:hAnsi="Arial" w:cs="Arial"/>
                <w:b/>
                <w:sz w:val="16"/>
                <w:szCs w:val="16"/>
                <w:lang w:val="es-ES_tradnl" w:eastAsia="en-US"/>
              </w:rPr>
              <w:t>OPI</w:t>
            </w:r>
            <w:proofErr w:type="spellEnd"/>
          </w:p>
          <w:p w:rsidR="001218FD" w:rsidRPr="00474B22" w:rsidRDefault="001218FD" w:rsidP="00D823E9">
            <w:pPr>
              <w:ind w:left="-567" w:firstLine="567"/>
              <w:jc w:val="both"/>
              <w:rPr>
                <w:rFonts w:ascii="Arial" w:eastAsia="Cambria" w:hAnsi="Arial" w:cs="Arial"/>
                <w:b/>
                <w:sz w:val="16"/>
                <w:szCs w:val="16"/>
                <w:lang w:val="es-ES_tradnl" w:eastAsia="en-US"/>
              </w:rPr>
            </w:pPr>
          </w:p>
          <w:p w:rsidR="001218FD" w:rsidRPr="00474B22" w:rsidRDefault="001218FD" w:rsidP="00D823E9">
            <w:pPr>
              <w:ind w:left="-567" w:firstLine="567"/>
              <w:jc w:val="both"/>
              <w:rPr>
                <w:rFonts w:ascii="Arial" w:eastAsia="Cambria" w:hAnsi="Arial" w:cs="Arial"/>
                <w:b/>
                <w:sz w:val="16"/>
                <w:szCs w:val="16"/>
                <w:lang w:val="es-ES_tradnl" w:eastAsia="en-US"/>
              </w:rPr>
            </w:pPr>
          </w:p>
          <w:p w:rsidR="001218FD" w:rsidRPr="00474B22" w:rsidRDefault="001218FD" w:rsidP="00D823E9">
            <w:pPr>
              <w:ind w:left="-567" w:firstLine="567"/>
              <w:jc w:val="both"/>
              <w:rPr>
                <w:rFonts w:ascii="Arial" w:eastAsia="Cambria" w:hAnsi="Arial" w:cs="Arial"/>
                <w:b/>
                <w:sz w:val="16"/>
                <w:szCs w:val="16"/>
                <w:lang w:val="es-ES_tradnl" w:eastAsia="en-US"/>
              </w:rPr>
            </w:pPr>
          </w:p>
        </w:tc>
        <w:tc>
          <w:tcPr>
            <w:tcW w:w="4361" w:type="dxa"/>
          </w:tcPr>
          <w:p w:rsidR="001218FD" w:rsidRPr="00474B22" w:rsidRDefault="001218FD" w:rsidP="00D823E9">
            <w:pPr>
              <w:jc w:val="both"/>
              <w:rPr>
                <w:rFonts w:ascii="Arial" w:eastAsia="Cambria" w:hAnsi="Arial" w:cs="Arial"/>
                <w:b/>
                <w:sz w:val="16"/>
                <w:szCs w:val="16"/>
                <w:lang w:val="es-ES_tradnl" w:eastAsia="en-US"/>
              </w:rPr>
            </w:pPr>
          </w:p>
          <w:p w:rsidR="001218FD" w:rsidRPr="00474B22" w:rsidRDefault="001218FD" w:rsidP="00D823E9">
            <w:pPr>
              <w:ind w:firstLine="34"/>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Auditoría Interna (Notificado a la Secretaria vía correo electrónico)</w:t>
            </w:r>
          </w:p>
          <w:p w:rsidR="001218FD" w:rsidRPr="00474B22" w:rsidRDefault="001218FD" w:rsidP="00D823E9">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 xml:space="preserve">Comunicación y Mercadeo </w:t>
            </w:r>
          </w:p>
          <w:p w:rsidR="001218FD" w:rsidRPr="00474B22" w:rsidRDefault="001218FD" w:rsidP="00D823E9">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de Archivo y Comunicaciones</w:t>
            </w:r>
          </w:p>
          <w:p w:rsidR="001218FD" w:rsidRDefault="001218FD" w:rsidP="00D823E9">
            <w:pPr>
              <w:rPr>
                <w:rFonts w:ascii="Arial" w:eastAsia="Cambria" w:hAnsi="Arial" w:cs="Arial"/>
                <w:b/>
                <w:sz w:val="16"/>
                <w:szCs w:val="16"/>
                <w:lang w:val="es-CR" w:eastAsia="en-US"/>
              </w:rPr>
            </w:pPr>
            <w:proofErr w:type="spellStart"/>
            <w:r w:rsidRPr="00474B22">
              <w:rPr>
                <w:rFonts w:ascii="Arial" w:eastAsia="Cambria" w:hAnsi="Arial" w:cs="Arial"/>
                <w:b/>
                <w:sz w:val="16"/>
                <w:szCs w:val="16"/>
                <w:lang w:val="es-CR" w:eastAsia="en-US"/>
              </w:rPr>
              <w:t>FEITEC</w:t>
            </w:r>
            <w:proofErr w:type="spellEnd"/>
          </w:p>
          <w:p w:rsidR="001218FD" w:rsidRPr="00474B22" w:rsidRDefault="001218FD" w:rsidP="00D823E9">
            <w:pPr>
              <w:rPr>
                <w:rFonts w:ascii="Arial" w:eastAsia="Cambria" w:hAnsi="Arial" w:cs="Arial"/>
                <w:b/>
                <w:sz w:val="16"/>
                <w:szCs w:val="16"/>
                <w:lang w:val="es-CR" w:eastAsia="en-US"/>
              </w:rPr>
            </w:pPr>
            <w:r>
              <w:rPr>
                <w:rFonts w:ascii="Arial" w:eastAsia="Cambria" w:hAnsi="Arial" w:cs="Arial"/>
                <w:b/>
                <w:sz w:val="16"/>
                <w:szCs w:val="16"/>
                <w:lang w:val="es-CR" w:eastAsia="en-US"/>
              </w:rPr>
              <w:t xml:space="preserve">Dr. Alejandro Masís, Director Escuela Administración de Empresas </w:t>
            </w:r>
          </w:p>
          <w:p w:rsidR="001218FD" w:rsidRPr="00474B22" w:rsidRDefault="001218FD" w:rsidP="00D823E9">
            <w:pPr>
              <w:keepLines/>
              <w:jc w:val="both"/>
              <w:rPr>
                <w:rFonts w:ascii="Arial" w:eastAsia="Cambria" w:hAnsi="Arial" w:cs="Arial"/>
                <w:b/>
                <w:sz w:val="16"/>
                <w:szCs w:val="16"/>
                <w:lang w:val="es-CR" w:eastAsia="en-US"/>
              </w:rPr>
            </w:pPr>
          </w:p>
        </w:tc>
        <w:tc>
          <w:tcPr>
            <w:tcW w:w="4361" w:type="dxa"/>
          </w:tcPr>
          <w:p w:rsidR="001218FD" w:rsidRPr="00474B22" w:rsidRDefault="001218FD" w:rsidP="00D823E9">
            <w:pPr>
              <w:jc w:val="both"/>
              <w:rPr>
                <w:rFonts w:ascii="Arial" w:eastAsia="Cambria" w:hAnsi="Arial" w:cs="Arial"/>
                <w:b/>
                <w:sz w:val="16"/>
                <w:szCs w:val="16"/>
                <w:lang w:val="es-ES_tradnl" w:eastAsia="en-US"/>
              </w:rPr>
            </w:pPr>
          </w:p>
        </w:tc>
        <w:tc>
          <w:tcPr>
            <w:tcW w:w="5103" w:type="dxa"/>
            <w:gridSpan w:val="2"/>
          </w:tcPr>
          <w:p w:rsidR="001218FD" w:rsidRPr="00474B22" w:rsidRDefault="001218FD" w:rsidP="00D823E9">
            <w:pPr>
              <w:jc w:val="both"/>
              <w:rPr>
                <w:rFonts w:ascii="Arial" w:eastAsia="Cambria" w:hAnsi="Arial" w:cs="Arial"/>
                <w:b/>
                <w:sz w:val="16"/>
                <w:szCs w:val="16"/>
                <w:lang w:val="es-ES_tradnl" w:eastAsia="en-US"/>
              </w:rPr>
            </w:pPr>
          </w:p>
        </w:tc>
      </w:tr>
    </w:tbl>
    <w:p w:rsidR="00D86107" w:rsidRPr="001218FD" w:rsidRDefault="00D86107" w:rsidP="00D86107">
      <w:pPr>
        <w:tabs>
          <w:tab w:val="left" w:pos="760"/>
        </w:tabs>
        <w:spacing w:line="276" w:lineRule="auto"/>
        <w:jc w:val="both"/>
        <w:rPr>
          <w:rFonts w:ascii="Arial" w:hAnsi="Arial" w:cs="Arial"/>
          <w:b/>
          <w:sz w:val="22"/>
          <w:szCs w:val="22"/>
        </w:rPr>
      </w:pPr>
    </w:p>
    <w:p w:rsidR="005D234B" w:rsidRDefault="005D234B" w:rsidP="00521B94">
      <w:pPr>
        <w:autoSpaceDE w:val="0"/>
        <w:autoSpaceDN w:val="0"/>
        <w:adjustRightInd w:val="0"/>
        <w:jc w:val="both"/>
        <w:rPr>
          <w:rFonts w:ascii="Arial" w:hAnsi="Arial" w:cs="Arial"/>
          <w:b/>
          <w:sz w:val="22"/>
          <w:szCs w:val="22"/>
          <w:lang w:val="es-CR"/>
        </w:rPr>
      </w:pPr>
    </w:p>
    <w:p w:rsidR="00D86107" w:rsidRDefault="001218FD" w:rsidP="00521B94">
      <w:pPr>
        <w:autoSpaceDE w:val="0"/>
        <w:autoSpaceDN w:val="0"/>
        <w:adjustRightInd w:val="0"/>
        <w:jc w:val="both"/>
        <w:rPr>
          <w:rFonts w:ascii="Arial" w:hAnsi="Arial" w:cs="Arial"/>
          <w:b/>
          <w:sz w:val="22"/>
          <w:szCs w:val="22"/>
          <w:lang w:val="es-CR"/>
        </w:rPr>
      </w:pPr>
      <w:r>
        <w:rPr>
          <w:rFonts w:ascii="Arial" w:hAnsi="Arial" w:cs="Arial"/>
          <w:b/>
          <w:sz w:val="22"/>
          <w:szCs w:val="22"/>
          <w:lang w:val="es-CR"/>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Link" ProgID="AcroExch.Document.11" ShapeID="_x0000_i1025" DrawAspect="Icon" r:id="rId9" UpdateMode="OnCall">
            <o:LinkType>EnhancedMetaFile</o:LinkType>
            <o:LockedField>false</o:LockedField>
            <o:FieldCodes>\f 0</o:FieldCodes>
          </o:OLEObject>
        </w:object>
      </w:r>
      <w:r>
        <w:rPr>
          <w:rFonts w:ascii="Arial" w:hAnsi="Arial" w:cs="Arial"/>
          <w:b/>
          <w:sz w:val="22"/>
          <w:szCs w:val="22"/>
          <w:lang w:val="es-CR"/>
        </w:rPr>
        <w:object w:dxaOrig="1513" w:dyaOrig="984">
          <v:shape id="_x0000_i1026" type="#_x0000_t75" style="width:75.6pt;height:49.2pt" o:ole="">
            <v:imagedata r:id="rId10" o:title=""/>
          </v:shape>
          <o:OLEObject Type="Link" ProgID="Word.Document.12" ShapeID="_x0000_i1026" DrawAspect="Icon" r:id="rId11" UpdateMode="OnCall">
            <o:LinkType>EnhancedMetaFile</o:LinkType>
            <o:LockedField>false</o:LockedField>
            <o:FieldCodes>\f 0</o:FieldCodes>
          </o:OLEObject>
        </w:object>
      </w:r>
    </w:p>
    <w:p w:rsidR="00D86107" w:rsidRDefault="00D86107" w:rsidP="00521B94">
      <w:pPr>
        <w:autoSpaceDE w:val="0"/>
        <w:autoSpaceDN w:val="0"/>
        <w:adjustRightInd w:val="0"/>
        <w:jc w:val="both"/>
        <w:rPr>
          <w:rFonts w:ascii="Arial" w:hAnsi="Arial" w:cs="Arial"/>
          <w:b/>
          <w:sz w:val="22"/>
          <w:szCs w:val="22"/>
          <w:lang w:val="es-CR"/>
        </w:rPr>
      </w:pPr>
    </w:p>
    <w:p w:rsidR="00D86107" w:rsidRDefault="00D86107" w:rsidP="00521B94">
      <w:pPr>
        <w:autoSpaceDE w:val="0"/>
        <w:autoSpaceDN w:val="0"/>
        <w:adjustRightInd w:val="0"/>
        <w:jc w:val="both"/>
        <w:rPr>
          <w:rFonts w:ascii="Arial" w:hAnsi="Arial" w:cs="Arial"/>
          <w:b/>
          <w:sz w:val="22"/>
          <w:szCs w:val="22"/>
          <w:lang w:val="es-CR"/>
        </w:rPr>
      </w:pPr>
    </w:p>
    <w:p w:rsidR="00D86107" w:rsidRDefault="00D86107" w:rsidP="00521B94">
      <w:pPr>
        <w:autoSpaceDE w:val="0"/>
        <w:autoSpaceDN w:val="0"/>
        <w:adjustRightInd w:val="0"/>
        <w:jc w:val="both"/>
        <w:rPr>
          <w:rFonts w:ascii="Arial" w:hAnsi="Arial" w:cs="Arial"/>
          <w:b/>
          <w:sz w:val="22"/>
          <w:szCs w:val="22"/>
          <w:lang w:val="es-CR"/>
        </w:rPr>
      </w:pPr>
    </w:p>
    <w:p w:rsidR="00D86107" w:rsidRPr="00521B94" w:rsidRDefault="00D86107" w:rsidP="00521B94">
      <w:pPr>
        <w:autoSpaceDE w:val="0"/>
        <w:autoSpaceDN w:val="0"/>
        <w:adjustRightInd w:val="0"/>
        <w:jc w:val="both"/>
        <w:rPr>
          <w:rFonts w:ascii="Arial" w:hAnsi="Arial" w:cs="Arial"/>
          <w:b/>
          <w:sz w:val="22"/>
          <w:szCs w:val="22"/>
          <w:lang w:val="es-CR"/>
        </w:rPr>
      </w:pPr>
    </w:p>
    <w:p w:rsidR="00521B94" w:rsidRDefault="00521B94" w:rsidP="008D0FEC">
      <w:pPr>
        <w:jc w:val="both"/>
        <w:rPr>
          <w:rFonts w:ascii="Arial" w:hAnsi="Arial" w:cs="Arial"/>
          <w:b/>
          <w:i/>
          <w:sz w:val="22"/>
          <w:szCs w:val="22"/>
        </w:rPr>
      </w:pPr>
    </w:p>
    <w:p w:rsidR="00DD763F" w:rsidRPr="00DD763F" w:rsidRDefault="00DD763F" w:rsidP="00DD763F">
      <w:pPr>
        <w:jc w:val="both"/>
        <w:rPr>
          <w:rFonts w:ascii="Arial" w:hAnsi="Arial" w:cs="Arial"/>
          <w:i/>
          <w:sz w:val="16"/>
          <w:szCs w:val="16"/>
          <w:lang w:val="es-CR"/>
        </w:rPr>
      </w:pPr>
    </w:p>
    <w:p w:rsidR="00DD763F" w:rsidRDefault="00DD763F" w:rsidP="00DD763F">
      <w:pPr>
        <w:jc w:val="both"/>
        <w:rPr>
          <w:rFonts w:ascii="Arial" w:hAnsi="Arial" w:cs="Arial"/>
          <w:i/>
          <w:sz w:val="16"/>
          <w:szCs w:val="16"/>
          <w:lang w:val="es-CR"/>
        </w:rPr>
      </w:pPr>
    </w:p>
    <w:sectPr w:rsidR="00DD763F" w:rsidSect="00353D08">
      <w:headerReference w:type="default" r:id="rId12"/>
      <w:footerReference w:type="default" r:id="rId13"/>
      <w:pgSz w:w="12242" w:h="15842" w:code="1"/>
      <w:pgMar w:top="1418" w:right="1361"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937" w:rsidRDefault="00FE0937">
      <w:r>
        <w:separator/>
      </w:r>
    </w:p>
  </w:endnote>
  <w:endnote w:type="continuationSeparator" w:id="0">
    <w:p w:rsidR="00FE0937" w:rsidRDefault="00F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Default="00437F0F">
    <w:pPr>
      <w:pStyle w:val="Piedepgina"/>
      <w:jc w:val="center"/>
    </w:pPr>
  </w:p>
  <w:p w:rsidR="00437F0F" w:rsidRDefault="00437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937" w:rsidRDefault="00FE0937">
      <w:r>
        <w:separator/>
      </w:r>
    </w:p>
  </w:footnote>
  <w:footnote w:type="continuationSeparator" w:id="0">
    <w:p w:rsidR="00FE0937" w:rsidRDefault="00FE0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Pr="00D958BC" w:rsidRDefault="00437F0F"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437F0F" w:rsidRPr="00D958BC"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353D08">
      <w:rPr>
        <w:rFonts w:ascii="Arial" w:eastAsia="Cambria" w:hAnsi="Arial" w:cs="Arial"/>
        <w:i/>
        <w:sz w:val="18"/>
        <w:szCs w:val="18"/>
        <w:lang w:val="es-ES_tradnl" w:eastAsia="x-none"/>
      </w:rPr>
      <w:t>20</w:t>
    </w:r>
    <w:r w:rsidRPr="00D958BC">
      <w:rPr>
        <w:rFonts w:ascii="Arial" w:eastAsia="Cambria" w:hAnsi="Arial" w:cs="Arial"/>
        <w:i/>
        <w:sz w:val="18"/>
        <w:szCs w:val="18"/>
        <w:lang w:val="es-ES_tradnl" w:eastAsia="x-none"/>
      </w:rPr>
      <w:t xml:space="preserve">, Artículo </w:t>
    </w:r>
    <w:r w:rsidR="00054B7B">
      <w:rPr>
        <w:rFonts w:ascii="Arial" w:eastAsia="Cambria" w:hAnsi="Arial" w:cs="Arial"/>
        <w:i/>
        <w:sz w:val="18"/>
        <w:szCs w:val="18"/>
        <w:lang w:val="es-ES_tradnl" w:eastAsia="x-none"/>
      </w:rPr>
      <w:t>8</w:t>
    </w:r>
    <w:r w:rsidR="006442DF">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353D08">
      <w:rPr>
        <w:rFonts w:ascii="Arial" w:eastAsia="Cambria" w:hAnsi="Arial" w:cs="Arial"/>
        <w:i/>
        <w:sz w:val="18"/>
        <w:szCs w:val="18"/>
        <w:lang w:val="es-ES_tradnl" w:eastAsia="x-none"/>
      </w:rPr>
      <w:t>03</w:t>
    </w:r>
    <w:r w:rsidR="006442DF">
      <w:rPr>
        <w:rFonts w:ascii="Arial" w:eastAsia="Cambria" w:hAnsi="Arial" w:cs="Arial"/>
        <w:i/>
        <w:sz w:val="18"/>
        <w:szCs w:val="18"/>
        <w:lang w:val="es-ES_tradnl" w:eastAsia="x-none"/>
      </w:rPr>
      <w:t xml:space="preserve"> de </w:t>
    </w:r>
    <w:r w:rsidR="00353D08">
      <w:rPr>
        <w:rFonts w:ascii="Arial" w:eastAsia="Cambria" w:hAnsi="Arial" w:cs="Arial"/>
        <w:i/>
        <w:sz w:val="18"/>
        <w:szCs w:val="18"/>
        <w:lang w:val="es-ES_tradnl" w:eastAsia="x-none"/>
      </w:rPr>
      <w:t>mayo</w:t>
    </w:r>
    <w:r w:rsidR="006442DF">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437F0F"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F84356">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437F0F" w:rsidRDefault="00437F0F"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DB1622"/>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B734C35"/>
    <w:multiLevelType w:val="hybridMultilevel"/>
    <w:tmpl w:val="10DAF244"/>
    <w:lvl w:ilvl="0" w:tplc="33BAC230">
      <w:start w:val="1"/>
      <w:numFmt w:val="decimal"/>
      <w:lvlText w:val="%1."/>
      <w:lvlJc w:val="left"/>
      <w:pPr>
        <w:ind w:left="786"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AC503CB"/>
    <w:multiLevelType w:val="hybridMultilevel"/>
    <w:tmpl w:val="7AC2CF68"/>
    <w:lvl w:ilvl="0" w:tplc="140A0017">
      <w:start w:val="1"/>
      <w:numFmt w:val="lowerLetter"/>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6" w15:restartNumberingAfterBreak="0">
    <w:nsid w:val="2B3832C3"/>
    <w:multiLevelType w:val="hybridMultilevel"/>
    <w:tmpl w:val="CCA4600E"/>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C7C51D9"/>
    <w:multiLevelType w:val="hybridMultilevel"/>
    <w:tmpl w:val="EE2236BC"/>
    <w:lvl w:ilvl="0" w:tplc="32C891F2">
      <w:start w:val="1"/>
      <w:numFmt w:val="lowerLetter"/>
      <w:lvlText w:val="%1."/>
      <w:lvlJc w:val="left"/>
      <w:pPr>
        <w:ind w:left="363" w:hanging="360"/>
      </w:pPr>
      <w:rPr>
        <w:rFonts w:hint="default"/>
        <w:b/>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8" w15:restartNumberingAfterBreak="0">
    <w:nsid w:val="34BA7C37"/>
    <w:multiLevelType w:val="hybridMultilevel"/>
    <w:tmpl w:val="F934CA1A"/>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486EF5"/>
    <w:multiLevelType w:val="hybridMultilevel"/>
    <w:tmpl w:val="B3881830"/>
    <w:lvl w:ilvl="0" w:tplc="D21ABC76">
      <w:start w:val="1"/>
      <w:numFmt w:val="decimal"/>
      <w:lvlText w:val="%1."/>
      <w:lvlJc w:val="left"/>
      <w:pPr>
        <w:ind w:left="720" w:hanging="360"/>
      </w:pPr>
      <w:rPr>
        <w:b/>
        <w:i w:val="0"/>
        <w:sz w:val="24"/>
        <w:szCs w:val="24"/>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11"/>
  </w:num>
  <w:num w:numId="6">
    <w:abstractNumId w:val="3"/>
  </w:num>
  <w:num w:numId="7">
    <w:abstractNumId w:val="2"/>
  </w:num>
  <w:num w:numId="8">
    <w:abstractNumId w:val="10"/>
  </w:num>
  <w:num w:numId="9">
    <w:abstractNumId w:val="9"/>
  </w:num>
  <w:num w:numId="10">
    <w:abstractNumId w:val="8"/>
  </w:num>
  <w:num w:numId="11">
    <w:abstractNumId w:val="6"/>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21A3"/>
    <w:rsid w:val="000040EF"/>
    <w:rsid w:val="0000518D"/>
    <w:rsid w:val="00010592"/>
    <w:rsid w:val="000128E2"/>
    <w:rsid w:val="00017DE2"/>
    <w:rsid w:val="000213DD"/>
    <w:rsid w:val="00024564"/>
    <w:rsid w:val="00024BA5"/>
    <w:rsid w:val="000254A5"/>
    <w:rsid w:val="00034CE3"/>
    <w:rsid w:val="000359F5"/>
    <w:rsid w:val="00036DAC"/>
    <w:rsid w:val="000401D6"/>
    <w:rsid w:val="000414FE"/>
    <w:rsid w:val="000428F8"/>
    <w:rsid w:val="000437DE"/>
    <w:rsid w:val="00043B22"/>
    <w:rsid w:val="00047F2B"/>
    <w:rsid w:val="00050123"/>
    <w:rsid w:val="00054B7B"/>
    <w:rsid w:val="000602DE"/>
    <w:rsid w:val="00060CCC"/>
    <w:rsid w:val="00067296"/>
    <w:rsid w:val="00067BE7"/>
    <w:rsid w:val="00067C8C"/>
    <w:rsid w:val="0007411A"/>
    <w:rsid w:val="00076DBD"/>
    <w:rsid w:val="00076EC1"/>
    <w:rsid w:val="00077D4B"/>
    <w:rsid w:val="0008022E"/>
    <w:rsid w:val="00080FD1"/>
    <w:rsid w:val="000813BE"/>
    <w:rsid w:val="00081BCF"/>
    <w:rsid w:val="000828EC"/>
    <w:rsid w:val="000846DF"/>
    <w:rsid w:val="00084FDD"/>
    <w:rsid w:val="000903CE"/>
    <w:rsid w:val="00090FDF"/>
    <w:rsid w:val="00091B7B"/>
    <w:rsid w:val="000934FF"/>
    <w:rsid w:val="000A0756"/>
    <w:rsid w:val="000A5D85"/>
    <w:rsid w:val="000B10B4"/>
    <w:rsid w:val="000B10C0"/>
    <w:rsid w:val="000B1A07"/>
    <w:rsid w:val="000B39AF"/>
    <w:rsid w:val="000B55D7"/>
    <w:rsid w:val="000B6841"/>
    <w:rsid w:val="000B6B41"/>
    <w:rsid w:val="000B7C5A"/>
    <w:rsid w:val="000C0A23"/>
    <w:rsid w:val="000C3E9F"/>
    <w:rsid w:val="000C4D32"/>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18FD"/>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50F07"/>
    <w:rsid w:val="00153E19"/>
    <w:rsid w:val="00155121"/>
    <w:rsid w:val="00156111"/>
    <w:rsid w:val="0016151D"/>
    <w:rsid w:val="00162241"/>
    <w:rsid w:val="001644B1"/>
    <w:rsid w:val="00165556"/>
    <w:rsid w:val="00165902"/>
    <w:rsid w:val="00165C83"/>
    <w:rsid w:val="00165F34"/>
    <w:rsid w:val="00166375"/>
    <w:rsid w:val="00171AC3"/>
    <w:rsid w:val="001746E5"/>
    <w:rsid w:val="0018030A"/>
    <w:rsid w:val="001806C4"/>
    <w:rsid w:val="00182124"/>
    <w:rsid w:val="00187E00"/>
    <w:rsid w:val="001962C2"/>
    <w:rsid w:val="001B1E0E"/>
    <w:rsid w:val="001B208D"/>
    <w:rsid w:val="001B59CC"/>
    <w:rsid w:val="001C1124"/>
    <w:rsid w:val="001C1335"/>
    <w:rsid w:val="001D40F5"/>
    <w:rsid w:val="001E0224"/>
    <w:rsid w:val="001E08C0"/>
    <w:rsid w:val="001E11D4"/>
    <w:rsid w:val="001E684C"/>
    <w:rsid w:val="001E69A6"/>
    <w:rsid w:val="001E69C9"/>
    <w:rsid w:val="001F0C0F"/>
    <w:rsid w:val="001F3C06"/>
    <w:rsid w:val="0020019E"/>
    <w:rsid w:val="0020223D"/>
    <w:rsid w:val="00204A01"/>
    <w:rsid w:val="00204A3D"/>
    <w:rsid w:val="00210743"/>
    <w:rsid w:val="002118B2"/>
    <w:rsid w:val="002127EE"/>
    <w:rsid w:val="002139D9"/>
    <w:rsid w:val="00217BCB"/>
    <w:rsid w:val="002207D9"/>
    <w:rsid w:val="00220ED5"/>
    <w:rsid w:val="00221713"/>
    <w:rsid w:val="00225D59"/>
    <w:rsid w:val="002279E5"/>
    <w:rsid w:val="00227D3E"/>
    <w:rsid w:val="00230EB0"/>
    <w:rsid w:val="00234BB0"/>
    <w:rsid w:val="00235258"/>
    <w:rsid w:val="00242D06"/>
    <w:rsid w:val="00246D38"/>
    <w:rsid w:val="00250B47"/>
    <w:rsid w:val="00253D5C"/>
    <w:rsid w:val="00255202"/>
    <w:rsid w:val="002569E9"/>
    <w:rsid w:val="00260F3E"/>
    <w:rsid w:val="00261D4A"/>
    <w:rsid w:val="00263233"/>
    <w:rsid w:val="00266024"/>
    <w:rsid w:val="002668E5"/>
    <w:rsid w:val="0026727D"/>
    <w:rsid w:val="00267A3B"/>
    <w:rsid w:val="002743B7"/>
    <w:rsid w:val="00275822"/>
    <w:rsid w:val="00275FE3"/>
    <w:rsid w:val="00280C7B"/>
    <w:rsid w:val="00281B37"/>
    <w:rsid w:val="00283360"/>
    <w:rsid w:val="00283375"/>
    <w:rsid w:val="00284956"/>
    <w:rsid w:val="00287232"/>
    <w:rsid w:val="0029068F"/>
    <w:rsid w:val="00293149"/>
    <w:rsid w:val="00293595"/>
    <w:rsid w:val="00294D1D"/>
    <w:rsid w:val="002A285B"/>
    <w:rsid w:val="002A39D6"/>
    <w:rsid w:val="002A51A3"/>
    <w:rsid w:val="002A57B5"/>
    <w:rsid w:val="002A7751"/>
    <w:rsid w:val="002B2032"/>
    <w:rsid w:val="002B2346"/>
    <w:rsid w:val="002C19F4"/>
    <w:rsid w:val="002C228F"/>
    <w:rsid w:val="002C2B58"/>
    <w:rsid w:val="002C468D"/>
    <w:rsid w:val="002C4D2C"/>
    <w:rsid w:val="002C6BE2"/>
    <w:rsid w:val="002E03BF"/>
    <w:rsid w:val="002E1507"/>
    <w:rsid w:val="002E2751"/>
    <w:rsid w:val="002E49F2"/>
    <w:rsid w:val="002E5A2A"/>
    <w:rsid w:val="002E7342"/>
    <w:rsid w:val="002F1374"/>
    <w:rsid w:val="00300778"/>
    <w:rsid w:val="003011A3"/>
    <w:rsid w:val="0030153B"/>
    <w:rsid w:val="00301B0B"/>
    <w:rsid w:val="00310865"/>
    <w:rsid w:val="003162A0"/>
    <w:rsid w:val="00316937"/>
    <w:rsid w:val="00322446"/>
    <w:rsid w:val="00322B8A"/>
    <w:rsid w:val="00323397"/>
    <w:rsid w:val="00323590"/>
    <w:rsid w:val="00324AB0"/>
    <w:rsid w:val="00325DEA"/>
    <w:rsid w:val="00325E1C"/>
    <w:rsid w:val="00332808"/>
    <w:rsid w:val="00333402"/>
    <w:rsid w:val="00334300"/>
    <w:rsid w:val="00337455"/>
    <w:rsid w:val="00340863"/>
    <w:rsid w:val="0034405E"/>
    <w:rsid w:val="00344103"/>
    <w:rsid w:val="00345207"/>
    <w:rsid w:val="0035043F"/>
    <w:rsid w:val="00350681"/>
    <w:rsid w:val="003506A7"/>
    <w:rsid w:val="00350E0D"/>
    <w:rsid w:val="003518BD"/>
    <w:rsid w:val="00352E01"/>
    <w:rsid w:val="00353D08"/>
    <w:rsid w:val="0036607E"/>
    <w:rsid w:val="00366F0E"/>
    <w:rsid w:val="00370216"/>
    <w:rsid w:val="00370EF8"/>
    <w:rsid w:val="003756F2"/>
    <w:rsid w:val="00380871"/>
    <w:rsid w:val="00381397"/>
    <w:rsid w:val="00382EA8"/>
    <w:rsid w:val="00385402"/>
    <w:rsid w:val="00387158"/>
    <w:rsid w:val="00387E4E"/>
    <w:rsid w:val="00392B56"/>
    <w:rsid w:val="00394733"/>
    <w:rsid w:val="00395647"/>
    <w:rsid w:val="00396AAA"/>
    <w:rsid w:val="003A434F"/>
    <w:rsid w:val="003A49BC"/>
    <w:rsid w:val="003A4B48"/>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2233"/>
    <w:rsid w:val="003E2804"/>
    <w:rsid w:val="003E369B"/>
    <w:rsid w:val="003E6A14"/>
    <w:rsid w:val="003E7EDF"/>
    <w:rsid w:val="003F0204"/>
    <w:rsid w:val="003F056A"/>
    <w:rsid w:val="003F7807"/>
    <w:rsid w:val="003F7A14"/>
    <w:rsid w:val="00400C92"/>
    <w:rsid w:val="004011D7"/>
    <w:rsid w:val="0040137C"/>
    <w:rsid w:val="004023E1"/>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2693"/>
    <w:rsid w:val="00443B63"/>
    <w:rsid w:val="00445CED"/>
    <w:rsid w:val="00447784"/>
    <w:rsid w:val="004505E8"/>
    <w:rsid w:val="004511A1"/>
    <w:rsid w:val="00452394"/>
    <w:rsid w:val="00456A37"/>
    <w:rsid w:val="00460D38"/>
    <w:rsid w:val="00461FB2"/>
    <w:rsid w:val="00462436"/>
    <w:rsid w:val="00464247"/>
    <w:rsid w:val="00465585"/>
    <w:rsid w:val="00467089"/>
    <w:rsid w:val="004730AC"/>
    <w:rsid w:val="00473A47"/>
    <w:rsid w:val="00474B22"/>
    <w:rsid w:val="00476861"/>
    <w:rsid w:val="00480A91"/>
    <w:rsid w:val="00481E38"/>
    <w:rsid w:val="0048333E"/>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3E9"/>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1FAD"/>
    <w:rsid w:val="004F319C"/>
    <w:rsid w:val="00502116"/>
    <w:rsid w:val="00503263"/>
    <w:rsid w:val="005032E7"/>
    <w:rsid w:val="00504D5D"/>
    <w:rsid w:val="00506EDE"/>
    <w:rsid w:val="00510C22"/>
    <w:rsid w:val="00511246"/>
    <w:rsid w:val="005121D8"/>
    <w:rsid w:val="005156CF"/>
    <w:rsid w:val="00515CEC"/>
    <w:rsid w:val="00515E4C"/>
    <w:rsid w:val="00521B94"/>
    <w:rsid w:val="00523260"/>
    <w:rsid w:val="00524EB9"/>
    <w:rsid w:val="0052523D"/>
    <w:rsid w:val="00525250"/>
    <w:rsid w:val="00525FBA"/>
    <w:rsid w:val="005300C8"/>
    <w:rsid w:val="00531529"/>
    <w:rsid w:val="005318C7"/>
    <w:rsid w:val="00531D6E"/>
    <w:rsid w:val="00532545"/>
    <w:rsid w:val="00532698"/>
    <w:rsid w:val="00533095"/>
    <w:rsid w:val="00533D6D"/>
    <w:rsid w:val="00540263"/>
    <w:rsid w:val="00540BF7"/>
    <w:rsid w:val="005428FF"/>
    <w:rsid w:val="00542FD2"/>
    <w:rsid w:val="005447D0"/>
    <w:rsid w:val="00546B67"/>
    <w:rsid w:val="005578CB"/>
    <w:rsid w:val="005579A5"/>
    <w:rsid w:val="00561FD4"/>
    <w:rsid w:val="00563E83"/>
    <w:rsid w:val="0056674D"/>
    <w:rsid w:val="005766E0"/>
    <w:rsid w:val="00577426"/>
    <w:rsid w:val="00591483"/>
    <w:rsid w:val="00591A6C"/>
    <w:rsid w:val="00593737"/>
    <w:rsid w:val="005972A7"/>
    <w:rsid w:val="005978DB"/>
    <w:rsid w:val="00597AA2"/>
    <w:rsid w:val="005A2507"/>
    <w:rsid w:val="005A2803"/>
    <w:rsid w:val="005A57FA"/>
    <w:rsid w:val="005A583E"/>
    <w:rsid w:val="005A5BEC"/>
    <w:rsid w:val="005A7087"/>
    <w:rsid w:val="005B2823"/>
    <w:rsid w:val="005B465B"/>
    <w:rsid w:val="005C0755"/>
    <w:rsid w:val="005C2C87"/>
    <w:rsid w:val="005C52A3"/>
    <w:rsid w:val="005C56A6"/>
    <w:rsid w:val="005D234B"/>
    <w:rsid w:val="005E06F0"/>
    <w:rsid w:val="005E4831"/>
    <w:rsid w:val="005E6F3F"/>
    <w:rsid w:val="005F3429"/>
    <w:rsid w:val="005F3B68"/>
    <w:rsid w:val="005F40F5"/>
    <w:rsid w:val="005F6B28"/>
    <w:rsid w:val="005F6E12"/>
    <w:rsid w:val="006059E6"/>
    <w:rsid w:val="00610697"/>
    <w:rsid w:val="0062298E"/>
    <w:rsid w:val="00623979"/>
    <w:rsid w:val="00623BA9"/>
    <w:rsid w:val="0062557C"/>
    <w:rsid w:val="00631B4A"/>
    <w:rsid w:val="00633029"/>
    <w:rsid w:val="00633E40"/>
    <w:rsid w:val="00641982"/>
    <w:rsid w:val="00642662"/>
    <w:rsid w:val="0064406E"/>
    <w:rsid w:val="006442DF"/>
    <w:rsid w:val="006465AB"/>
    <w:rsid w:val="00646ED5"/>
    <w:rsid w:val="00651E73"/>
    <w:rsid w:val="00653936"/>
    <w:rsid w:val="00656B1D"/>
    <w:rsid w:val="00661406"/>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A579C"/>
    <w:rsid w:val="006B0D38"/>
    <w:rsid w:val="006B20B4"/>
    <w:rsid w:val="006B4FBB"/>
    <w:rsid w:val="006B5EC0"/>
    <w:rsid w:val="006B7D15"/>
    <w:rsid w:val="006C7BCB"/>
    <w:rsid w:val="006D0052"/>
    <w:rsid w:val="006D2575"/>
    <w:rsid w:val="006D5CAB"/>
    <w:rsid w:val="006E0F76"/>
    <w:rsid w:val="006E1429"/>
    <w:rsid w:val="006E2881"/>
    <w:rsid w:val="006E4522"/>
    <w:rsid w:val="006E4F8A"/>
    <w:rsid w:val="006E6682"/>
    <w:rsid w:val="006E673C"/>
    <w:rsid w:val="006F18F6"/>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79A"/>
    <w:rsid w:val="00751AB1"/>
    <w:rsid w:val="007553D4"/>
    <w:rsid w:val="00760AD1"/>
    <w:rsid w:val="00761133"/>
    <w:rsid w:val="007619FB"/>
    <w:rsid w:val="00765C2A"/>
    <w:rsid w:val="007729C9"/>
    <w:rsid w:val="007742A1"/>
    <w:rsid w:val="00774600"/>
    <w:rsid w:val="0077562D"/>
    <w:rsid w:val="00776CD8"/>
    <w:rsid w:val="00777FF4"/>
    <w:rsid w:val="00781332"/>
    <w:rsid w:val="007819B0"/>
    <w:rsid w:val="007837C1"/>
    <w:rsid w:val="0078514D"/>
    <w:rsid w:val="00791713"/>
    <w:rsid w:val="00794454"/>
    <w:rsid w:val="00795377"/>
    <w:rsid w:val="007A5E5B"/>
    <w:rsid w:val="007B56C0"/>
    <w:rsid w:val="007B6F61"/>
    <w:rsid w:val="007B7700"/>
    <w:rsid w:val="007C024F"/>
    <w:rsid w:val="007C10F3"/>
    <w:rsid w:val="007C46B5"/>
    <w:rsid w:val="007C6A05"/>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4036"/>
    <w:rsid w:val="008071A7"/>
    <w:rsid w:val="00807CCB"/>
    <w:rsid w:val="008101FC"/>
    <w:rsid w:val="008108E8"/>
    <w:rsid w:val="0081353F"/>
    <w:rsid w:val="00816407"/>
    <w:rsid w:val="00825809"/>
    <w:rsid w:val="00825F93"/>
    <w:rsid w:val="00831982"/>
    <w:rsid w:val="0083257F"/>
    <w:rsid w:val="00837AFC"/>
    <w:rsid w:val="00841665"/>
    <w:rsid w:val="008434BA"/>
    <w:rsid w:val="00845D24"/>
    <w:rsid w:val="00851093"/>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900ABC"/>
    <w:rsid w:val="00902B37"/>
    <w:rsid w:val="0090700F"/>
    <w:rsid w:val="00911F70"/>
    <w:rsid w:val="009120EB"/>
    <w:rsid w:val="00914F38"/>
    <w:rsid w:val="00917CB1"/>
    <w:rsid w:val="00917F97"/>
    <w:rsid w:val="00924AA2"/>
    <w:rsid w:val="009258C6"/>
    <w:rsid w:val="00930A02"/>
    <w:rsid w:val="009401C7"/>
    <w:rsid w:val="009526A4"/>
    <w:rsid w:val="00953CA5"/>
    <w:rsid w:val="0095440B"/>
    <w:rsid w:val="0096004A"/>
    <w:rsid w:val="00961770"/>
    <w:rsid w:val="00962660"/>
    <w:rsid w:val="00963F04"/>
    <w:rsid w:val="009651B9"/>
    <w:rsid w:val="0097202A"/>
    <w:rsid w:val="00972E3C"/>
    <w:rsid w:val="009733C8"/>
    <w:rsid w:val="009750E5"/>
    <w:rsid w:val="0097636F"/>
    <w:rsid w:val="009766BD"/>
    <w:rsid w:val="00976EA8"/>
    <w:rsid w:val="009775C5"/>
    <w:rsid w:val="0098130D"/>
    <w:rsid w:val="00985EBE"/>
    <w:rsid w:val="009860F5"/>
    <w:rsid w:val="00992545"/>
    <w:rsid w:val="00994C10"/>
    <w:rsid w:val="00997E5D"/>
    <w:rsid w:val="009A56D9"/>
    <w:rsid w:val="009A664B"/>
    <w:rsid w:val="009A7FC5"/>
    <w:rsid w:val="009B0294"/>
    <w:rsid w:val="009B0462"/>
    <w:rsid w:val="009B0DBA"/>
    <w:rsid w:val="009B267A"/>
    <w:rsid w:val="009B542F"/>
    <w:rsid w:val="009B6E5E"/>
    <w:rsid w:val="009C11B1"/>
    <w:rsid w:val="009C2ABF"/>
    <w:rsid w:val="009C402F"/>
    <w:rsid w:val="009D587E"/>
    <w:rsid w:val="009D680A"/>
    <w:rsid w:val="009D7E35"/>
    <w:rsid w:val="009E5AB7"/>
    <w:rsid w:val="009E65F6"/>
    <w:rsid w:val="009E74DA"/>
    <w:rsid w:val="009F2039"/>
    <w:rsid w:val="009F26A6"/>
    <w:rsid w:val="009F2D9A"/>
    <w:rsid w:val="009F4734"/>
    <w:rsid w:val="009F4B6B"/>
    <w:rsid w:val="009F79DC"/>
    <w:rsid w:val="00A00DE4"/>
    <w:rsid w:val="00A034D6"/>
    <w:rsid w:val="00A04B4B"/>
    <w:rsid w:val="00A07231"/>
    <w:rsid w:val="00A07BF1"/>
    <w:rsid w:val="00A1609F"/>
    <w:rsid w:val="00A22594"/>
    <w:rsid w:val="00A22FC1"/>
    <w:rsid w:val="00A258C2"/>
    <w:rsid w:val="00A261DF"/>
    <w:rsid w:val="00A276D0"/>
    <w:rsid w:val="00A305BA"/>
    <w:rsid w:val="00A35122"/>
    <w:rsid w:val="00A354D5"/>
    <w:rsid w:val="00A405DB"/>
    <w:rsid w:val="00A549F2"/>
    <w:rsid w:val="00A54E67"/>
    <w:rsid w:val="00A57051"/>
    <w:rsid w:val="00A602B0"/>
    <w:rsid w:val="00A60666"/>
    <w:rsid w:val="00A60DB0"/>
    <w:rsid w:val="00A618D1"/>
    <w:rsid w:val="00A71CCB"/>
    <w:rsid w:val="00A72D3C"/>
    <w:rsid w:val="00A772EF"/>
    <w:rsid w:val="00A77F8A"/>
    <w:rsid w:val="00A82FEA"/>
    <w:rsid w:val="00A8408D"/>
    <w:rsid w:val="00AA4A78"/>
    <w:rsid w:val="00AA5259"/>
    <w:rsid w:val="00AA63C4"/>
    <w:rsid w:val="00AB0454"/>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6A9"/>
    <w:rsid w:val="00AF5ACF"/>
    <w:rsid w:val="00B0598C"/>
    <w:rsid w:val="00B05C4B"/>
    <w:rsid w:val="00B05D21"/>
    <w:rsid w:val="00B10D6F"/>
    <w:rsid w:val="00B124AA"/>
    <w:rsid w:val="00B219FF"/>
    <w:rsid w:val="00B227C4"/>
    <w:rsid w:val="00B229A7"/>
    <w:rsid w:val="00B23A76"/>
    <w:rsid w:val="00B269D8"/>
    <w:rsid w:val="00B26FFA"/>
    <w:rsid w:val="00B34BFF"/>
    <w:rsid w:val="00B40B55"/>
    <w:rsid w:val="00B415F0"/>
    <w:rsid w:val="00B47959"/>
    <w:rsid w:val="00B500C3"/>
    <w:rsid w:val="00B50C53"/>
    <w:rsid w:val="00B544F0"/>
    <w:rsid w:val="00B545A7"/>
    <w:rsid w:val="00B60382"/>
    <w:rsid w:val="00B65D67"/>
    <w:rsid w:val="00B715D6"/>
    <w:rsid w:val="00B7167E"/>
    <w:rsid w:val="00B7392D"/>
    <w:rsid w:val="00B74005"/>
    <w:rsid w:val="00B80A64"/>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C733B"/>
    <w:rsid w:val="00BD1253"/>
    <w:rsid w:val="00BD5529"/>
    <w:rsid w:val="00BD64C2"/>
    <w:rsid w:val="00BD72A1"/>
    <w:rsid w:val="00BE11A5"/>
    <w:rsid w:val="00BE546A"/>
    <w:rsid w:val="00BF7038"/>
    <w:rsid w:val="00BF7AAD"/>
    <w:rsid w:val="00C0001A"/>
    <w:rsid w:val="00C00074"/>
    <w:rsid w:val="00C05292"/>
    <w:rsid w:val="00C06CDD"/>
    <w:rsid w:val="00C1061F"/>
    <w:rsid w:val="00C11B55"/>
    <w:rsid w:val="00C11CB1"/>
    <w:rsid w:val="00C12671"/>
    <w:rsid w:val="00C16E0E"/>
    <w:rsid w:val="00C229B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AE1"/>
    <w:rsid w:val="00C940BF"/>
    <w:rsid w:val="00C947EB"/>
    <w:rsid w:val="00C95610"/>
    <w:rsid w:val="00C971F9"/>
    <w:rsid w:val="00C97317"/>
    <w:rsid w:val="00CA3E94"/>
    <w:rsid w:val="00CA406B"/>
    <w:rsid w:val="00CB0CB0"/>
    <w:rsid w:val="00CB0ED4"/>
    <w:rsid w:val="00CB1EFF"/>
    <w:rsid w:val="00CB4C4E"/>
    <w:rsid w:val="00CB682F"/>
    <w:rsid w:val="00CB7A61"/>
    <w:rsid w:val="00CC64CA"/>
    <w:rsid w:val="00CC68BB"/>
    <w:rsid w:val="00CD4387"/>
    <w:rsid w:val="00CE0215"/>
    <w:rsid w:val="00CE6A7A"/>
    <w:rsid w:val="00CF025B"/>
    <w:rsid w:val="00CF0602"/>
    <w:rsid w:val="00CF1711"/>
    <w:rsid w:val="00CF1C87"/>
    <w:rsid w:val="00CF1E9D"/>
    <w:rsid w:val="00CF22B9"/>
    <w:rsid w:val="00D0233D"/>
    <w:rsid w:val="00D0240D"/>
    <w:rsid w:val="00D0436A"/>
    <w:rsid w:val="00D111F5"/>
    <w:rsid w:val="00D12861"/>
    <w:rsid w:val="00D14DDC"/>
    <w:rsid w:val="00D20378"/>
    <w:rsid w:val="00D24A4B"/>
    <w:rsid w:val="00D31090"/>
    <w:rsid w:val="00D31B0E"/>
    <w:rsid w:val="00D3376F"/>
    <w:rsid w:val="00D350A6"/>
    <w:rsid w:val="00D3783E"/>
    <w:rsid w:val="00D41CFB"/>
    <w:rsid w:val="00D43FD9"/>
    <w:rsid w:val="00D45874"/>
    <w:rsid w:val="00D46755"/>
    <w:rsid w:val="00D479AF"/>
    <w:rsid w:val="00D500A1"/>
    <w:rsid w:val="00D51BB1"/>
    <w:rsid w:val="00D558F9"/>
    <w:rsid w:val="00D55D15"/>
    <w:rsid w:val="00D60137"/>
    <w:rsid w:val="00D6173A"/>
    <w:rsid w:val="00D65680"/>
    <w:rsid w:val="00D6604C"/>
    <w:rsid w:val="00D66756"/>
    <w:rsid w:val="00D66803"/>
    <w:rsid w:val="00D67BAD"/>
    <w:rsid w:val="00D729A5"/>
    <w:rsid w:val="00D72ECB"/>
    <w:rsid w:val="00D86107"/>
    <w:rsid w:val="00D91190"/>
    <w:rsid w:val="00D91D3F"/>
    <w:rsid w:val="00D91FDE"/>
    <w:rsid w:val="00D9781D"/>
    <w:rsid w:val="00DA005F"/>
    <w:rsid w:val="00DA0942"/>
    <w:rsid w:val="00DA0D04"/>
    <w:rsid w:val="00DB11AA"/>
    <w:rsid w:val="00DC17C3"/>
    <w:rsid w:val="00DC2CBA"/>
    <w:rsid w:val="00DC33A5"/>
    <w:rsid w:val="00DC33AD"/>
    <w:rsid w:val="00DC34D3"/>
    <w:rsid w:val="00DC5266"/>
    <w:rsid w:val="00DD46A3"/>
    <w:rsid w:val="00DD50B4"/>
    <w:rsid w:val="00DD739B"/>
    <w:rsid w:val="00DD760F"/>
    <w:rsid w:val="00DD763F"/>
    <w:rsid w:val="00DE4B08"/>
    <w:rsid w:val="00DE7014"/>
    <w:rsid w:val="00DE7BB8"/>
    <w:rsid w:val="00DF2BAA"/>
    <w:rsid w:val="00DF2F90"/>
    <w:rsid w:val="00DF45FF"/>
    <w:rsid w:val="00DF7755"/>
    <w:rsid w:val="00E01250"/>
    <w:rsid w:val="00E05701"/>
    <w:rsid w:val="00E0753C"/>
    <w:rsid w:val="00E11488"/>
    <w:rsid w:val="00E16F62"/>
    <w:rsid w:val="00E22D17"/>
    <w:rsid w:val="00E26992"/>
    <w:rsid w:val="00E30502"/>
    <w:rsid w:val="00E359B9"/>
    <w:rsid w:val="00E42135"/>
    <w:rsid w:val="00E42492"/>
    <w:rsid w:val="00E426E5"/>
    <w:rsid w:val="00E43030"/>
    <w:rsid w:val="00E43A3A"/>
    <w:rsid w:val="00E4464A"/>
    <w:rsid w:val="00E47137"/>
    <w:rsid w:val="00E512B0"/>
    <w:rsid w:val="00E5372B"/>
    <w:rsid w:val="00E5768A"/>
    <w:rsid w:val="00E61736"/>
    <w:rsid w:val="00E61CDC"/>
    <w:rsid w:val="00E64C9D"/>
    <w:rsid w:val="00E6544B"/>
    <w:rsid w:val="00E718A6"/>
    <w:rsid w:val="00E80FBE"/>
    <w:rsid w:val="00E82183"/>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C5B"/>
    <w:rsid w:val="00EC3FA1"/>
    <w:rsid w:val="00EC6EDE"/>
    <w:rsid w:val="00ED0DA7"/>
    <w:rsid w:val="00ED3841"/>
    <w:rsid w:val="00ED4A69"/>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16F4"/>
    <w:rsid w:val="00F12D01"/>
    <w:rsid w:val="00F1317F"/>
    <w:rsid w:val="00F13905"/>
    <w:rsid w:val="00F14247"/>
    <w:rsid w:val="00F14918"/>
    <w:rsid w:val="00F1534E"/>
    <w:rsid w:val="00F220BC"/>
    <w:rsid w:val="00F245F7"/>
    <w:rsid w:val="00F25DC2"/>
    <w:rsid w:val="00F30E9B"/>
    <w:rsid w:val="00F3442B"/>
    <w:rsid w:val="00F35A19"/>
    <w:rsid w:val="00F36F9F"/>
    <w:rsid w:val="00F37610"/>
    <w:rsid w:val="00F41878"/>
    <w:rsid w:val="00F47518"/>
    <w:rsid w:val="00F5261B"/>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3DE5"/>
    <w:rsid w:val="00F8405B"/>
    <w:rsid w:val="00F84356"/>
    <w:rsid w:val="00F85C49"/>
    <w:rsid w:val="00F9258D"/>
    <w:rsid w:val="00F925E2"/>
    <w:rsid w:val="00F93629"/>
    <w:rsid w:val="00F952C5"/>
    <w:rsid w:val="00F95643"/>
    <w:rsid w:val="00F96A43"/>
    <w:rsid w:val="00FA31A5"/>
    <w:rsid w:val="00FA4749"/>
    <w:rsid w:val="00FA53B1"/>
    <w:rsid w:val="00FA6F2C"/>
    <w:rsid w:val="00FB0CC5"/>
    <w:rsid w:val="00FB0D21"/>
    <w:rsid w:val="00FB29FB"/>
    <w:rsid w:val="00FB3BFF"/>
    <w:rsid w:val="00FB3EB6"/>
    <w:rsid w:val="00FB5D65"/>
    <w:rsid w:val="00FC1B0D"/>
    <w:rsid w:val="00FC2047"/>
    <w:rsid w:val="00FC2763"/>
    <w:rsid w:val="00FC322D"/>
    <w:rsid w:val="00FD13B7"/>
    <w:rsid w:val="00FD21E3"/>
    <w:rsid w:val="00FD56CC"/>
    <w:rsid w:val="00FD5A54"/>
    <w:rsid w:val="00FD5D76"/>
    <w:rsid w:val="00FD6179"/>
    <w:rsid w:val="00FD6E37"/>
    <w:rsid w:val="00FD7A4A"/>
    <w:rsid w:val="00FE0406"/>
    <w:rsid w:val="00FE0937"/>
    <w:rsid w:val="00FE0D65"/>
    <w:rsid w:val="00FE2A23"/>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917CB1"/>
    <w:pPr>
      <w:keepNext/>
      <w:spacing w:before="240" w:after="60"/>
      <w:outlineLvl w:val="3"/>
    </w:pPr>
    <w:rPr>
      <w:b/>
      <w:bCs/>
      <w:sz w:val="28"/>
      <w:szCs w:val="28"/>
      <w:lang w:val="es-CR"/>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917CB1"/>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917CB1"/>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17CB1"/>
    <w:rPr>
      <w:b/>
      <w:bCs/>
      <w:sz w:val="28"/>
      <w:szCs w:val="28"/>
      <w:lang w:eastAsia="es-ES"/>
    </w:rPr>
  </w:style>
  <w:style w:type="paragraph" w:customStyle="1" w:styleId="Ttulo71">
    <w:name w:val="Título 71"/>
    <w:basedOn w:val="Normal"/>
    <w:next w:val="Normal"/>
    <w:semiHidden/>
    <w:unhideWhenUsed/>
    <w:qFormat/>
    <w:rsid w:val="00917CB1"/>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917CB1"/>
    <w:rPr>
      <w:i/>
      <w:iCs/>
      <w:sz w:val="24"/>
      <w:szCs w:val="24"/>
      <w:lang w:eastAsia="es-ES"/>
    </w:rPr>
  </w:style>
  <w:style w:type="numbering" w:customStyle="1" w:styleId="Sinlista1">
    <w:name w:val="Sin lista1"/>
    <w:next w:val="Sinlista"/>
    <w:uiPriority w:val="99"/>
    <w:semiHidden/>
    <w:unhideWhenUsed/>
    <w:rsid w:val="00917CB1"/>
  </w:style>
  <w:style w:type="character" w:customStyle="1" w:styleId="Ttulo6Car">
    <w:name w:val="Título 6 Car"/>
    <w:basedOn w:val="Fuentedeprrafopredeter"/>
    <w:link w:val="Ttulo6"/>
    <w:rsid w:val="00917CB1"/>
    <w:rPr>
      <w:rFonts w:ascii="Arial" w:hAnsi="Arial" w:cs="Arial"/>
      <w:b/>
      <w:sz w:val="24"/>
      <w:lang w:val="es-ES" w:eastAsia="es-ES"/>
    </w:rPr>
  </w:style>
  <w:style w:type="character" w:customStyle="1" w:styleId="Ttulo7Car">
    <w:name w:val="Título 7 Car"/>
    <w:basedOn w:val="Fuentedeprrafopredeter"/>
    <w:link w:val="Ttulo7"/>
    <w:semiHidden/>
    <w:rsid w:val="00917CB1"/>
    <w:rPr>
      <w:rFonts w:ascii="Cambria" w:eastAsia="Times New Roman" w:hAnsi="Cambria" w:cs="Times New Roman"/>
      <w:i/>
      <w:iCs/>
      <w:color w:val="404040"/>
      <w:lang w:eastAsia="es-ES"/>
    </w:rPr>
  </w:style>
  <w:style w:type="paragraph" w:styleId="Puesto">
    <w:name w:val="Title"/>
    <w:basedOn w:val="Normal"/>
    <w:link w:val="PuestoCar"/>
    <w:qFormat/>
    <w:rsid w:val="00917CB1"/>
    <w:pPr>
      <w:jc w:val="center"/>
    </w:pPr>
    <w:rPr>
      <w:rFonts w:ascii="Arial" w:hAnsi="Arial"/>
      <w:b/>
      <w:sz w:val="22"/>
      <w:szCs w:val="20"/>
    </w:rPr>
  </w:style>
  <w:style w:type="character" w:customStyle="1" w:styleId="PuestoCar">
    <w:name w:val="Puesto Car"/>
    <w:basedOn w:val="Fuentedeprrafopredeter"/>
    <w:link w:val="Puesto"/>
    <w:rsid w:val="00917CB1"/>
    <w:rPr>
      <w:rFonts w:ascii="Arial" w:hAnsi="Arial"/>
      <w:b/>
      <w:sz w:val="22"/>
      <w:lang w:val="es-ES" w:eastAsia="es-ES"/>
    </w:rPr>
  </w:style>
  <w:style w:type="paragraph" w:styleId="Textodebloque">
    <w:name w:val="Block Text"/>
    <w:basedOn w:val="Normal"/>
    <w:rsid w:val="00917CB1"/>
    <w:pPr>
      <w:ind w:left="1440" w:right="-136" w:hanging="1440"/>
      <w:jc w:val="both"/>
    </w:pPr>
    <w:rPr>
      <w:rFonts w:ascii="Arial" w:hAnsi="Arial" w:cs="Arial"/>
      <w:b/>
      <w:sz w:val="22"/>
      <w:szCs w:val="22"/>
      <w:lang w:val="es-CR"/>
    </w:rPr>
  </w:style>
  <w:style w:type="paragraph" w:styleId="Descripcin">
    <w:name w:val="caption"/>
    <w:basedOn w:val="Normal"/>
    <w:next w:val="Normal"/>
    <w:qFormat/>
    <w:rsid w:val="00917CB1"/>
    <w:rPr>
      <w:rFonts w:ascii="Arial" w:hAnsi="Arial" w:cs="Arial"/>
      <w:sz w:val="20"/>
      <w:szCs w:val="20"/>
    </w:rPr>
  </w:style>
  <w:style w:type="paragraph" w:customStyle="1" w:styleId="Nmerodepgina1">
    <w:name w:val="Número de página1"/>
    <w:basedOn w:val="Normal"/>
    <w:next w:val="Normal"/>
    <w:rsid w:val="00917CB1"/>
    <w:rPr>
      <w:rFonts w:ascii="CG Times (W1)" w:hAnsi="CG Times (W1)"/>
      <w:sz w:val="20"/>
      <w:szCs w:val="20"/>
      <w:lang w:val="es-CR"/>
    </w:rPr>
  </w:style>
  <w:style w:type="character" w:customStyle="1" w:styleId="EncabezadoCar">
    <w:name w:val="Encabezado Car"/>
    <w:basedOn w:val="Fuentedeprrafopredeter"/>
    <w:link w:val="Encabezado"/>
    <w:uiPriority w:val="99"/>
    <w:rsid w:val="00917CB1"/>
    <w:rPr>
      <w:rFonts w:ascii="Arial" w:hAnsi="Arial" w:cs="Arial"/>
      <w:i/>
      <w:sz w:val="16"/>
      <w:lang w:val="es-ES" w:eastAsia="es-ES"/>
    </w:rPr>
  </w:style>
  <w:style w:type="paragraph" w:styleId="Listaconvietas">
    <w:name w:val="List Bullet"/>
    <w:basedOn w:val="Normal"/>
    <w:rsid w:val="00917CB1"/>
    <w:pPr>
      <w:numPr>
        <w:numId w:val="2"/>
      </w:numPr>
    </w:pPr>
    <w:rPr>
      <w:lang w:val="es-CR"/>
    </w:rPr>
  </w:style>
  <w:style w:type="paragraph" w:customStyle="1" w:styleId="Body">
    <w:name w:val="Body"/>
    <w:qFormat/>
    <w:rsid w:val="00917CB1"/>
    <w:rPr>
      <w:rFonts w:ascii="Helvetica" w:eastAsia="ヒラギノ角ゴ Pro W3" w:hAnsi="Helvetica"/>
      <w:color w:val="000000"/>
      <w:sz w:val="24"/>
      <w:lang w:val="en-US"/>
    </w:rPr>
  </w:style>
  <w:style w:type="character" w:styleId="Nmerodepgina">
    <w:name w:val="page number"/>
    <w:basedOn w:val="Fuentedeprrafopredeter"/>
    <w:rsid w:val="00917CB1"/>
  </w:style>
  <w:style w:type="paragraph" w:styleId="Textoindependiente2">
    <w:name w:val="Body Text 2"/>
    <w:basedOn w:val="Normal"/>
    <w:link w:val="Textoindependiente2Car"/>
    <w:rsid w:val="00917CB1"/>
    <w:pPr>
      <w:spacing w:after="120" w:line="480" w:lineRule="auto"/>
    </w:pPr>
  </w:style>
  <w:style w:type="character" w:customStyle="1" w:styleId="Textoindependiente2Car">
    <w:name w:val="Texto independiente 2 Car"/>
    <w:basedOn w:val="Fuentedeprrafopredeter"/>
    <w:link w:val="Textoindependiente2"/>
    <w:rsid w:val="00917CB1"/>
    <w:rPr>
      <w:sz w:val="24"/>
      <w:szCs w:val="24"/>
      <w:lang w:val="es-ES" w:eastAsia="es-ES"/>
    </w:rPr>
  </w:style>
  <w:style w:type="paragraph" w:customStyle="1" w:styleId="Prrafodelista1">
    <w:name w:val="Párrafo de lista1"/>
    <w:basedOn w:val="Normal"/>
    <w:rsid w:val="00917CB1"/>
    <w:pPr>
      <w:ind w:left="720"/>
      <w:contextualSpacing/>
    </w:pPr>
    <w:rPr>
      <w:rFonts w:eastAsia="Calibri"/>
      <w:lang w:val="es-CR"/>
    </w:rPr>
  </w:style>
  <w:style w:type="character" w:styleId="Hipervnculo">
    <w:name w:val="Hyperlink"/>
    <w:basedOn w:val="Fuentedeprrafopredeter"/>
    <w:uiPriority w:val="99"/>
    <w:rsid w:val="00917CB1"/>
    <w:rPr>
      <w:color w:val="0000FF"/>
      <w:u w:val="single"/>
    </w:rPr>
  </w:style>
  <w:style w:type="character" w:customStyle="1" w:styleId="estilo61">
    <w:name w:val="estilo61"/>
    <w:basedOn w:val="Fuentedeprrafopredeter"/>
    <w:rsid w:val="00917CB1"/>
    <w:rPr>
      <w:rFonts w:ascii="Verdana" w:hAnsi="Verdana" w:hint="default"/>
    </w:rPr>
  </w:style>
  <w:style w:type="paragraph" w:styleId="Sangradetextonormal">
    <w:name w:val="Body Text Indent"/>
    <w:basedOn w:val="Normal"/>
    <w:link w:val="SangradetextonormalCar"/>
    <w:rsid w:val="00917CB1"/>
    <w:pPr>
      <w:spacing w:after="120"/>
      <w:ind w:left="283"/>
    </w:pPr>
    <w:rPr>
      <w:sz w:val="20"/>
      <w:szCs w:val="20"/>
      <w:lang w:val="es-CR"/>
    </w:rPr>
  </w:style>
  <w:style w:type="character" w:customStyle="1" w:styleId="SangradetextonormalCar">
    <w:name w:val="Sangría de texto normal Car"/>
    <w:basedOn w:val="Fuentedeprrafopredeter"/>
    <w:link w:val="Sangradetextonormal"/>
    <w:rsid w:val="00917CB1"/>
    <w:rPr>
      <w:lang w:eastAsia="es-ES"/>
    </w:rPr>
  </w:style>
  <w:style w:type="paragraph" w:styleId="Sangra2detindependiente">
    <w:name w:val="Body Text Indent 2"/>
    <w:basedOn w:val="Normal"/>
    <w:link w:val="Sangra2detindependienteCar"/>
    <w:rsid w:val="00917CB1"/>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917CB1"/>
    <w:rPr>
      <w:lang w:eastAsia="es-ES"/>
    </w:rPr>
  </w:style>
  <w:style w:type="paragraph" w:styleId="Sangra3detindependiente">
    <w:name w:val="Body Text Indent 3"/>
    <w:basedOn w:val="Normal"/>
    <w:link w:val="Sangra3detindependienteCar"/>
    <w:rsid w:val="00917CB1"/>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917CB1"/>
    <w:rPr>
      <w:rFonts w:eastAsia="MS Mincho"/>
      <w:sz w:val="16"/>
      <w:szCs w:val="16"/>
      <w:lang w:val="es-ES" w:eastAsia="es-ES"/>
    </w:rPr>
  </w:style>
  <w:style w:type="character" w:styleId="Refdenotaalpie">
    <w:name w:val="footnote reference"/>
    <w:unhideWhenUsed/>
    <w:rsid w:val="00917CB1"/>
    <w:rPr>
      <w:vertAlign w:val="superscript"/>
    </w:rPr>
  </w:style>
  <w:style w:type="paragraph" w:customStyle="1" w:styleId="Default">
    <w:name w:val="Default"/>
    <w:rsid w:val="00917CB1"/>
    <w:pPr>
      <w:autoSpaceDE w:val="0"/>
      <w:autoSpaceDN w:val="0"/>
      <w:adjustRightInd w:val="0"/>
    </w:pPr>
    <w:rPr>
      <w:rFonts w:ascii="Tahoma" w:eastAsia="Calibri" w:hAnsi="Tahoma" w:cs="Tahoma"/>
      <w:color w:val="000000"/>
      <w:sz w:val="24"/>
      <w:szCs w:val="24"/>
      <w:lang w:val="es-ES" w:eastAsia="en-US"/>
    </w:rPr>
  </w:style>
  <w:style w:type="character" w:styleId="Textoennegrita">
    <w:name w:val="Strong"/>
    <w:basedOn w:val="Fuentedeprrafopredeter"/>
    <w:uiPriority w:val="22"/>
    <w:qFormat/>
    <w:rsid w:val="00917CB1"/>
    <w:rPr>
      <w:b/>
      <w:bCs/>
    </w:rPr>
  </w:style>
  <w:style w:type="paragraph" w:styleId="Asuntodelcomentario">
    <w:name w:val="annotation subject"/>
    <w:basedOn w:val="Textocomentario"/>
    <w:next w:val="Textocomentario"/>
    <w:link w:val="AsuntodelcomentarioCar"/>
    <w:unhideWhenUsed/>
    <w:rsid w:val="00917CB1"/>
    <w:pPr>
      <w:spacing w:after="0"/>
      <w:jc w:val="left"/>
    </w:pPr>
    <w:rPr>
      <w:b/>
      <w:bCs/>
      <w:lang w:val="es-CR"/>
    </w:rPr>
  </w:style>
  <w:style w:type="character" w:customStyle="1" w:styleId="AsuntodelcomentarioCar">
    <w:name w:val="Asunto del comentario Car"/>
    <w:basedOn w:val="TextocomentarioCar"/>
    <w:link w:val="Asuntodelcomentario"/>
    <w:rsid w:val="00917CB1"/>
    <w:rPr>
      <w:b/>
      <w:bCs/>
      <w:lang w:val="es-ES_tradnl" w:eastAsia="es-ES"/>
    </w:rPr>
  </w:style>
  <w:style w:type="table" w:customStyle="1" w:styleId="TableGrid">
    <w:name w:val="TableGrid"/>
    <w:rsid w:val="00917CB1"/>
    <w:rPr>
      <w:rFonts w:ascii="Calibri" w:hAnsi="Calibri"/>
      <w:sz w:val="22"/>
      <w:szCs w:val="22"/>
    </w:rPr>
    <w:tblPr>
      <w:tblCellMar>
        <w:top w:w="0" w:type="dxa"/>
        <w:left w:w="0" w:type="dxa"/>
        <w:bottom w:w="0" w:type="dxa"/>
        <w:right w:w="0" w:type="dxa"/>
      </w:tblCellMar>
    </w:tblPr>
  </w:style>
  <w:style w:type="character" w:customStyle="1" w:styleId="Ttulo7Car1">
    <w:name w:val="Título 7 Car1"/>
    <w:basedOn w:val="Fuentedeprrafopredeter"/>
    <w:semiHidden/>
    <w:rsid w:val="00917CB1"/>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F:\SESIONES%202017\Sesi&#243;n%20No.%203020\Propuestas\Digitales%20Proyecto%20de%20Ley%2020.203\VAD%2020.203\VAD-161-2017%20Criterio%20Proyecto%20de%20Ley%20Expediente%2020.203.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file:///F:\SESIONES%202017\Sesi&#243;n%20No.%203020\Propuestas\Digitales%20Proyecto%20de%20Ley%2020.203\AE-236-2017.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61F1-2556-46DD-8371-A1998D55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1091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82</cp:revision>
  <cp:lastPrinted>2017-05-03T20:20:00Z</cp:lastPrinted>
  <dcterms:created xsi:type="dcterms:W3CDTF">2016-10-05T20:00:00Z</dcterms:created>
  <dcterms:modified xsi:type="dcterms:W3CDTF">2017-05-03T20:53:00Z</dcterms:modified>
</cp:coreProperties>
</file>