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2A1" w:rsidRDefault="007742A1" w:rsidP="007C024F">
      <w:pPr>
        <w:jc w:val="both"/>
        <w:rPr>
          <w:rFonts w:ascii="Arial" w:eastAsia="Calibri" w:hAnsi="Arial" w:cs="Arial"/>
          <w:b/>
        </w:rPr>
      </w:pPr>
    </w:p>
    <w:p w:rsidR="005D242A" w:rsidRDefault="005D242A" w:rsidP="007742A1">
      <w:pPr>
        <w:outlineLvl w:val="4"/>
        <w:rPr>
          <w:rFonts w:ascii="Arial" w:hAnsi="Arial" w:cs="Arial"/>
          <w:b/>
          <w:bCs/>
          <w:iCs/>
          <w:sz w:val="26"/>
          <w:szCs w:val="22"/>
          <w:lang w:val="es-CR"/>
        </w:rPr>
      </w:pPr>
    </w:p>
    <w:p w:rsidR="007742A1" w:rsidRPr="00D958BC" w:rsidRDefault="007742A1" w:rsidP="007742A1">
      <w:pPr>
        <w:outlineLvl w:val="4"/>
        <w:rPr>
          <w:rFonts w:ascii="Arial" w:hAnsi="Arial" w:cs="Arial"/>
          <w:b/>
          <w:bCs/>
          <w:iCs/>
          <w:sz w:val="26"/>
          <w:szCs w:val="22"/>
          <w:lang w:val="es-CR"/>
        </w:rPr>
      </w:pPr>
      <w:r w:rsidRPr="00D958BC">
        <w:rPr>
          <w:rFonts w:ascii="Arial" w:hAnsi="Arial" w:cs="Arial"/>
          <w:b/>
          <w:bCs/>
          <w:iCs/>
          <w:sz w:val="26"/>
          <w:szCs w:val="22"/>
          <w:lang w:val="es-CR"/>
        </w:rPr>
        <w:t>SCI-</w:t>
      </w:r>
      <w:r w:rsidR="00B36784">
        <w:rPr>
          <w:rFonts w:ascii="Arial" w:hAnsi="Arial" w:cs="Arial"/>
          <w:b/>
          <w:bCs/>
          <w:iCs/>
          <w:sz w:val="26"/>
          <w:szCs w:val="22"/>
          <w:lang w:val="es-CR"/>
        </w:rPr>
        <w:t>345</w:t>
      </w:r>
      <w:r w:rsidRPr="00D958BC">
        <w:rPr>
          <w:rFonts w:ascii="Arial" w:hAnsi="Arial" w:cs="Arial"/>
          <w:b/>
          <w:bCs/>
          <w:iCs/>
          <w:sz w:val="26"/>
          <w:szCs w:val="22"/>
          <w:lang w:val="es-CR"/>
        </w:rPr>
        <w:t>-201</w:t>
      </w:r>
      <w:r w:rsidR="00A772EF">
        <w:rPr>
          <w:rFonts w:ascii="Arial" w:hAnsi="Arial" w:cs="Arial"/>
          <w:b/>
          <w:bCs/>
          <w:iCs/>
          <w:sz w:val="26"/>
          <w:szCs w:val="22"/>
          <w:lang w:val="es-CR"/>
        </w:rPr>
        <w:t>7</w:t>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639" w:type="dxa"/>
        <w:tblInd w:w="108" w:type="dxa"/>
        <w:tblLayout w:type="fixed"/>
        <w:tblLook w:val="01E0" w:firstRow="1" w:lastRow="1" w:firstColumn="1" w:lastColumn="1" w:noHBand="0" w:noVBand="0"/>
      </w:tblPr>
      <w:tblGrid>
        <w:gridCol w:w="1418"/>
        <w:gridCol w:w="8221"/>
      </w:tblGrid>
      <w:tr w:rsidR="007742A1" w:rsidRPr="00D958BC" w:rsidTr="007742A1">
        <w:tc>
          <w:tcPr>
            <w:tcW w:w="1418"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221" w:type="dxa"/>
          </w:tcPr>
          <w:p w:rsidR="0090700F" w:rsidRDefault="001E08C0"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Pr>
                <w:rFonts w:ascii="Arial" w:eastAsia="Cambria" w:hAnsi="Arial" w:cs="Arial"/>
                <w:sz w:val="22"/>
                <w:szCs w:val="22"/>
                <w:lang w:val="es-ES_tradnl" w:eastAsia="en-US"/>
              </w:rPr>
              <w:t>, Rector</w:t>
            </w:r>
            <w:r w:rsidR="00337455">
              <w:rPr>
                <w:rFonts w:ascii="Arial" w:eastAsia="Cambria" w:hAnsi="Arial" w:cs="Arial"/>
                <w:sz w:val="22"/>
                <w:szCs w:val="22"/>
                <w:lang w:val="es-ES_tradnl" w:eastAsia="en-US"/>
              </w:rPr>
              <w:t xml:space="preserve"> </w:t>
            </w:r>
          </w:p>
          <w:p w:rsidR="00155D15" w:rsidRDefault="00155D15"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Dra. Paola Vega, Vicerrectora VIE</w:t>
            </w:r>
          </w:p>
          <w:p w:rsidR="00155D15" w:rsidRDefault="00155D15"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Máster Diego Camacho, Coordinador del Programa de Regionalización</w:t>
            </w:r>
          </w:p>
          <w:p w:rsidR="002D6978" w:rsidRPr="00B36784" w:rsidRDefault="00B36784" w:rsidP="00EC3BD7">
            <w:pPr>
              <w:jc w:val="both"/>
              <w:rPr>
                <w:rFonts w:ascii="Arial" w:hAnsi="Arial" w:cs="Arial"/>
                <w:sz w:val="22"/>
                <w:szCs w:val="22"/>
                <w:lang w:val="es-CR"/>
              </w:rPr>
            </w:pPr>
            <w:r w:rsidRPr="00B36784">
              <w:rPr>
                <w:rFonts w:ascii="Arial" w:hAnsi="Arial" w:cs="Arial"/>
                <w:sz w:val="22"/>
                <w:szCs w:val="22"/>
                <w:lang w:val="es-CR"/>
              </w:rPr>
              <w:t>Lic. Isidro Álvarez, Auditor Interno</w:t>
            </w:r>
          </w:p>
          <w:p w:rsidR="00B36784" w:rsidRPr="002D6978" w:rsidRDefault="00B36784" w:rsidP="00EC3BD7">
            <w:pPr>
              <w:jc w:val="both"/>
              <w:rPr>
                <w:rFonts w:ascii="Arial" w:eastAsia="Cambria" w:hAnsi="Arial" w:cs="Arial"/>
                <w:sz w:val="22"/>
                <w:szCs w:val="22"/>
                <w:lang w:val="es-ES_tradnl" w:eastAsia="en-US"/>
              </w:rPr>
            </w:pPr>
          </w:p>
        </w:tc>
      </w:tr>
      <w:tr w:rsidR="007742A1" w:rsidRPr="00D958BC" w:rsidTr="007742A1">
        <w:tc>
          <w:tcPr>
            <w:tcW w:w="1418"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221" w:type="dxa"/>
          </w:tcPr>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Licda. </w:t>
            </w:r>
            <w:proofErr w:type="spellStart"/>
            <w:r w:rsidRPr="00D958BC">
              <w:rPr>
                <w:rFonts w:ascii="Arial" w:eastAsia="Cambria" w:hAnsi="Arial" w:cs="Arial"/>
                <w:sz w:val="22"/>
                <w:szCs w:val="22"/>
                <w:lang w:val="es-ES_tradnl" w:eastAsia="en-US"/>
              </w:rPr>
              <w:t>Bertalía</w:t>
            </w:r>
            <w:proofErr w:type="spellEnd"/>
            <w:r w:rsidRPr="00D958BC">
              <w:rPr>
                <w:rFonts w:ascii="Arial" w:eastAsia="Cambria" w:hAnsi="Arial" w:cs="Arial"/>
                <w:sz w:val="22"/>
                <w:szCs w:val="22"/>
                <w:lang w:val="es-ES_tradnl" w:eastAsia="en-US"/>
              </w:rPr>
              <w:t xml:space="preserve"> Sánchez Salas, Directora Ejecutiva </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Secretaría del Consejo Institucional</w:t>
            </w:r>
          </w:p>
          <w:p w:rsidR="007742A1" w:rsidRPr="00D958BC" w:rsidRDefault="007742A1" w:rsidP="007742A1">
            <w:pPr>
              <w:ind w:left="45"/>
              <w:jc w:val="both"/>
              <w:rPr>
                <w:rFonts w:ascii="Arial" w:eastAsia="Cambria" w:hAnsi="Arial" w:cs="Arial"/>
                <w:sz w:val="22"/>
                <w:szCs w:val="22"/>
                <w:lang w:val="es-ES_tradnl" w:eastAsia="en-US"/>
              </w:rPr>
            </w:pPr>
            <w:r w:rsidRPr="00D958BC">
              <w:rPr>
                <w:rFonts w:ascii="Arial" w:eastAsia="Cambria" w:hAnsi="Arial" w:cs="Arial"/>
                <w:sz w:val="22"/>
                <w:szCs w:val="22"/>
                <w:lang w:val="es-ES_tradnl" w:eastAsia="en-US"/>
              </w:rPr>
              <w:t xml:space="preserve">Instituto Tecnológico de Costa Rica </w:t>
            </w:r>
          </w:p>
        </w:tc>
      </w:tr>
      <w:tr w:rsidR="007742A1" w:rsidRPr="00D958BC" w:rsidTr="007742A1">
        <w:trPr>
          <w:trHeight w:val="327"/>
        </w:trPr>
        <w:tc>
          <w:tcPr>
            <w:tcW w:w="1418"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221" w:type="dxa"/>
          </w:tcPr>
          <w:p w:rsidR="007742A1" w:rsidRPr="00D958BC" w:rsidRDefault="007742A1" w:rsidP="007742A1">
            <w:pPr>
              <w:tabs>
                <w:tab w:val="right" w:pos="2410"/>
                <w:tab w:val="left" w:pos="2694"/>
              </w:tabs>
              <w:rPr>
                <w:rFonts w:ascii="Arial" w:eastAsia="Cambria" w:hAnsi="Arial" w:cs="Arial"/>
                <w:b/>
                <w:sz w:val="22"/>
                <w:szCs w:val="22"/>
                <w:lang w:eastAsia="en-US"/>
              </w:rPr>
            </w:pPr>
          </w:p>
          <w:p w:rsidR="007742A1" w:rsidRPr="00D958BC" w:rsidRDefault="00EC3BD7" w:rsidP="00EC3BD7">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07</w:t>
            </w:r>
            <w:r w:rsidR="00A772EF">
              <w:rPr>
                <w:rFonts w:ascii="Arial" w:eastAsia="Cambria" w:hAnsi="Arial" w:cs="Arial"/>
                <w:b/>
                <w:sz w:val="22"/>
                <w:szCs w:val="22"/>
                <w:lang w:val="es-ES_tradnl" w:eastAsia="en-US"/>
              </w:rPr>
              <w:t xml:space="preserve"> </w:t>
            </w:r>
            <w:r w:rsidR="007742A1" w:rsidRPr="00D958BC">
              <w:rPr>
                <w:rFonts w:ascii="Arial" w:eastAsia="Cambria" w:hAnsi="Arial" w:cs="Arial"/>
                <w:b/>
                <w:sz w:val="22"/>
                <w:szCs w:val="22"/>
                <w:lang w:val="es-ES_tradnl" w:eastAsia="en-US"/>
              </w:rPr>
              <w:t xml:space="preserve">de </w:t>
            </w:r>
            <w:r>
              <w:rPr>
                <w:rFonts w:ascii="Arial" w:eastAsia="Cambria" w:hAnsi="Arial" w:cs="Arial"/>
                <w:b/>
                <w:sz w:val="22"/>
                <w:szCs w:val="22"/>
                <w:lang w:val="es-ES_tradnl" w:eastAsia="en-US"/>
              </w:rPr>
              <w:t>junio</w:t>
            </w:r>
            <w:r w:rsidR="007742A1" w:rsidRPr="00D958BC">
              <w:rPr>
                <w:rFonts w:ascii="Arial" w:eastAsia="Cambria" w:hAnsi="Arial" w:cs="Arial"/>
                <w:b/>
                <w:sz w:val="22"/>
                <w:szCs w:val="22"/>
                <w:lang w:val="es-ES_tradnl" w:eastAsia="en-US"/>
              </w:rPr>
              <w:t xml:space="preserve"> de 201</w:t>
            </w:r>
            <w:r w:rsidR="00A772EF">
              <w:rPr>
                <w:rFonts w:ascii="Arial" w:eastAsia="Cambria" w:hAnsi="Arial" w:cs="Arial"/>
                <w:b/>
                <w:sz w:val="22"/>
                <w:szCs w:val="22"/>
                <w:lang w:val="es-ES_tradnl" w:eastAsia="en-US"/>
              </w:rPr>
              <w:t>7</w:t>
            </w:r>
          </w:p>
        </w:tc>
      </w:tr>
      <w:tr w:rsidR="007742A1" w:rsidRPr="00D958BC" w:rsidTr="007742A1">
        <w:trPr>
          <w:trHeight w:val="289"/>
        </w:trPr>
        <w:tc>
          <w:tcPr>
            <w:tcW w:w="1418" w:type="dxa"/>
          </w:tcPr>
          <w:p w:rsidR="007742A1" w:rsidRPr="00D958BC" w:rsidRDefault="007742A1" w:rsidP="007742A1">
            <w:pPr>
              <w:rPr>
                <w:rFonts w:ascii="Arial" w:eastAsia="SimSun" w:hAnsi="Arial" w:cs="Arial"/>
                <w:b/>
                <w:sz w:val="16"/>
                <w:szCs w:val="16"/>
                <w:lang w:eastAsia="en-US"/>
              </w:rPr>
            </w:pPr>
          </w:p>
        </w:tc>
        <w:tc>
          <w:tcPr>
            <w:tcW w:w="8221" w:type="dxa"/>
          </w:tcPr>
          <w:p w:rsidR="007742A1" w:rsidRPr="00D958BC" w:rsidRDefault="007742A1" w:rsidP="007742A1">
            <w:pPr>
              <w:rPr>
                <w:rFonts w:ascii="Arial" w:eastAsia="SimSun" w:hAnsi="Arial" w:cs="Arial"/>
                <w:sz w:val="22"/>
                <w:szCs w:val="22"/>
                <w:lang w:eastAsia="en-US"/>
              </w:rPr>
            </w:pPr>
          </w:p>
        </w:tc>
      </w:tr>
      <w:tr w:rsidR="007742A1" w:rsidRPr="00D958BC" w:rsidTr="007742A1">
        <w:trPr>
          <w:trHeight w:val="327"/>
        </w:trPr>
        <w:tc>
          <w:tcPr>
            <w:tcW w:w="1418"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221" w:type="dxa"/>
          </w:tcPr>
          <w:p w:rsidR="00202E06" w:rsidRPr="00B36784" w:rsidRDefault="007742A1" w:rsidP="00EC3BD7">
            <w:pPr>
              <w:ind w:left="-74"/>
              <w:jc w:val="both"/>
              <w:rPr>
                <w:rFonts w:ascii="Arial" w:eastAsia="Calibri" w:hAnsi="Arial" w:cs="Arial"/>
                <w:b/>
                <w:sz w:val="22"/>
                <w:szCs w:val="22"/>
              </w:rPr>
            </w:pPr>
            <w:r w:rsidRPr="00D958BC">
              <w:rPr>
                <w:rFonts w:ascii="Arial" w:eastAsia="Calibri" w:hAnsi="Arial" w:cs="Arial"/>
                <w:b/>
                <w:sz w:val="22"/>
                <w:szCs w:val="22"/>
              </w:rPr>
              <w:t xml:space="preserve">Sesión Ordinaria No. </w:t>
            </w:r>
            <w:r w:rsidR="00337455">
              <w:rPr>
                <w:rFonts w:ascii="Arial" w:eastAsia="Calibri" w:hAnsi="Arial" w:cs="Arial"/>
                <w:b/>
                <w:sz w:val="22"/>
                <w:szCs w:val="22"/>
              </w:rPr>
              <w:t>30</w:t>
            </w:r>
            <w:r w:rsidR="001F3E92">
              <w:rPr>
                <w:rFonts w:ascii="Arial" w:eastAsia="Calibri" w:hAnsi="Arial" w:cs="Arial"/>
                <w:b/>
                <w:sz w:val="22"/>
                <w:szCs w:val="22"/>
              </w:rPr>
              <w:t>2</w:t>
            </w:r>
            <w:r w:rsidR="00EC3BD7">
              <w:rPr>
                <w:rFonts w:ascii="Arial" w:eastAsia="Calibri" w:hAnsi="Arial" w:cs="Arial"/>
                <w:b/>
                <w:sz w:val="22"/>
                <w:szCs w:val="22"/>
              </w:rPr>
              <w:t>5</w:t>
            </w:r>
            <w:r w:rsidRPr="00D958BC">
              <w:rPr>
                <w:rFonts w:ascii="Arial" w:eastAsia="Calibri" w:hAnsi="Arial" w:cs="Arial"/>
                <w:b/>
                <w:sz w:val="22"/>
                <w:szCs w:val="22"/>
              </w:rPr>
              <w:t>, Artículo</w:t>
            </w:r>
            <w:r w:rsidR="00437F0F">
              <w:rPr>
                <w:rFonts w:ascii="Arial" w:eastAsia="Calibri" w:hAnsi="Arial" w:cs="Arial"/>
                <w:b/>
                <w:sz w:val="22"/>
                <w:szCs w:val="22"/>
              </w:rPr>
              <w:t xml:space="preserve"> </w:t>
            </w:r>
            <w:r w:rsidR="001A33C3">
              <w:rPr>
                <w:rFonts w:ascii="Arial" w:eastAsia="Calibri" w:hAnsi="Arial" w:cs="Arial"/>
                <w:b/>
                <w:sz w:val="22"/>
                <w:szCs w:val="22"/>
              </w:rPr>
              <w:t>1</w:t>
            </w:r>
            <w:r w:rsidR="00B36784">
              <w:rPr>
                <w:rFonts w:ascii="Arial" w:eastAsia="Calibri" w:hAnsi="Arial" w:cs="Arial"/>
                <w:b/>
                <w:sz w:val="22"/>
                <w:szCs w:val="22"/>
              </w:rPr>
              <w:t>5</w:t>
            </w:r>
            <w:r w:rsidR="00337455">
              <w:rPr>
                <w:rFonts w:ascii="Arial" w:eastAsia="Calibri" w:hAnsi="Arial" w:cs="Arial"/>
                <w:b/>
                <w:sz w:val="22"/>
                <w:szCs w:val="22"/>
              </w:rPr>
              <w:t>,</w:t>
            </w:r>
            <w:r w:rsidRPr="00D958BC">
              <w:rPr>
                <w:rFonts w:ascii="Arial" w:eastAsia="Calibri" w:hAnsi="Arial" w:cs="Arial"/>
                <w:b/>
                <w:sz w:val="22"/>
                <w:szCs w:val="22"/>
              </w:rPr>
              <w:t xml:space="preserve"> del </w:t>
            </w:r>
            <w:r w:rsidR="00EC3BD7">
              <w:rPr>
                <w:rFonts w:ascii="Arial" w:eastAsia="Calibri" w:hAnsi="Arial" w:cs="Arial"/>
                <w:b/>
                <w:sz w:val="22"/>
                <w:szCs w:val="22"/>
              </w:rPr>
              <w:t>07</w:t>
            </w:r>
            <w:r w:rsidRPr="00D958BC">
              <w:rPr>
                <w:rFonts w:ascii="Arial" w:eastAsia="Calibri" w:hAnsi="Arial" w:cs="Arial"/>
                <w:b/>
                <w:sz w:val="22"/>
                <w:szCs w:val="22"/>
              </w:rPr>
              <w:t xml:space="preserve"> de </w:t>
            </w:r>
            <w:r w:rsidR="00EC3BD7">
              <w:rPr>
                <w:rFonts w:ascii="Arial" w:eastAsia="Calibri" w:hAnsi="Arial" w:cs="Arial"/>
                <w:b/>
                <w:sz w:val="22"/>
                <w:szCs w:val="22"/>
              </w:rPr>
              <w:t>junio</w:t>
            </w:r>
            <w:r w:rsidR="007A2D73">
              <w:rPr>
                <w:rFonts w:ascii="Arial" w:eastAsia="Calibri" w:hAnsi="Arial" w:cs="Arial"/>
                <w:b/>
                <w:sz w:val="22"/>
                <w:szCs w:val="22"/>
              </w:rPr>
              <w:t xml:space="preserve"> </w:t>
            </w:r>
            <w:r w:rsidR="00A772EF">
              <w:rPr>
                <w:rFonts w:ascii="Arial" w:eastAsia="Calibri" w:hAnsi="Arial" w:cs="Arial"/>
                <w:b/>
                <w:sz w:val="22"/>
                <w:szCs w:val="22"/>
              </w:rPr>
              <w:t>de 2017</w:t>
            </w:r>
            <w:r w:rsidR="001E08C0">
              <w:rPr>
                <w:rFonts w:ascii="Arial" w:eastAsia="Calibri" w:hAnsi="Arial" w:cs="Arial"/>
                <w:b/>
                <w:sz w:val="22"/>
                <w:szCs w:val="22"/>
              </w:rPr>
              <w:t xml:space="preserve">.  </w:t>
            </w:r>
            <w:r w:rsidR="00B36784" w:rsidRPr="00B36784">
              <w:rPr>
                <w:rFonts w:ascii="Arial" w:eastAsia="Calibri" w:hAnsi="Arial" w:cs="Arial"/>
                <w:b/>
                <w:sz w:val="22"/>
                <w:szCs w:val="22"/>
                <w:lang w:val="es-ES_tradnl" w:eastAsia="en-US"/>
              </w:rPr>
              <w:t xml:space="preserve">Informe de Fiscalización AUDI-F-004-2017, resultados obtenidos en el estudio “Evaluación de la estructura administrativa del Programa de Regionalización Interuniversitaria, según acuerdo </w:t>
            </w:r>
            <w:r w:rsidR="00B36784" w:rsidRPr="00B36784">
              <w:rPr>
                <w:rFonts w:ascii="Arial" w:hAnsi="Arial" w:cs="Arial"/>
                <w:b/>
                <w:sz w:val="22"/>
                <w:szCs w:val="22"/>
                <w:lang w:val="es-CR"/>
              </w:rPr>
              <w:t>Sesión Ordinaria No. 2992, Artículo 8, del 05 de octubre de 2016</w:t>
            </w:r>
            <w:r w:rsidR="00B36784">
              <w:rPr>
                <w:rFonts w:ascii="Arial" w:hAnsi="Arial" w:cs="Arial"/>
                <w:b/>
                <w:sz w:val="22"/>
                <w:szCs w:val="22"/>
                <w:lang w:val="es-CR"/>
              </w:rPr>
              <w:t>”</w:t>
            </w:r>
          </w:p>
          <w:p w:rsidR="00EC3BD7" w:rsidRPr="00DC4940" w:rsidRDefault="00EC3BD7" w:rsidP="00B36784">
            <w:pPr>
              <w:jc w:val="both"/>
              <w:rPr>
                <w:rFonts w:ascii="Arial" w:eastAsia="Cambria" w:hAnsi="Arial" w:cs="Arial"/>
                <w:b/>
                <w:sz w:val="22"/>
                <w:szCs w:val="22"/>
                <w:highlight w:val="yellow"/>
                <w:lang w:val="es-CR" w:eastAsia="en-US"/>
              </w:rPr>
            </w:pPr>
          </w:p>
        </w:tc>
      </w:tr>
    </w:tbl>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763AF2" w:rsidRDefault="00763AF2" w:rsidP="007742A1">
      <w:pPr>
        <w:jc w:val="both"/>
        <w:rPr>
          <w:rFonts w:ascii="Arial" w:eastAsia="Cambria" w:hAnsi="Arial" w:cs="Arial"/>
          <w:lang w:val="es-ES_tradnl" w:eastAsia="en-US"/>
        </w:rPr>
      </w:pPr>
    </w:p>
    <w:p w:rsidR="00B36784" w:rsidRPr="00B36784" w:rsidRDefault="00B36784" w:rsidP="00B36784">
      <w:pPr>
        <w:tabs>
          <w:tab w:val="left" w:pos="3070"/>
        </w:tabs>
        <w:contextualSpacing/>
        <w:jc w:val="both"/>
        <w:outlineLvl w:val="0"/>
        <w:rPr>
          <w:rFonts w:ascii="Arial" w:hAnsi="Arial" w:cs="Arial"/>
          <w:b/>
          <w:lang w:val="es-CR"/>
        </w:rPr>
      </w:pPr>
      <w:r w:rsidRPr="00B36784">
        <w:rPr>
          <w:rFonts w:ascii="Arial" w:hAnsi="Arial" w:cs="Arial"/>
          <w:b/>
          <w:lang w:val="es-CR"/>
        </w:rPr>
        <w:t xml:space="preserve">RESULTANDO QUE: </w:t>
      </w:r>
    </w:p>
    <w:p w:rsidR="00B36784" w:rsidRPr="00B36784" w:rsidRDefault="00B36784" w:rsidP="00B36784">
      <w:pPr>
        <w:jc w:val="both"/>
        <w:rPr>
          <w:rFonts w:ascii="Arial" w:hAnsi="Arial" w:cs="Arial"/>
          <w:sz w:val="20"/>
          <w:szCs w:val="20"/>
          <w:lang w:val="es-CR"/>
        </w:rPr>
      </w:pPr>
    </w:p>
    <w:p w:rsidR="00B36784" w:rsidRPr="00B36784" w:rsidRDefault="00B36784" w:rsidP="00380A48">
      <w:pPr>
        <w:numPr>
          <w:ilvl w:val="0"/>
          <w:numId w:val="2"/>
        </w:numPr>
        <w:ind w:left="360"/>
        <w:jc w:val="both"/>
        <w:rPr>
          <w:rFonts w:ascii="Arial" w:hAnsi="Arial" w:cs="Arial"/>
          <w:lang w:val="es-CR"/>
        </w:rPr>
      </w:pPr>
      <w:r w:rsidRPr="00B36784">
        <w:rPr>
          <w:rFonts w:ascii="Arial" w:hAnsi="Arial" w:cs="Arial"/>
          <w:lang w:val="es-CR"/>
        </w:rPr>
        <w:t>La Ley General de Control Interno, No. 8292, en su Artículo 12 “Deberes del jerarca y de los titulares subordinados en el sistema de control interno”, establece:</w:t>
      </w:r>
    </w:p>
    <w:p w:rsidR="00B36784" w:rsidRPr="00B36784" w:rsidRDefault="00B36784" w:rsidP="00B36784">
      <w:pPr>
        <w:jc w:val="both"/>
        <w:rPr>
          <w:rFonts w:ascii="Arial" w:hAnsi="Arial" w:cs="Arial"/>
          <w:i/>
          <w:sz w:val="20"/>
          <w:szCs w:val="20"/>
          <w:lang w:val="es-CR"/>
        </w:rPr>
      </w:pPr>
    </w:p>
    <w:p w:rsidR="00B36784" w:rsidRPr="00B36784" w:rsidRDefault="00B36784" w:rsidP="00B36784">
      <w:pPr>
        <w:ind w:left="742" w:right="689" w:firstLine="6"/>
        <w:jc w:val="both"/>
        <w:rPr>
          <w:rFonts w:ascii="Arial" w:hAnsi="Arial" w:cs="Arial"/>
          <w:i/>
          <w:sz w:val="20"/>
          <w:szCs w:val="20"/>
          <w:lang w:val="es-CR"/>
        </w:rPr>
      </w:pPr>
      <w:r w:rsidRPr="00B36784">
        <w:rPr>
          <w:rFonts w:ascii="Arial" w:hAnsi="Arial" w:cs="Arial"/>
          <w:i/>
          <w:sz w:val="20"/>
          <w:szCs w:val="20"/>
          <w:lang w:val="es-CR"/>
        </w:rPr>
        <w:t>“a</w:t>
      </w:r>
      <w:proofErr w:type="gramStart"/>
      <w:r w:rsidRPr="00B36784">
        <w:rPr>
          <w:rFonts w:ascii="Arial" w:hAnsi="Arial" w:cs="Arial"/>
          <w:i/>
          <w:sz w:val="20"/>
          <w:szCs w:val="20"/>
          <w:lang w:val="es-CR"/>
        </w:rPr>
        <w:t>) ...</w:t>
      </w:r>
      <w:proofErr w:type="gramEnd"/>
    </w:p>
    <w:p w:rsidR="00B36784" w:rsidRPr="00B36784" w:rsidRDefault="00B36784" w:rsidP="00B36784">
      <w:pPr>
        <w:ind w:left="742" w:right="689" w:firstLine="6"/>
        <w:jc w:val="both"/>
        <w:rPr>
          <w:rFonts w:ascii="Arial" w:hAnsi="Arial" w:cs="Arial"/>
          <w:i/>
          <w:sz w:val="20"/>
          <w:szCs w:val="20"/>
          <w:lang w:val="es-CR"/>
        </w:rPr>
      </w:pPr>
      <w:r w:rsidRPr="00B36784">
        <w:rPr>
          <w:rFonts w:ascii="Arial" w:hAnsi="Arial" w:cs="Arial"/>
          <w:i/>
          <w:sz w:val="20"/>
          <w:szCs w:val="20"/>
          <w:lang w:val="es-CR"/>
        </w:rPr>
        <w:t xml:space="preserve"> </w:t>
      </w:r>
      <w:proofErr w:type="gramStart"/>
      <w:r w:rsidRPr="00B36784">
        <w:rPr>
          <w:rFonts w:ascii="Arial" w:hAnsi="Arial" w:cs="Arial"/>
          <w:i/>
          <w:sz w:val="20"/>
          <w:szCs w:val="20"/>
          <w:lang w:val="es-CR"/>
        </w:rPr>
        <w:t>b)  …</w:t>
      </w:r>
      <w:proofErr w:type="gramEnd"/>
    </w:p>
    <w:p w:rsidR="00B36784" w:rsidRPr="00B36784" w:rsidRDefault="00B36784" w:rsidP="00B36784">
      <w:pPr>
        <w:ind w:left="851" w:right="689" w:hanging="123"/>
        <w:jc w:val="both"/>
        <w:rPr>
          <w:rFonts w:ascii="Arial" w:hAnsi="Arial" w:cs="Arial"/>
          <w:i/>
          <w:sz w:val="20"/>
          <w:szCs w:val="20"/>
          <w:lang w:val="es-CR"/>
        </w:rPr>
      </w:pPr>
      <w:r w:rsidRPr="00B36784">
        <w:rPr>
          <w:rFonts w:ascii="Arial" w:hAnsi="Arial" w:cs="Arial"/>
          <w:i/>
          <w:sz w:val="20"/>
          <w:szCs w:val="20"/>
          <w:lang w:val="es-CR"/>
        </w:rPr>
        <w:t xml:space="preserve"> c) Analizar e implantar, de inmediato, las observaciones, recomendaciones y disposiciones formuladas por la auditoría interna, la Contraloría General de la República, la auditoría externa y las demás instituciones de control y fiscalización que correspondan. </w:t>
      </w:r>
    </w:p>
    <w:p w:rsidR="00B36784" w:rsidRPr="00B36784" w:rsidRDefault="00B36784" w:rsidP="00B36784">
      <w:pPr>
        <w:ind w:left="742" w:right="689" w:firstLine="6"/>
        <w:jc w:val="both"/>
        <w:rPr>
          <w:rFonts w:ascii="Arial" w:hAnsi="Arial" w:cs="Arial"/>
          <w:i/>
          <w:sz w:val="20"/>
          <w:szCs w:val="20"/>
          <w:lang w:val="es-CR"/>
        </w:rPr>
      </w:pPr>
      <w:r w:rsidRPr="00B36784">
        <w:rPr>
          <w:rFonts w:ascii="Arial" w:hAnsi="Arial" w:cs="Arial"/>
          <w:i/>
          <w:sz w:val="20"/>
          <w:szCs w:val="20"/>
          <w:lang w:val="es-CR"/>
        </w:rPr>
        <w:t>…”</w:t>
      </w:r>
    </w:p>
    <w:p w:rsidR="00B36784" w:rsidRPr="00B36784" w:rsidRDefault="00B36784" w:rsidP="00B36784">
      <w:pPr>
        <w:ind w:left="1320" w:hanging="1320"/>
        <w:jc w:val="both"/>
        <w:rPr>
          <w:rFonts w:ascii="Arial" w:hAnsi="Arial" w:cs="Arial"/>
          <w:sz w:val="20"/>
          <w:szCs w:val="20"/>
        </w:rPr>
      </w:pPr>
    </w:p>
    <w:p w:rsidR="00B36784" w:rsidRPr="00B36784" w:rsidRDefault="00B36784" w:rsidP="00380A48">
      <w:pPr>
        <w:numPr>
          <w:ilvl w:val="0"/>
          <w:numId w:val="2"/>
        </w:numPr>
        <w:ind w:left="360"/>
        <w:jc w:val="both"/>
        <w:rPr>
          <w:rFonts w:ascii="Arial" w:hAnsi="Arial" w:cs="Arial"/>
          <w:lang w:val="es-CR"/>
        </w:rPr>
      </w:pPr>
      <w:r w:rsidRPr="00B36784">
        <w:rPr>
          <w:rFonts w:ascii="Arial" w:hAnsi="Arial" w:cs="Arial"/>
          <w:lang w:val="es-CR"/>
        </w:rPr>
        <w:t>Las Disposiciones para la Atención, por parte del Instituto Tecnológico de Costa Rica, de los Informes de Auditoría Interna, Externa y de la Contraloría General de la República, rezan:</w:t>
      </w:r>
    </w:p>
    <w:p w:rsidR="00B36784" w:rsidRPr="00B36784" w:rsidRDefault="00B36784" w:rsidP="00B36784">
      <w:pPr>
        <w:jc w:val="both"/>
        <w:rPr>
          <w:rFonts w:ascii="Arial" w:hAnsi="Arial" w:cs="Arial"/>
          <w:lang w:val="es-CR"/>
        </w:rPr>
      </w:pPr>
    </w:p>
    <w:p w:rsidR="00B36784" w:rsidRPr="00B36784" w:rsidRDefault="00B36784" w:rsidP="00B36784">
      <w:pPr>
        <w:autoSpaceDE w:val="0"/>
        <w:autoSpaceDN w:val="0"/>
        <w:adjustRightInd w:val="0"/>
        <w:spacing w:after="120"/>
        <w:ind w:left="709" w:right="845"/>
        <w:jc w:val="both"/>
        <w:rPr>
          <w:rFonts w:ascii="Arial" w:eastAsia="Cambria" w:hAnsi="Arial" w:cs="Arial"/>
          <w:b/>
          <w:bCs/>
          <w:i/>
          <w:sz w:val="20"/>
          <w:szCs w:val="20"/>
          <w:lang w:val="es-CR" w:eastAsia="es-CR"/>
        </w:rPr>
      </w:pPr>
      <w:r w:rsidRPr="00B36784">
        <w:rPr>
          <w:rFonts w:ascii="Arial" w:eastAsia="Cambria" w:hAnsi="Arial" w:cs="Arial"/>
          <w:b/>
          <w:bCs/>
          <w:i/>
          <w:sz w:val="20"/>
          <w:szCs w:val="20"/>
          <w:lang w:val="es-CR" w:eastAsia="es-CR"/>
        </w:rPr>
        <w:t>Artículo 6 Informes remitidos por la Auditoría Interna:</w:t>
      </w:r>
    </w:p>
    <w:p w:rsidR="00B36784" w:rsidRPr="00B36784" w:rsidRDefault="00B36784" w:rsidP="00B36784">
      <w:pPr>
        <w:spacing w:before="120"/>
        <w:ind w:left="709" w:right="476"/>
        <w:jc w:val="both"/>
        <w:rPr>
          <w:rFonts w:ascii="Arial" w:hAnsi="Arial" w:cs="Arial"/>
          <w:i/>
          <w:sz w:val="20"/>
          <w:szCs w:val="20"/>
          <w:lang w:val="es-CR" w:eastAsia="es-CR"/>
        </w:rPr>
      </w:pPr>
      <w:r w:rsidRPr="00B36784">
        <w:rPr>
          <w:rFonts w:ascii="Arial" w:hAnsi="Arial" w:cs="Arial"/>
          <w:b/>
          <w:bCs/>
          <w:i/>
          <w:sz w:val="20"/>
          <w:szCs w:val="20"/>
          <w:lang w:val="es-CR" w:eastAsia="es-CR"/>
        </w:rPr>
        <w:t>6.1.</w:t>
      </w:r>
      <w:r w:rsidRPr="00B36784">
        <w:rPr>
          <w:rFonts w:ascii="Arial" w:hAnsi="Arial" w:cs="Arial"/>
          <w:i/>
          <w:sz w:val="20"/>
          <w:szCs w:val="20"/>
          <w:lang w:val="es-CR" w:eastAsia="es-CR"/>
        </w:rPr>
        <w:t xml:space="preserve"> Recibido el Informe por parte de la Auditoría Interna, las autoridades a quienes se dirige, resolverán sobre la aceptación o no de las recomendaciones contenidas en el mismo, comunicando lo que corresponda a la Auditoría Interna para lo de su competencia. </w:t>
      </w:r>
    </w:p>
    <w:p w:rsidR="00B36784" w:rsidRPr="00B36784" w:rsidRDefault="00B36784" w:rsidP="00B36784">
      <w:pPr>
        <w:ind w:left="709" w:right="476"/>
        <w:jc w:val="both"/>
        <w:rPr>
          <w:rFonts w:ascii="Arial" w:hAnsi="Arial" w:cs="Arial"/>
          <w:i/>
          <w:sz w:val="20"/>
          <w:szCs w:val="20"/>
          <w:lang w:val="es-CR" w:eastAsia="es-CR"/>
        </w:rPr>
      </w:pPr>
      <w:r w:rsidRPr="00B36784">
        <w:rPr>
          <w:rFonts w:ascii="Arial" w:hAnsi="Arial" w:cs="Arial"/>
          <w:b/>
          <w:bCs/>
          <w:i/>
          <w:sz w:val="20"/>
          <w:szCs w:val="20"/>
          <w:lang w:val="es-CR" w:eastAsia="es-CR"/>
        </w:rPr>
        <w:t>6.2.</w:t>
      </w:r>
      <w:r w:rsidRPr="00B36784">
        <w:rPr>
          <w:rFonts w:ascii="Arial" w:hAnsi="Arial" w:cs="Arial"/>
          <w:i/>
          <w:sz w:val="20"/>
          <w:szCs w:val="20"/>
          <w:lang w:val="es-CR" w:eastAsia="es-CR"/>
        </w:rPr>
        <w:t xml:space="preserve"> En caso de que las recomendaciones sean aceptadas se solicitará a quienes corresponda, la presentación de un plan de acción, informando a la Auditoría Interna sobre los responsables y plazos para su ejecución en un plazo de diez días hábiles, excepto en los casos dirigidos al Directorio de la Asamblea Institucional Representativa o al Consejo Institucional, en cuyo caso dispondrán de un plazo de treinta días hábiles para informar sobre lo dispuesto anteriormente. </w:t>
      </w:r>
    </w:p>
    <w:p w:rsidR="00B36784" w:rsidRPr="00B36784" w:rsidRDefault="00B36784" w:rsidP="00B36784">
      <w:pPr>
        <w:ind w:left="709" w:right="476"/>
        <w:jc w:val="both"/>
        <w:rPr>
          <w:rFonts w:ascii="Arial" w:hAnsi="Arial" w:cs="Arial"/>
          <w:i/>
          <w:sz w:val="20"/>
          <w:szCs w:val="20"/>
          <w:lang w:val="es-CR" w:eastAsia="es-CR"/>
        </w:rPr>
      </w:pPr>
      <w:r w:rsidRPr="00B36784">
        <w:rPr>
          <w:rFonts w:ascii="Arial" w:hAnsi="Arial" w:cs="Arial"/>
          <w:b/>
          <w:bCs/>
          <w:i/>
          <w:sz w:val="20"/>
          <w:szCs w:val="20"/>
          <w:lang w:val="es-CR" w:eastAsia="es-CR"/>
        </w:rPr>
        <w:t>6.3.</w:t>
      </w:r>
      <w:r w:rsidRPr="00B36784">
        <w:rPr>
          <w:rFonts w:ascii="Arial" w:hAnsi="Arial" w:cs="Arial"/>
          <w:i/>
          <w:sz w:val="20"/>
          <w:szCs w:val="20"/>
          <w:lang w:val="es-CR" w:eastAsia="es-CR"/>
        </w:rPr>
        <w:t xml:space="preserve"> Cada instancia a la que se le trasladen las recomendaciones deberá velar por el cumplimiento y seguimiento de las mismas, debiendo mantener informada oportunamente a la autoridad correspondiente, sobre la ejecución de las actividades propuestas. </w:t>
      </w:r>
    </w:p>
    <w:p w:rsidR="00B36784" w:rsidRPr="00B36784" w:rsidRDefault="00B36784" w:rsidP="00B36784">
      <w:pPr>
        <w:ind w:left="709" w:right="476"/>
        <w:jc w:val="both"/>
        <w:rPr>
          <w:rFonts w:ascii="Arial" w:hAnsi="Arial" w:cs="Arial"/>
          <w:i/>
          <w:sz w:val="20"/>
          <w:szCs w:val="20"/>
          <w:lang w:val="es-CR" w:eastAsia="es-CR"/>
        </w:rPr>
      </w:pPr>
      <w:r w:rsidRPr="00B36784">
        <w:rPr>
          <w:rFonts w:ascii="Arial" w:hAnsi="Arial" w:cs="Arial"/>
          <w:b/>
          <w:bCs/>
          <w:i/>
          <w:sz w:val="20"/>
          <w:szCs w:val="20"/>
          <w:lang w:val="es-CR" w:eastAsia="es-CR"/>
        </w:rPr>
        <w:lastRenderedPageBreak/>
        <w:t>6.4.</w:t>
      </w:r>
      <w:r w:rsidRPr="00B36784">
        <w:rPr>
          <w:rFonts w:ascii="Arial" w:hAnsi="Arial" w:cs="Arial"/>
          <w:i/>
          <w:sz w:val="20"/>
          <w:szCs w:val="20"/>
          <w:lang w:val="es-CR" w:eastAsia="es-CR"/>
        </w:rPr>
        <w:t xml:space="preserve"> Conforme se ejecute el plan de acción, los funcionarios asignados para actualizar el sistema automatizado de seguimiento de recomendaciones que administra la Auditoría Interna, deberán incluir en el mismo la información correspondiente. </w:t>
      </w:r>
    </w:p>
    <w:p w:rsidR="00B36784" w:rsidRPr="00B36784" w:rsidRDefault="00B36784" w:rsidP="00B36784">
      <w:pPr>
        <w:ind w:left="742" w:right="689" w:firstLine="6"/>
        <w:jc w:val="both"/>
        <w:rPr>
          <w:rFonts w:ascii="Arial" w:hAnsi="Arial" w:cs="Arial"/>
          <w:b/>
          <w:i/>
          <w:sz w:val="20"/>
          <w:szCs w:val="20"/>
        </w:rPr>
      </w:pPr>
    </w:p>
    <w:p w:rsidR="00B36784" w:rsidRPr="00B36784" w:rsidRDefault="00B36784" w:rsidP="00380A48">
      <w:pPr>
        <w:numPr>
          <w:ilvl w:val="0"/>
          <w:numId w:val="2"/>
        </w:numPr>
        <w:ind w:left="360"/>
        <w:jc w:val="both"/>
        <w:rPr>
          <w:rFonts w:ascii="Arial" w:eastAsia="SimSun" w:hAnsi="Arial" w:cs="Arial"/>
          <w:lang w:val="es-CR"/>
        </w:rPr>
      </w:pPr>
      <w:r w:rsidRPr="00B36784">
        <w:rPr>
          <w:rFonts w:ascii="Arial" w:hAnsi="Arial" w:cs="Arial"/>
          <w:lang w:val="es-CR"/>
        </w:rPr>
        <w:t>El Consejo Institucional en Sesión Ordinaria No. 2746, Artículo 9, del 15 de diciembre de 2011, tomó el acuerdo: “</w:t>
      </w:r>
      <w:r w:rsidRPr="00B36784">
        <w:rPr>
          <w:rFonts w:ascii="Arial" w:eastAsia="SimSun" w:hAnsi="Arial" w:cs="Arial"/>
          <w:i/>
          <w:lang w:val="es-CR"/>
        </w:rPr>
        <w:t>Aprobación del Programa de Regionalización como programa de extensión adscrito a la Vicerrectoría de Investigación y Extensión y liberación de las plazas del programa para el año 2012</w:t>
      </w:r>
      <w:r w:rsidRPr="00B36784">
        <w:rPr>
          <w:rFonts w:ascii="Arial" w:eastAsia="SimSun" w:hAnsi="Arial" w:cs="Arial"/>
          <w:lang w:val="es-CR"/>
        </w:rPr>
        <w:t xml:space="preserve">”. </w:t>
      </w:r>
    </w:p>
    <w:p w:rsidR="00B36784" w:rsidRPr="00B36784" w:rsidRDefault="00B36784" w:rsidP="00B36784">
      <w:pPr>
        <w:ind w:left="868" w:right="333" w:hanging="301"/>
        <w:jc w:val="both"/>
        <w:rPr>
          <w:rFonts w:ascii="Arial" w:hAnsi="Arial" w:cs="Arial"/>
          <w:i/>
          <w:sz w:val="20"/>
          <w:szCs w:val="20"/>
        </w:rPr>
      </w:pPr>
    </w:p>
    <w:p w:rsidR="00B36784" w:rsidRPr="00B36784" w:rsidRDefault="00B36784" w:rsidP="00380A48">
      <w:pPr>
        <w:numPr>
          <w:ilvl w:val="0"/>
          <w:numId w:val="2"/>
        </w:numPr>
        <w:ind w:left="360"/>
        <w:jc w:val="both"/>
        <w:rPr>
          <w:rFonts w:ascii="Arial" w:hAnsi="Arial" w:cs="Arial"/>
          <w:lang w:val="es-CR"/>
        </w:rPr>
      </w:pPr>
      <w:r w:rsidRPr="00B36784">
        <w:rPr>
          <w:rFonts w:ascii="Arial" w:hAnsi="Arial" w:cs="Arial"/>
        </w:rPr>
        <w:t xml:space="preserve">El Consejo Institucional en Sesión Ordinaria No. 2992, Artículo 8, del 05 de octubre de 2016, tomó el acuerdo  “Plazas Nuevas, Renovación y Reconversión, financiadas con Fondos del Sistema 2017” y sobre el </w:t>
      </w:r>
      <w:r w:rsidRPr="00B36784">
        <w:rPr>
          <w:rFonts w:ascii="Arial" w:eastAsia="SimSun" w:hAnsi="Arial" w:cs="Arial"/>
          <w:i/>
          <w:lang w:val="es-CR"/>
        </w:rPr>
        <w:t>Programa de Regionalización</w:t>
      </w:r>
      <w:r w:rsidRPr="00B36784">
        <w:rPr>
          <w:rFonts w:ascii="Arial" w:hAnsi="Arial" w:cs="Arial"/>
          <w:lang w:val="es-CR"/>
        </w:rPr>
        <w:t xml:space="preserve">”,  acordó:  </w:t>
      </w:r>
    </w:p>
    <w:p w:rsidR="00B36784" w:rsidRPr="00B36784" w:rsidRDefault="00B36784" w:rsidP="00B36784">
      <w:pPr>
        <w:jc w:val="both"/>
        <w:rPr>
          <w:rFonts w:ascii="Arial" w:hAnsi="Arial" w:cs="Arial"/>
          <w:highlight w:val="yellow"/>
          <w:lang w:val="es-CR"/>
        </w:rPr>
      </w:pPr>
    </w:p>
    <w:p w:rsidR="00B36784" w:rsidRPr="00B36784" w:rsidRDefault="00B36784" w:rsidP="00B36784">
      <w:pPr>
        <w:ind w:left="868" w:right="333" w:hanging="301"/>
        <w:jc w:val="both"/>
        <w:rPr>
          <w:rFonts w:ascii="Arial" w:hAnsi="Arial" w:cs="Arial"/>
          <w:i/>
          <w:sz w:val="20"/>
          <w:szCs w:val="20"/>
        </w:rPr>
      </w:pPr>
      <w:r w:rsidRPr="00B36784">
        <w:rPr>
          <w:rFonts w:ascii="Arial" w:hAnsi="Arial" w:cs="Arial"/>
          <w:i/>
          <w:sz w:val="20"/>
          <w:szCs w:val="20"/>
        </w:rPr>
        <w:t>“…</w:t>
      </w:r>
    </w:p>
    <w:p w:rsidR="00B36784" w:rsidRPr="00B36784" w:rsidRDefault="00B36784" w:rsidP="00B36784">
      <w:pPr>
        <w:ind w:left="868" w:right="333" w:hanging="301"/>
        <w:jc w:val="both"/>
        <w:rPr>
          <w:rFonts w:ascii="Arial" w:hAnsi="Arial" w:cs="Arial"/>
          <w:i/>
          <w:sz w:val="20"/>
          <w:szCs w:val="20"/>
        </w:rPr>
      </w:pPr>
      <w:r w:rsidRPr="00B36784">
        <w:rPr>
          <w:rFonts w:ascii="Arial" w:hAnsi="Arial" w:cs="Arial"/>
          <w:i/>
          <w:sz w:val="20"/>
          <w:szCs w:val="20"/>
        </w:rPr>
        <w:t>d.  Solicitar a la Auditoría Interna que realice una auditoría administrativa, en los términos en que se señala en el considerando 5, y presente el informe al Consejo Institucional a más tardar el 30 de marzo de 2017</w:t>
      </w:r>
      <w:proofErr w:type="gramStart"/>
      <w:r w:rsidRPr="00B36784">
        <w:rPr>
          <w:rFonts w:ascii="Arial" w:hAnsi="Arial" w:cs="Arial"/>
          <w:i/>
          <w:sz w:val="20"/>
          <w:szCs w:val="20"/>
        </w:rPr>
        <w:t>..</w:t>
      </w:r>
      <w:proofErr w:type="gramEnd"/>
    </w:p>
    <w:p w:rsidR="00B36784" w:rsidRPr="00B36784" w:rsidRDefault="00B36784" w:rsidP="00B36784">
      <w:pPr>
        <w:ind w:left="868" w:right="333" w:hanging="301"/>
        <w:jc w:val="both"/>
        <w:rPr>
          <w:rFonts w:ascii="Arial" w:hAnsi="Arial" w:cs="Arial"/>
          <w:i/>
          <w:sz w:val="20"/>
          <w:szCs w:val="20"/>
        </w:rPr>
      </w:pPr>
    </w:p>
    <w:p w:rsidR="00B36784" w:rsidRPr="00B36784" w:rsidRDefault="00B36784" w:rsidP="00B36784">
      <w:pPr>
        <w:ind w:left="868" w:right="333" w:hanging="301"/>
        <w:jc w:val="both"/>
        <w:rPr>
          <w:rFonts w:ascii="Arial" w:hAnsi="Arial" w:cs="Arial"/>
          <w:i/>
          <w:sz w:val="20"/>
          <w:szCs w:val="20"/>
        </w:rPr>
      </w:pPr>
      <w:r w:rsidRPr="00B36784">
        <w:rPr>
          <w:rFonts w:ascii="Arial" w:hAnsi="Arial" w:cs="Arial"/>
          <w:i/>
          <w:sz w:val="20"/>
          <w:szCs w:val="20"/>
        </w:rPr>
        <w:t>…”</w:t>
      </w:r>
    </w:p>
    <w:p w:rsidR="00B36784" w:rsidRPr="00B36784" w:rsidRDefault="00B36784" w:rsidP="00B36784">
      <w:pPr>
        <w:ind w:left="868" w:right="333" w:hanging="301"/>
        <w:jc w:val="both"/>
        <w:rPr>
          <w:rFonts w:ascii="Arial" w:hAnsi="Arial" w:cs="Arial"/>
          <w:i/>
          <w:sz w:val="20"/>
          <w:szCs w:val="20"/>
        </w:rPr>
      </w:pPr>
    </w:p>
    <w:p w:rsidR="00B36784" w:rsidRPr="00B36784" w:rsidRDefault="00B36784" w:rsidP="00380A48">
      <w:pPr>
        <w:numPr>
          <w:ilvl w:val="0"/>
          <w:numId w:val="2"/>
        </w:numPr>
        <w:ind w:left="360"/>
        <w:jc w:val="both"/>
        <w:rPr>
          <w:rFonts w:ascii="Arial" w:hAnsi="Arial" w:cs="Arial"/>
          <w:lang w:val="es-CR"/>
        </w:rPr>
      </w:pPr>
      <w:r w:rsidRPr="00B36784">
        <w:rPr>
          <w:rFonts w:ascii="Arial" w:hAnsi="Arial" w:cs="Arial"/>
          <w:lang w:val="es-CR"/>
        </w:rPr>
        <w:t>Para lo que interesa, es importante retrotraer  las justificaciones citadas en el considerando 5) del precitado acuerdo, que dicen:</w:t>
      </w:r>
    </w:p>
    <w:p w:rsidR="00B36784" w:rsidRPr="00B36784" w:rsidRDefault="00B36784" w:rsidP="00B36784">
      <w:pPr>
        <w:rPr>
          <w:rFonts w:ascii="Arial" w:eastAsia="Calibri" w:hAnsi="Arial" w:cs="Arial"/>
          <w:sz w:val="20"/>
          <w:szCs w:val="20"/>
          <w:lang w:val="es-CR"/>
        </w:rPr>
      </w:pPr>
    </w:p>
    <w:p w:rsidR="00B36784" w:rsidRPr="00B36784" w:rsidRDefault="00B36784" w:rsidP="00380A48">
      <w:pPr>
        <w:numPr>
          <w:ilvl w:val="0"/>
          <w:numId w:val="5"/>
        </w:numPr>
        <w:ind w:left="851"/>
        <w:jc w:val="both"/>
        <w:rPr>
          <w:rFonts w:ascii="Arial" w:eastAsia="Calibri" w:hAnsi="Arial" w:cs="Arial"/>
          <w:i/>
          <w:sz w:val="20"/>
          <w:szCs w:val="20"/>
          <w:lang w:val="es-CR"/>
        </w:rPr>
      </w:pPr>
      <w:r w:rsidRPr="00B36784">
        <w:rPr>
          <w:rFonts w:ascii="Arial" w:eastAsia="Calibri" w:hAnsi="Arial" w:cs="Arial"/>
          <w:i/>
          <w:sz w:val="20"/>
          <w:szCs w:val="20"/>
          <w:lang w:val="es-CR"/>
        </w:rPr>
        <w:t>El Programa se ha venido reduciendo presupuestariamente, no así su aparato administrativo.</w:t>
      </w:r>
    </w:p>
    <w:p w:rsidR="00B36784" w:rsidRPr="00B36784" w:rsidRDefault="00B36784" w:rsidP="00B36784">
      <w:pPr>
        <w:ind w:left="491"/>
        <w:jc w:val="both"/>
        <w:rPr>
          <w:rFonts w:ascii="Arial" w:eastAsia="Calibri" w:hAnsi="Arial" w:cs="Arial"/>
          <w:i/>
          <w:sz w:val="20"/>
          <w:szCs w:val="20"/>
          <w:lang w:val="es-CR"/>
        </w:rPr>
      </w:pPr>
    </w:p>
    <w:p w:rsidR="00B36784" w:rsidRPr="00B36784" w:rsidRDefault="00B36784" w:rsidP="00380A48">
      <w:pPr>
        <w:numPr>
          <w:ilvl w:val="0"/>
          <w:numId w:val="5"/>
        </w:numPr>
        <w:ind w:left="851"/>
        <w:jc w:val="both"/>
        <w:rPr>
          <w:rFonts w:ascii="Arial" w:eastAsia="Calibri" w:hAnsi="Arial" w:cs="Arial"/>
          <w:i/>
          <w:sz w:val="20"/>
          <w:szCs w:val="20"/>
          <w:lang w:val="es-CR"/>
        </w:rPr>
      </w:pPr>
      <w:r w:rsidRPr="00B36784">
        <w:rPr>
          <w:rFonts w:ascii="Arial" w:eastAsia="Calibri" w:hAnsi="Arial" w:cs="Arial"/>
          <w:i/>
          <w:sz w:val="20"/>
          <w:szCs w:val="20"/>
          <w:lang w:val="es-CR"/>
        </w:rPr>
        <w:t>Se le solicitará a la Auditoría que elabore un estudio para revisar la estructura administrativa, que permita determinar la proporción entre personal de apoyo con respecto a las plazas asignadas a los extensionistas dentro del Programa de Regionalización.</w:t>
      </w:r>
    </w:p>
    <w:p w:rsidR="00B36784" w:rsidRPr="00B36784" w:rsidRDefault="00B36784" w:rsidP="00B36784">
      <w:pPr>
        <w:ind w:left="708"/>
        <w:rPr>
          <w:rFonts w:ascii="Arial" w:eastAsia="Calibri" w:hAnsi="Arial" w:cs="Arial"/>
          <w:i/>
          <w:sz w:val="20"/>
          <w:szCs w:val="20"/>
          <w:lang w:val="es-CR"/>
        </w:rPr>
      </w:pPr>
    </w:p>
    <w:p w:rsidR="00B36784" w:rsidRPr="00B36784" w:rsidRDefault="00B36784" w:rsidP="00380A48">
      <w:pPr>
        <w:numPr>
          <w:ilvl w:val="0"/>
          <w:numId w:val="5"/>
        </w:numPr>
        <w:ind w:left="851"/>
        <w:jc w:val="both"/>
        <w:rPr>
          <w:rFonts w:ascii="Arial" w:eastAsia="Calibri" w:hAnsi="Arial" w:cs="Arial"/>
          <w:i/>
          <w:sz w:val="20"/>
          <w:szCs w:val="20"/>
          <w:lang w:val="es-CR"/>
        </w:rPr>
      </w:pPr>
      <w:r w:rsidRPr="00B36784">
        <w:rPr>
          <w:rFonts w:ascii="Arial" w:eastAsia="Calibri" w:hAnsi="Arial" w:cs="Arial"/>
          <w:i/>
          <w:sz w:val="20"/>
          <w:szCs w:val="20"/>
          <w:lang w:val="es-CR"/>
        </w:rPr>
        <w:t>Se está planteando la formulación de una dirección de extensión, y sería importante determinar cómo va a quedar el Programa de Regionalización dentro de esta nueva estructura; dicha propuesta según la Vicerrectora de Investigación estará llegando a más tardar a final de año.</w:t>
      </w:r>
    </w:p>
    <w:p w:rsidR="00B36784" w:rsidRPr="00B36784" w:rsidRDefault="00B36784" w:rsidP="00B36784">
      <w:pPr>
        <w:ind w:left="708"/>
        <w:rPr>
          <w:rFonts w:ascii="Arial" w:eastAsia="Calibri" w:hAnsi="Arial" w:cs="Arial"/>
          <w:i/>
          <w:sz w:val="20"/>
          <w:szCs w:val="20"/>
          <w:lang w:val="es-CR"/>
        </w:rPr>
      </w:pPr>
    </w:p>
    <w:p w:rsidR="00B36784" w:rsidRPr="00B36784" w:rsidRDefault="00B36784" w:rsidP="00380A48">
      <w:pPr>
        <w:numPr>
          <w:ilvl w:val="0"/>
          <w:numId w:val="5"/>
        </w:numPr>
        <w:ind w:left="851"/>
        <w:jc w:val="both"/>
        <w:rPr>
          <w:rFonts w:ascii="Arial" w:eastAsia="Calibri" w:hAnsi="Arial" w:cs="Arial"/>
          <w:i/>
          <w:sz w:val="20"/>
          <w:szCs w:val="20"/>
          <w:lang w:val="es-CR"/>
        </w:rPr>
      </w:pPr>
      <w:r w:rsidRPr="00B36784">
        <w:rPr>
          <w:rFonts w:ascii="Arial" w:eastAsia="Calibri" w:hAnsi="Arial" w:cs="Arial"/>
          <w:i/>
          <w:sz w:val="20"/>
          <w:szCs w:val="20"/>
          <w:lang w:val="es-CR"/>
        </w:rPr>
        <w:t>Se solicitará a la administración que se reserve el presupuesto completo previsto para Regionalización.</w:t>
      </w:r>
    </w:p>
    <w:p w:rsidR="00B36784" w:rsidRPr="00B36784" w:rsidRDefault="00B36784" w:rsidP="00B36784">
      <w:pPr>
        <w:jc w:val="both"/>
        <w:rPr>
          <w:rFonts w:ascii="Arial" w:eastAsia="Calibri" w:hAnsi="Arial" w:cs="Arial"/>
          <w:i/>
          <w:sz w:val="20"/>
          <w:szCs w:val="20"/>
          <w:lang w:val="es-CR"/>
        </w:rPr>
      </w:pPr>
    </w:p>
    <w:p w:rsidR="00B36784" w:rsidRPr="00B36784" w:rsidRDefault="00B36784" w:rsidP="00B36784">
      <w:pPr>
        <w:ind w:left="426"/>
        <w:jc w:val="both"/>
        <w:rPr>
          <w:rFonts w:ascii="Arial" w:eastAsia="Calibri" w:hAnsi="Arial" w:cs="Arial"/>
          <w:i/>
          <w:sz w:val="20"/>
          <w:szCs w:val="20"/>
          <w:lang w:val="es-CR"/>
        </w:rPr>
      </w:pPr>
      <w:proofErr w:type="gramStart"/>
      <w:r w:rsidRPr="00B36784">
        <w:rPr>
          <w:rFonts w:ascii="Arial" w:eastAsia="Calibri" w:hAnsi="Arial" w:cs="Arial"/>
          <w:i/>
          <w:sz w:val="20"/>
          <w:szCs w:val="20"/>
          <w:lang w:val="es-CR"/>
        </w:rPr>
        <w:t>Con  base</w:t>
      </w:r>
      <w:proofErr w:type="gramEnd"/>
      <w:r w:rsidRPr="00B36784">
        <w:rPr>
          <w:rFonts w:ascii="Arial" w:eastAsia="Calibri" w:hAnsi="Arial" w:cs="Arial"/>
          <w:i/>
          <w:sz w:val="20"/>
          <w:szCs w:val="20"/>
          <w:lang w:val="es-CR"/>
        </w:rPr>
        <w:t xml:space="preserve"> en lo anterior la Comisión decidió renovar las plazas administrativas de apoyo al extensionista, únicamente solo por los primeros 6 meses del año 2017.</w:t>
      </w:r>
    </w:p>
    <w:p w:rsidR="00B36784" w:rsidRPr="00B36784" w:rsidRDefault="00B36784" w:rsidP="00B36784">
      <w:pPr>
        <w:ind w:left="868" w:right="333" w:hanging="301"/>
        <w:jc w:val="both"/>
        <w:rPr>
          <w:rFonts w:ascii="Arial" w:hAnsi="Arial" w:cs="Arial"/>
          <w:i/>
          <w:sz w:val="20"/>
          <w:szCs w:val="20"/>
          <w:lang w:val="es-CR"/>
        </w:rPr>
      </w:pPr>
    </w:p>
    <w:p w:rsidR="00B36784" w:rsidRPr="00B36784" w:rsidRDefault="00B36784" w:rsidP="00B36784">
      <w:pPr>
        <w:ind w:left="868" w:right="333" w:hanging="301"/>
        <w:jc w:val="both"/>
        <w:rPr>
          <w:rFonts w:ascii="Arial" w:hAnsi="Arial" w:cs="Arial"/>
          <w:i/>
          <w:sz w:val="20"/>
          <w:szCs w:val="20"/>
        </w:rPr>
      </w:pPr>
    </w:p>
    <w:p w:rsidR="00B36784" w:rsidRPr="00B36784" w:rsidRDefault="00B36784" w:rsidP="00B36784">
      <w:pPr>
        <w:ind w:left="1320" w:hanging="1320"/>
        <w:jc w:val="both"/>
        <w:rPr>
          <w:rFonts w:ascii="Arial" w:hAnsi="Arial" w:cs="Arial"/>
          <w:b/>
          <w:lang w:val="es-CR"/>
        </w:rPr>
      </w:pPr>
      <w:r w:rsidRPr="00B36784">
        <w:rPr>
          <w:rFonts w:ascii="Arial" w:hAnsi="Arial" w:cs="Arial"/>
          <w:b/>
          <w:lang w:val="es-CR"/>
        </w:rPr>
        <w:t>CONSIDERANDO QUE:</w:t>
      </w:r>
    </w:p>
    <w:p w:rsidR="00B36784" w:rsidRPr="00B36784" w:rsidRDefault="00B36784" w:rsidP="00B36784">
      <w:pPr>
        <w:ind w:left="1320" w:hanging="1320"/>
        <w:jc w:val="both"/>
        <w:rPr>
          <w:rFonts w:ascii="Arial" w:hAnsi="Arial" w:cs="Arial"/>
          <w:sz w:val="16"/>
          <w:szCs w:val="16"/>
        </w:rPr>
      </w:pPr>
    </w:p>
    <w:p w:rsidR="00B36784" w:rsidRPr="00B36784" w:rsidRDefault="00B36784" w:rsidP="00380A48">
      <w:pPr>
        <w:numPr>
          <w:ilvl w:val="0"/>
          <w:numId w:val="4"/>
        </w:numPr>
        <w:ind w:left="360"/>
        <w:jc w:val="both"/>
        <w:rPr>
          <w:rFonts w:ascii="Arial" w:hAnsi="Arial" w:cs="Arial"/>
          <w:lang w:val="es-CR"/>
        </w:rPr>
      </w:pPr>
      <w:r w:rsidRPr="00B36784">
        <w:rPr>
          <w:rFonts w:ascii="Arial" w:hAnsi="Arial" w:cs="Arial"/>
          <w:lang w:val="es-CR"/>
        </w:rPr>
        <w:t>La Secretaría del Consejo Institucional, recibió el oficio AUDI-085-2017, con fecha de recibido 29 de abril de 2017, suscrito por el Lic. Isidro Álvarez, Auditor Interno, dirigido al Dr. Julio Calvo, Presidente del Consejo Institucional, en el cual remite borrador del “Informe del Informe de Evaluación de las estructura administrativa del Programa de Regionalización Interuniversitaria” en cumplimiento del inciso d. del acuerdo del Consejo Institucional, Sesión Ordinaria No. 2992, Artículo 8, del 05 de octubre de 2016. En el mismo oficio solicita audiencia para exponer el citado informe.</w:t>
      </w:r>
    </w:p>
    <w:p w:rsidR="00B36784" w:rsidRPr="00B36784" w:rsidRDefault="00B36784" w:rsidP="00B36784">
      <w:pPr>
        <w:ind w:left="1320" w:hanging="1320"/>
        <w:jc w:val="both"/>
        <w:rPr>
          <w:rFonts w:ascii="Arial" w:hAnsi="Arial" w:cs="Arial"/>
          <w:sz w:val="16"/>
          <w:szCs w:val="16"/>
        </w:rPr>
      </w:pPr>
    </w:p>
    <w:p w:rsidR="00B36784" w:rsidRPr="00B36784" w:rsidRDefault="00B36784" w:rsidP="00380A48">
      <w:pPr>
        <w:numPr>
          <w:ilvl w:val="0"/>
          <w:numId w:val="4"/>
        </w:numPr>
        <w:ind w:left="360"/>
        <w:jc w:val="both"/>
        <w:rPr>
          <w:rFonts w:ascii="Arial" w:hAnsi="Arial" w:cs="Arial"/>
          <w:lang w:val="es-CR"/>
        </w:rPr>
      </w:pPr>
      <w:r w:rsidRPr="00B36784">
        <w:rPr>
          <w:rFonts w:ascii="Arial" w:hAnsi="Arial" w:cs="Arial"/>
          <w:lang w:val="es-CR"/>
        </w:rPr>
        <w:t xml:space="preserve">La Comisión de Planificación y Administración, en reunión No. 722-2017, realizada el 15 de mayo de 2017, analizó el borrador del Informe de cumplimiento adjunto al AUDI-85-2017, para lo cual se recibe al Lic. Isidro Álvarez Salazar, Auditor Interno, </w:t>
      </w:r>
      <w:r w:rsidRPr="00B36784">
        <w:rPr>
          <w:rFonts w:ascii="Arial" w:hAnsi="Arial" w:cs="Arial"/>
          <w:lang w:val="es-CR"/>
        </w:rPr>
        <w:lastRenderedPageBreak/>
        <w:t>a la Máster Adriana Rodríguez, Coordinadora de la Unidad de Planificación y Finanzas Institucional de la Auditoría Interna, a la Dra. Deyanira Meza, Auditora, para la presentación del citado informe.  En esta misma reunión se contó con la presencia de la Dra. Paola Vega, Vicerrectora de Investigación y Extensión y al Máster Diego Camacho, Coordinador del Programa de Regionalización, quienes discutieron ampliamente sobre las recomendaciones contenidas en el Informe de la Auditoría, según se detallan a continuación:</w:t>
      </w:r>
    </w:p>
    <w:p w:rsidR="00B36784" w:rsidRPr="00B36784" w:rsidRDefault="00B36784" w:rsidP="00B36784">
      <w:pPr>
        <w:jc w:val="both"/>
        <w:rPr>
          <w:rFonts w:ascii="Arial" w:hAnsi="Arial" w:cs="Arial"/>
          <w:sz w:val="16"/>
          <w:szCs w:val="16"/>
          <w:lang w:val="es-CR"/>
        </w:rPr>
      </w:pPr>
    </w:p>
    <w:p w:rsidR="00B36784" w:rsidRPr="00B36784" w:rsidRDefault="00B36784" w:rsidP="00B36784">
      <w:pPr>
        <w:ind w:left="851" w:hanging="425"/>
        <w:jc w:val="both"/>
        <w:rPr>
          <w:rFonts w:ascii="Arial" w:hAnsi="Arial" w:cs="Arial"/>
          <w:bCs/>
          <w:i/>
          <w:sz w:val="20"/>
          <w:szCs w:val="20"/>
        </w:rPr>
      </w:pPr>
      <w:r w:rsidRPr="00B36784">
        <w:rPr>
          <w:rFonts w:ascii="Arial" w:eastAsia="Calibri" w:hAnsi="Arial" w:cs="Arial"/>
          <w:b/>
          <w:i/>
          <w:sz w:val="20"/>
          <w:szCs w:val="20"/>
        </w:rPr>
        <w:t>“4.1</w:t>
      </w:r>
      <w:r w:rsidRPr="00B36784">
        <w:rPr>
          <w:rFonts w:ascii="Arial" w:hAnsi="Arial" w:cs="Arial"/>
          <w:i/>
          <w:iCs/>
          <w:color w:val="000000"/>
          <w:sz w:val="20"/>
          <w:szCs w:val="20"/>
          <w:lang w:val="es-CR"/>
        </w:rPr>
        <w:tab/>
      </w:r>
      <w:r w:rsidRPr="00B36784">
        <w:rPr>
          <w:rFonts w:ascii="Arial" w:hAnsi="Arial" w:cs="Arial"/>
          <w:bCs/>
          <w:i/>
          <w:sz w:val="20"/>
          <w:szCs w:val="20"/>
        </w:rPr>
        <w:t>Girar instrucciones a la Rectoría y dar el seguimiento respectivo, para que:</w:t>
      </w:r>
    </w:p>
    <w:p w:rsidR="00B36784" w:rsidRPr="00B36784" w:rsidRDefault="00B36784" w:rsidP="00B36784">
      <w:pPr>
        <w:ind w:left="1134" w:hanging="425"/>
        <w:jc w:val="both"/>
        <w:rPr>
          <w:rFonts w:ascii="Arial" w:hAnsi="Arial" w:cs="Arial"/>
          <w:bCs/>
          <w:i/>
          <w:sz w:val="20"/>
          <w:szCs w:val="20"/>
        </w:rPr>
      </w:pPr>
    </w:p>
    <w:p w:rsidR="00B36784" w:rsidRPr="00B36784" w:rsidRDefault="00B36784" w:rsidP="00380A48">
      <w:pPr>
        <w:numPr>
          <w:ilvl w:val="2"/>
          <w:numId w:val="6"/>
        </w:numPr>
        <w:ind w:left="1418" w:right="333" w:hanging="567"/>
        <w:jc w:val="both"/>
        <w:rPr>
          <w:rFonts w:ascii="Arial" w:eastAsia="Cambria" w:hAnsi="Arial" w:cs="Arial"/>
          <w:i/>
          <w:sz w:val="20"/>
          <w:szCs w:val="20"/>
        </w:rPr>
      </w:pPr>
      <w:r w:rsidRPr="00B36784">
        <w:rPr>
          <w:rFonts w:ascii="Arial" w:hAnsi="Arial" w:cs="Arial"/>
          <w:bCs/>
          <w:i/>
          <w:sz w:val="20"/>
          <w:szCs w:val="20"/>
        </w:rPr>
        <w:t xml:space="preserve">Se realicen los estudios pertinentes que permitan establecer </w:t>
      </w:r>
      <w:r w:rsidRPr="00B36784">
        <w:rPr>
          <w:rFonts w:ascii="Arial" w:eastAsia="Cambria" w:hAnsi="Arial" w:cs="Arial"/>
          <w:i/>
          <w:sz w:val="20"/>
          <w:szCs w:val="20"/>
        </w:rPr>
        <w:t>indicadores de gestión, sustentados en i</w:t>
      </w:r>
      <w:r w:rsidRPr="00B36784">
        <w:rPr>
          <w:rFonts w:ascii="Arial" w:hAnsi="Arial" w:cs="Arial"/>
          <w:bCs/>
          <w:i/>
          <w:sz w:val="20"/>
          <w:szCs w:val="20"/>
        </w:rPr>
        <w:t xml:space="preserve">nformación de carácter institucional, </w:t>
      </w:r>
      <w:r w:rsidRPr="00B36784">
        <w:rPr>
          <w:rFonts w:ascii="Arial" w:eastAsia="Cambria" w:hAnsi="Arial" w:cs="Arial"/>
          <w:i/>
          <w:sz w:val="20"/>
          <w:szCs w:val="20"/>
        </w:rPr>
        <w:t>que orienten hacia condiciones óptimas deseadas, para el caso particular, en materia de recursos humanos empleados en actividades tanto de apoyo como de extensión y demás actividades institucionales, facilitando la evaluación operativa y la toma de decisiones en el cumplimiento de objetivos.</w:t>
      </w:r>
    </w:p>
    <w:p w:rsidR="00B36784" w:rsidRPr="00B36784" w:rsidRDefault="00B36784" w:rsidP="00380A48">
      <w:pPr>
        <w:numPr>
          <w:ilvl w:val="2"/>
          <w:numId w:val="6"/>
        </w:numPr>
        <w:ind w:left="1418" w:right="333" w:hanging="567"/>
        <w:jc w:val="both"/>
        <w:rPr>
          <w:rFonts w:ascii="Arial" w:hAnsi="Arial" w:cs="Arial"/>
          <w:bCs/>
          <w:i/>
          <w:sz w:val="20"/>
          <w:szCs w:val="20"/>
        </w:rPr>
      </w:pPr>
      <w:r w:rsidRPr="00B36784">
        <w:rPr>
          <w:rFonts w:ascii="Arial" w:hAnsi="Arial" w:cs="Arial"/>
          <w:bCs/>
          <w:i/>
          <w:sz w:val="20"/>
          <w:szCs w:val="20"/>
        </w:rPr>
        <w:t xml:space="preserve">Se realice un estudio de puestos, a efecto de determinar si las funciones realizadas por los coordinadores del Programa de Regionalización Interuniversitaria en las regiones, se homologan a las descritas para el puesto “0403 - Profesional en Gestión de Cooperación o Proyectos, o bien, se incorpore la clase de puesto que corresponda en el Manual Descriptivo de Clases de Puestos.   </w:t>
      </w:r>
    </w:p>
    <w:p w:rsidR="00B36784" w:rsidRPr="00B36784" w:rsidRDefault="00B36784" w:rsidP="00380A48">
      <w:pPr>
        <w:numPr>
          <w:ilvl w:val="2"/>
          <w:numId w:val="6"/>
        </w:numPr>
        <w:ind w:left="1418" w:right="333" w:hanging="567"/>
        <w:jc w:val="both"/>
        <w:rPr>
          <w:rFonts w:ascii="Arial" w:hAnsi="Arial" w:cs="Arial"/>
          <w:bCs/>
          <w:i/>
          <w:sz w:val="20"/>
          <w:szCs w:val="20"/>
        </w:rPr>
      </w:pPr>
      <w:r w:rsidRPr="00B36784">
        <w:rPr>
          <w:rFonts w:ascii="Arial" w:hAnsi="Arial" w:cs="Arial"/>
          <w:bCs/>
          <w:i/>
          <w:sz w:val="20"/>
          <w:szCs w:val="20"/>
        </w:rPr>
        <w:t>Se ajuste, con fundamento en el resultado del estudio de puestos que se realice, la clase de puesto a las plazas FS0081 (100%) y FS0014 (25%).</w:t>
      </w:r>
    </w:p>
    <w:p w:rsidR="00B36784" w:rsidRPr="00B36784" w:rsidRDefault="00B36784" w:rsidP="00B36784">
      <w:pPr>
        <w:ind w:left="851" w:right="333"/>
        <w:jc w:val="both"/>
        <w:rPr>
          <w:rFonts w:ascii="Arial" w:hAnsi="Arial" w:cs="Arial"/>
          <w:bCs/>
          <w:i/>
          <w:sz w:val="20"/>
          <w:szCs w:val="20"/>
        </w:rPr>
      </w:pPr>
    </w:p>
    <w:p w:rsidR="00B36784" w:rsidRPr="00B36784" w:rsidRDefault="00B36784" w:rsidP="00B36784">
      <w:pPr>
        <w:ind w:left="993" w:right="333" w:hanging="567"/>
        <w:jc w:val="both"/>
        <w:rPr>
          <w:rFonts w:ascii="Arial" w:hAnsi="Arial" w:cs="Arial"/>
          <w:bCs/>
          <w:i/>
          <w:sz w:val="20"/>
          <w:szCs w:val="20"/>
        </w:rPr>
      </w:pPr>
      <w:r w:rsidRPr="00B36784">
        <w:rPr>
          <w:rFonts w:ascii="Arial" w:hAnsi="Arial" w:cs="Arial"/>
          <w:b/>
          <w:bCs/>
          <w:i/>
          <w:sz w:val="20"/>
          <w:szCs w:val="20"/>
        </w:rPr>
        <w:t>4.2</w:t>
      </w:r>
      <w:r w:rsidRPr="00B36784">
        <w:rPr>
          <w:rFonts w:ascii="Arial" w:hAnsi="Arial" w:cs="Arial"/>
          <w:bCs/>
          <w:i/>
          <w:sz w:val="20"/>
          <w:szCs w:val="20"/>
        </w:rPr>
        <w:tab/>
        <w:t>Con el fin de dar continuidad al Programa de Regionalización Interuniversitaria, con respecto a las plazas FS0016 Profesional Administración, FS0055 Técnico Administración, FS0081 Profesor y FS0111 Técnico en Administración, valorar la pertinencia de ampliar el período de vigencia y el tiempo completo equivalente (</w:t>
      </w:r>
      <w:proofErr w:type="spellStart"/>
      <w:r w:rsidRPr="00B36784">
        <w:rPr>
          <w:rFonts w:ascii="Arial" w:hAnsi="Arial" w:cs="Arial"/>
          <w:bCs/>
          <w:i/>
          <w:sz w:val="20"/>
          <w:szCs w:val="20"/>
        </w:rPr>
        <w:t>TCE</w:t>
      </w:r>
      <w:proofErr w:type="spellEnd"/>
      <w:r w:rsidRPr="00B36784">
        <w:rPr>
          <w:rFonts w:ascii="Arial" w:hAnsi="Arial" w:cs="Arial"/>
          <w:bCs/>
          <w:i/>
          <w:sz w:val="20"/>
          <w:szCs w:val="20"/>
        </w:rPr>
        <w:t>), para el II semestre 2017, mediante el acuerdo respectivo.</w:t>
      </w:r>
    </w:p>
    <w:p w:rsidR="00B36784" w:rsidRPr="00B36784" w:rsidRDefault="00B36784" w:rsidP="00B36784">
      <w:pPr>
        <w:ind w:left="993" w:right="333" w:hanging="567"/>
        <w:jc w:val="both"/>
        <w:rPr>
          <w:rFonts w:ascii="Arial" w:hAnsi="Arial" w:cs="Arial"/>
          <w:i/>
          <w:sz w:val="20"/>
          <w:szCs w:val="20"/>
        </w:rPr>
      </w:pPr>
      <w:r w:rsidRPr="00B36784">
        <w:rPr>
          <w:rFonts w:ascii="Arial" w:hAnsi="Arial" w:cs="Arial"/>
          <w:b/>
          <w:bCs/>
          <w:i/>
          <w:sz w:val="20"/>
          <w:szCs w:val="20"/>
        </w:rPr>
        <w:t>4.3</w:t>
      </w:r>
      <w:r w:rsidRPr="00B36784">
        <w:rPr>
          <w:rFonts w:ascii="Arial" w:hAnsi="Arial" w:cs="Arial"/>
          <w:i/>
          <w:sz w:val="20"/>
          <w:szCs w:val="20"/>
        </w:rPr>
        <w:tab/>
        <w:t xml:space="preserve">Actualizar la estructura organizativa del Programa de Regionalización </w:t>
      </w:r>
      <w:r w:rsidRPr="00B36784">
        <w:rPr>
          <w:rFonts w:ascii="Arial" w:hAnsi="Arial" w:cs="Arial"/>
          <w:bCs/>
          <w:i/>
          <w:sz w:val="20"/>
          <w:szCs w:val="20"/>
        </w:rPr>
        <w:t>Interuniversitaria</w:t>
      </w:r>
      <w:proofErr w:type="gramStart"/>
      <w:r w:rsidRPr="00B36784">
        <w:rPr>
          <w:rFonts w:ascii="Arial" w:hAnsi="Arial" w:cs="Arial"/>
          <w:i/>
          <w:sz w:val="20"/>
          <w:szCs w:val="20"/>
        </w:rPr>
        <w:t>,  aprobada</w:t>
      </w:r>
      <w:proofErr w:type="gramEnd"/>
      <w:r w:rsidRPr="00B36784">
        <w:rPr>
          <w:rFonts w:ascii="Arial" w:hAnsi="Arial" w:cs="Arial"/>
          <w:i/>
          <w:sz w:val="20"/>
          <w:szCs w:val="20"/>
        </w:rPr>
        <w:t xml:space="preserve"> en la Sesión Ordinaria No. 2746, Artículo 9, inciso a., mediante acuerdo, en la  que se incorporen las modificaciones correspondientes.</w:t>
      </w:r>
    </w:p>
    <w:p w:rsidR="00B36784" w:rsidRPr="00B36784" w:rsidRDefault="00B36784" w:rsidP="00B36784">
      <w:pPr>
        <w:ind w:left="993" w:right="333" w:hanging="567"/>
        <w:jc w:val="both"/>
        <w:rPr>
          <w:rFonts w:ascii="Arial" w:hAnsi="Arial" w:cs="Arial"/>
          <w:i/>
          <w:sz w:val="20"/>
          <w:szCs w:val="20"/>
        </w:rPr>
      </w:pPr>
      <w:r w:rsidRPr="00B36784">
        <w:rPr>
          <w:rFonts w:ascii="Arial" w:hAnsi="Arial" w:cs="Arial"/>
          <w:b/>
          <w:bCs/>
          <w:i/>
          <w:sz w:val="20"/>
          <w:szCs w:val="20"/>
        </w:rPr>
        <w:t>4.4</w:t>
      </w:r>
      <w:r w:rsidRPr="00B36784">
        <w:rPr>
          <w:rFonts w:ascii="Arial" w:hAnsi="Arial" w:cs="Arial"/>
          <w:i/>
          <w:sz w:val="20"/>
          <w:szCs w:val="20"/>
          <w:lang w:val="es-CR"/>
        </w:rPr>
        <w:tab/>
      </w:r>
      <w:r w:rsidRPr="00B36784">
        <w:rPr>
          <w:rFonts w:ascii="Arial" w:hAnsi="Arial" w:cs="Arial"/>
          <w:i/>
          <w:sz w:val="20"/>
          <w:szCs w:val="20"/>
        </w:rPr>
        <w:t>Se informe a esta Auditoría, en un plazo de 30 días hábiles, sobre las instrucciones giradas para lograr la implementación de las recomendaciones anteriores, indicando las acciones, el plazo y los responsables, para iniciar con el seguimiento correspondiente.</w:t>
      </w:r>
    </w:p>
    <w:p w:rsidR="00B36784" w:rsidRPr="00B36784" w:rsidRDefault="00B36784" w:rsidP="00B36784">
      <w:pPr>
        <w:ind w:left="708"/>
        <w:rPr>
          <w:rFonts w:ascii="Arial" w:hAnsi="Arial" w:cs="Arial"/>
          <w:lang w:val="es-CR"/>
        </w:rPr>
      </w:pPr>
    </w:p>
    <w:p w:rsidR="00B36784" w:rsidRPr="00B36784" w:rsidRDefault="00B36784" w:rsidP="00380A48">
      <w:pPr>
        <w:numPr>
          <w:ilvl w:val="0"/>
          <w:numId w:val="4"/>
        </w:numPr>
        <w:ind w:left="360"/>
        <w:jc w:val="both"/>
        <w:rPr>
          <w:rFonts w:ascii="Arial" w:hAnsi="Arial" w:cs="Arial"/>
          <w:lang w:val="es-CR"/>
        </w:rPr>
      </w:pPr>
      <w:r w:rsidRPr="00B36784">
        <w:rPr>
          <w:rFonts w:ascii="Arial" w:hAnsi="Arial" w:cs="Arial"/>
          <w:lang w:val="es-CR"/>
        </w:rPr>
        <w:t xml:space="preserve">La Secretaría del Consejo Institucional, recibió el oficio AUDI-099-2017, con fecha de recibido 15 de mayo de 2017, suscrito por el Lic. Isidro Álvarez  Salazar, dirigido al Dr. Julio Calvo Alvarado, Presidente del Consejo Institucional,  con copia al Ing. Alexander Valerín, Coordinador de la Comisión de Planificación y Administración, en el cual remite documento original del “Informe de Fiscalización AUDI-F-004-2017, que contiene los resultados obtenidos en el estudio de Evaluación de la estructura administrativa del Programa de Regionalización Interuniversitaria”. </w:t>
      </w:r>
    </w:p>
    <w:p w:rsidR="00B36784" w:rsidRPr="00B36784" w:rsidRDefault="00B36784" w:rsidP="00B36784">
      <w:pPr>
        <w:jc w:val="both"/>
        <w:rPr>
          <w:rFonts w:ascii="Arial" w:hAnsi="Arial" w:cs="Arial"/>
          <w:lang w:val="es-CR"/>
        </w:rPr>
      </w:pPr>
    </w:p>
    <w:p w:rsidR="00B36784" w:rsidRPr="00B36784" w:rsidRDefault="00B36784" w:rsidP="00380A48">
      <w:pPr>
        <w:numPr>
          <w:ilvl w:val="0"/>
          <w:numId w:val="4"/>
        </w:numPr>
        <w:ind w:left="284"/>
        <w:jc w:val="both"/>
        <w:rPr>
          <w:rFonts w:ascii="Arial" w:hAnsi="Arial" w:cs="Arial"/>
        </w:rPr>
      </w:pPr>
      <w:r w:rsidRPr="00B36784">
        <w:rPr>
          <w:rFonts w:ascii="Arial" w:hAnsi="Arial" w:cs="Arial"/>
          <w:lang w:val="es-CR"/>
        </w:rPr>
        <w:t xml:space="preserve">La Comisión de Planificación y Administración en reunión No. 725-2017, realizada el 05 de junio de 2017, revisa el informe </w:t>
      </w:r>
      <w:proofErr w:type="spellStart"/>
      <w:r w:rsidRPr="00B36784">
        <w:rPr>
          <w:rFonts w:ascii="Arial" w:hAnsi="Arial" w:cs="Arial"/>
          <w:lang w:val="es-CR"/>
        </w:rPr>
        <w:t>supracitado</w:t>
      </w:r>
      <w:proofErr w:type="spellEnd"/>
      <w:r w:rsidRPr="00B36784">
        <w:rPr>
          <w:rFonts w:ascii="Arial" w:hAnsi="Arial" w:cs="Arial"/>
          <w:lang w:val="es-CR"/>
        </w:rPr>
        <w:t xml:space="preserve"> y sus recomendaciones, de acuerdo al análisis, l</w:t>
      </w:r>
      <w:r w:rsidRPr="00B36784">
        <w:rPr>
          <w:rFonts w:ascii="Arial" w:hAnsi="Arial" w:cs="Arial"/>
        </w:rPr>
        <w:t>a Comisión dispone elevar la siguiente propuesta al Consejo Institucional.</w:t>
      </w:r>
    </w:p>
    <w:p w:rsidR="00B36784" w:rsidRPr="00B36784" w:rsidRDefault="00B36784" w:rsidP="00B36784">
      <w:pPr>
        <w:ind w:left="708"/>
        <w:rPr>
          <w:rFonts w:ascii="Arial" w:hAnsi="Arial" w:cs="Arial"/>
        </w:rPr>
      </w:pPr>
    </w:p>
    <w:p w:rsidR="00B36784" w:rsidRPr="00B36784" w:rsidRDefault="00B36784" w:rsidP="00B36784">
      <w:pPr>
        <w:jc w:val="both"/>
        <w:rPr>
          <w:rFonts w:ascii="Arial" w:hAnsi="Arial" w:cs="Arial"/>
          <w:b/>
        </w:rPr>
      </w:pPr>
      <w:r w:rsidRPr="00B36784">
        <w:rPr>
          <w:rFonts w:ascii="Arial" w:hAnsi="Arial" w:cs="Arial"/>
        </w:rPr>
        <w:t xml:space="preserve"> </w:t>
      </w:r>
      <w:r w:rsidRPr="00B36784">
        <w:rPr>
          <w:rFonts w:ascii="Arial" w:hAnsi="Arial" w:cs="Arial"/>
          <w:b/>
        </w:rPr>
        <w:t>SE</w:t>
      </w:r>
      <w:r>
        <w:rPr>
          <w:rFonts w:ascii="Arial" w:hAnsi="Arial" w:cs="Arial"/>
          <w:b/>
        </w:rPr>
        <w:t xml:space="preserve"> ACUERDA</w:t>
      </w:r>
      <w:r w:rsidRPr="00B36784">
        <w:rPr>
          <w:rFonts w:ascii="Arial" w:hAnsi="Arial" w:cs="Arial"/>
          <w:b/>
        </w:rPr>
        <w:t>:</w:t>
      </w:r>
    </w:p>
    <w:p w:rsidR="00B36784" w:rsidRPr="00B36784" w:rsidRDefault="00B36784" w:rsidP="00B36784">
      <w:pPr>
        <w:jc w:val="both"/>
        <w:rPr>
          <w:rFonts w:ascii="Arial" w:hAnsi="Arial" w:cs="Arial"/>
        </w:rPr>
      </w:pPr>
    </w:p>
    <w:p w:rsidR="00B36784" w:rsidRPr="00B36784" w:rsidRDefault="00B36784" w:rsidP="00380A48">
      <w:pPr>
        <w:numPr>
          <w:ilvl w:val="0"/>
          <w:numId w:val="3"/>
        </w:numPr>
        <w:ind w:right="-91"/>
        <w:jc w:val="both"/>
        <w:rPr>
          <w:rFonts w:ascii="Arial" w:hAnsi="Arial" w:cs="Arial"/>
          <w:lang w:val="es-CR"/>
        </w:rPr>
      </w:pPr>
      <w:r w:rsidRPr="00B36784">
        <w:rPr>
          <w:rFonts w:ascii="Arial" w:hAnsi="Arial" w:cs="Arial"/>
        </w:rPr>
        <w:t xml:space="preserve">Dar por recibido el </w:t>
      </w:r>
      <w:r w:rsidRPr="00B36784">
        <w:rPr>
          <w:rFonts w:ascii="Arial" w:hAnsi="Arial" w:cs="Arial"/>
          <w:lang w:val="es-CR"/>
        </w:rPr>
        <w:t xml:space="preserve">Informe de Fiscalización AUDI-F-004-2017 </w:t>
      </w:r>
      <w:r w:rsidRPr="00B36784">
        <w:rPr>
          <w:rFonts w:ascii="Arial" w:hAnsi="Arial" w:cs="Arial"/>
          <w:color w:val="0070C0"/>
          <w:lang w:val="es-CR"/>
        </w:rPr>
        <w:t>“</w:t>
      </w:r>
      <w:r w:rsidRPr="00B36784">
        <w:rPr>
          <w:rFonts w:ascii="Arial" w:hAnsi="Arial" w:cs="Arial"/>
          <w:lang w:val="es-CR"/>
        </w:rPr>
        <w:t>Evaluación de la estructura administrativa del Programa de Regionalización Interuniversitaria”, según lo solicitado por este Consejo en la Sesión Ordinaria No. 2992, Artículo 8, del 5 de octubre de 2016, con las siguientes observaciones:</w:t>
      </w:r>
    </w:p>
    <w:p w:rsidR="00B36784" w:rsidRPr="00B36784" w:rsidRDefault="00B36784" w:rsidP="00B36784">
      <w:pPr>
        <w:ind w:right="-91"/>
        <w:jc w:val="both"/>
        <w:rPr>
          <w:rFonts w:ascii="Arial" w:hAnsi="Arial" w:cs="Arial"/>
          <w:lang w:val="es-CR"/>
        </w:rPr>
      </w:pPr>
    </w:p>
    <w:p w:rsidR="00B36784" w:rsidRPr="00B36784" w:rsidRDefault="00B36784" w:rsidP="00B36784">
      <w:pPr>
        <w:ind w:left="322" w:right="-91"/>
        <w:jc w:val="both"/>
        <w:rPr>
          <w:rFonts w:ascii="Arial" w:hAnsi="Arial" w:cs="Arial"/>
        </w:rPr>
      </w:pPr>
      <w:r w:rsidRPr="00B36784">
        <w:rPr>
          <w:rFonts w:ascii="Arial" w:hAnsi="Arial" w:cs="Arial"/>
          <w:b/>
          <w:lang w:val="es-CR"/>
        </w:rPr>
        <w:t>a.1</w:t>
      </w:r>
      <w:r w:rsidRPr="00B36784">
        <w:rPr>
          <w:rFonts w:ascii="Arial" w:hAnsi="Arial" w:cs="Arial"/>
          <w:lang w:val="es-CR"/>
        </w:rPr>
        <w:t xml:space="preserve"> Aceptar como viable la implementación de las recomendaciones 4.1.1 y 4.2, e informar a la Administración y a la Auditoría Interna, que las mismas fueron </w:t>
      </w:r>
      <w:r w:rsidRPr="00B36784">
        <w:rPr>
          <w:rFonts w:ascii="Arial" w:hAnsi="Arial" w:cs="Arial"/>
        </w:rPr>
        <w:t xml:space="preserve">atendidas mediante el acuerdo de la Sesión No. 3024, Artículo 13, del 31 de mayo de 2017. “Modificación de las condiciones de las plazas FS0016, FS0055, FS0081 y FS0111, adscritas a la Vicerrectoría de Investigación, (acuerdo Sesión Ordinaria No. 2992, Artículo 8, del 05 de octubre de 2016, Plazas Nuevas, Renovación y Reconversión, financiadas con Fondos del Sistema 2017”. </w:t>
      </w:r>
    </w:p>
    <w:p w:rsidR="00B36784" w:rsidRPr="00B36784" w:rsidRDefault="00B36784" w:rsidP="00B36784">
      <w:pPr>
        <w:ind w:left="322" w:right="-91"/>
        <w:jc w:val="both"/>
        <w:rPr>
          <w:rFonts w:ascii="Arial" w:hAnsi="Arial" w:cs="Arial"/>
        </w:rPr>
      </w:pPr>
    </w:p>
    <w:p w:rsidR="00B36784" w:rsidRPr="00B36784" w:rsidRDefault="00B36784" w:rsidP="00B36784">
      <w:pPr>
        <w:ind w:left="284" w:right="-91"/>
        <w:jc w:val="both"/>
        <w:rPr>
          <w:rFonts w:ascii="Arial" w:hAnsi="Arial" w:cs="Arial"/>
        </w:rPr>
      </w:pPr>
      <w:r w:rsidRPr="00B36784">
        <w:rPr>
          <w:rFonts w:ascii="Arial" w:hAnsi="Arial" w:cs="Arial"/>
          <w:b/>
        </w:rPr>
        <w:t>a.2</w:t>
      </w:r>
      <w:r w:rsidRPr="00B36784">
        <w:rPr>
          <w:rFonts w:ascii="Arial" w:hAnsi="Arial" w:cs="Arial"/>
        </w:rPr>
        <w:t xml:space="preserve"> Discrepar de las recomendaciones 4.1.2, 4.1.3 y 4.3, toda vez que, de forma alterna este Consejo considera que los resultados que originan dichas recomendaciones quedarán resueltos con la aprobación de la creación de la Dirección de Extensión, en la cual se integrará el Programa de Regionalización, cuya propuesta se encuentra en análisis. </w:t>
      </w:r>
    </w:p>
    <w:p w:rsidR="00B36784" w:rsidRPr="00B36784" w:rsidRDefault="00B36784" w:rsidP="00B36784">
      <w:pPr>
        <w:ind w:right="-91"/>
        <w:jc w:val="both"/>
        <w:rPr>
          <w:rFonts w:ascii="Arial" w:hAnsi="Arial" w:cs="Arial"/>
        </w:rPr>
      </w:pPr>
    </w:p>
    <w:p w:rsidR="00B36784" w:rsidRPr="00B36784" w:rsidRDefault="00B36784" w:rsidP="00380A48">
      <w:pPr>
        <w:numPr>
          <w:ilvl w:val="0"/>
          <w:numId w:val="3"/>
        </w:numPr>
        <w:ind w:right="-91"/>
        <w:jc w:val="both"/>
        <w:rPr>
          <w:rFonts w:ascii="Arial" w:hAnsi="Arial" w:cs="Arial"/>
          <w:strike/>
        </w:rPr>
      </w:pPr>
      <w:r w:rsidRPr="00B36784">
        <w:rPr>
          <w:rFonts w:ascii="Arial" w:hAnsi="Arial" w:cs="Arial"/>
          <w:lang w:val="es-CR"/>
        </w:rPr>
        <w:t xml:space="preserve">Solicitar a la Administración, que en un plazo de 3 meses calendario, atienda el inciso b., del </w:t>
      </w:r>
      <w:r w:rsidRPr="00B36784">
        <w:rPr>
          <w:rFonts w:ascii="Arial" w:hAnsi="Arial" w:cs="Arial"/>
        </w:rPr>
        <w:t>acuerdo de la Sesión No. 3024, Artículo 13, del 31 de mayo de 2017, que dice:</w:t>
      </w:r>
    </w:p>
    <w:p w:rsidR="00B36784" w:rsidRPr="00B36784" w:rsidRDefault="00B36784" w:rsidP="00B36784">
      <w:pPr>
        <w:ind w:right="-91"/>
        <w:jc w:val="both"/>
        <w:rPr>
          <w:rFonts w:ascii="Arial" w:hAnsi="Arial" w:cs="Arial"/>
          <w:strike/>
        </w:rPr>
      </w:pPr>
    </w:p>
    <w:p w:rsidR="00B36784" w:rsidRPr="00B36784" w:rsidRDefault="00B36784" w:rsidP="00B36784">
      <w:pPr>
        <w:ind w:left="924" w:right="333" w:hanging="357"/>
        <w:jc w:val="both"/>
        <w:rPr>
          <w:rFonts w:ascii="Arial" w:hAnsi="Arial" w:cs="Arial"/>
          <w:i/>
          <w:lang w:eastAsia="es-CR"/>
        </w:rPr>
      </w:pPr>
      <w:r w:rsidRPr="00B36784">
        <w:rPr>
          <w:rFonts w:ascii="Arial" w:hAnsi="Arial" w:cs="Arial"/>
          <w:i/>
        </w:rPr>
        <w:t>“b</w:t>
      </w:r>
      <w:proofErr w:type="gramStart"/>
      <w:r w:rsidRPr="00B36784">
        <w:rPr>
          <w:rFonts w:ascii="Arial" w:hAnsi="Arial" w:cs="Arial"/>
          <w:i/>
        </w:rPr>
        <w:t>.  Solicitar</w:t>
      </w:r>
      <w:proofErr w:type="gramEnd"/>
      <w:r w:rsidRPr="00B36784">
        <w:rPr>
          <w:rFonts w:ascii="Arial" w:hAnsi="Arial" w:cs="Arial"/>
          <w:i/>
        </w:rPr>
        <w:t xml:space="preserve"> a la Administración proponga al Consejo Institucional opciones para definir la relación “apoyo academia / actividad académica”. Algunas opciones que pueden valorarse </w:t>
      </w:r>
      <w:proofErr w:type="gramStart"/>
      <w:r w:rsidRPr="00B36784">
        <w:rPr>
          <w:rFonts w:ascii="Arial" w:hAnsi="Arial" w:cs="Arial"/>
          <w:i/>
        </w:rPr>
        <w:t>puede</w:t>
      </w:r>
      <w:proofErr w:type="gramEnd"/>
      <w:r w:rsidRPr="00B36784">
        <w:rPr>
          <w:rFonts w:ascii="Arial" w:hAnsi="Arial" w:cs="Arial"/>
          <w:i/>
        </w:rPr>
        <w:t xml:space="preserve"> ser por número de funcionarios, por tiempos completos equivalentes, por costo del recurso humano o cualquier otro que se considere conveniente, con el fin de monitorear el nivel óptimo de esta relación e incluir dicho indicador en el sistema institucional de indicadores de gestión. Dicha propuesta deberá presentarse en un plazo de 3 meses.”</w:t>
      </w:r>
    </w:p>
    <w:p w:rsidR="00B36784" w:rsidRPr="00B36784" w:rsidRDefault="00B36784" w:rsidP="00B36784">
      <w:pPr>
        <w:ind w:right="-91"/>
        <w:jc w:val="both"/>
        <w:rPr>
          <w:rFonts w:ascii="Arial" w:hAnsi="Arial" w:cs="Arial"/>
          <w:strike/>
        </w:rPr>
      </w:pPr>
    </w:p>
    <w:p w:rsidR="002D6978" w:rsidRPr="00B36784" w:rsidRDefault="002D6978" w:rsidP="002D6978">
      <w:pPr>
        <w:autoSpaceDE w:val="0"/>
        <w:autoSpaceDN w:val="0"/>
        <w:adjustRightInd w:val="0"/>
        <w:jc w:val="both"/>
        <w:rPr>
          <w:rFonts w:ascii="Arial" w:hAnsi="Arial" w:cs="Arial"/>
          <w:b/>
          <w:sz w:val="16"/>
          <w:szCs w:val="16"/>
        </w:rPr>
      </w:pPr>
    </w:p>
    <w:p w:rsidR="00B36784" w:rsidRDefault="007742A1" w:rsidP="00380A48">
      <w:pPr>
        <w:numPr>
          <w:ilvl w:val="0"/>
          <w:numId w:val="3"/>
        </w:numPr>
        <w:ind w:right="-91"/>
        <w:jc w:val="both"/>
        <w:rPr>
          <w:rFonts w:ascii="Arial" w:hAnsi="Arial" w:cs="Arial"/>
          <w:b/>
          <w:lang w:val="es-CR"/>
        </w:rPr>
      </w:pPr>
      <w:r w:rsidRPr="0026727D">
        <w:rPr>
          <w:rFonts w:ascii="Arial" w:hAnsi="Arial" w:cs="Arial"/>
          <w:lang w:val="es-CR"/>
        </w:rPr>
        <w:t>Comunica</w:t>
      </w:r>
      <w:r w:rsidRPr="009912AB">
        <w:rPr>
          <w:rFonts w:ascii="Arial" w:hAnsi="Arial" w:cs="Arial"/>
          <w:lang w:val="es-CR"/>
        </w:rPr>
        <w:t>r</w:t>
      </w:r>
      <w:r w:rsidRPr="0026727D">
        <w:rPr>
          <w:rFonts w:ascii="Arial" w:hAnsi="Arial" w:cs="Arial"/>
          <w:lang w:val="es-CR"/>
        </w:rPr>
        <w:t xml:space="preserve">. </w:t>
      </w:r>
      <w:r w:rsidRPr="0026727D">
        <w:rPr>
          <w:rFonts w:ascii="Arial" w:hAnsi="Arial" w:cs="Arial"/>
          <w:b/>
          <w:lang w:val="es-CR"/>
        </w:rPr>
        <w:t xml:space="preserve"> ACUERDO FIRME.</w:t>
      </w:r>
      <w:r w:rsidR="007C46B5" w:rsidRPr="0026727D">
        <w:rPr>
          <w:rFonts w:ascii="Arial" w:hAnsi="Arial" w:cs="Arial"/>
          <w:b/>
          <w:lang w:val="es-CR"/>
        </w:rPr>
        <w:t xml:space="preserve"> </w:t>
      </w:r>
    </w:p>
    <w:p w:rsidR="00B36784" w:rsidRDefault="00B36784" w:rsidP="00B36784">
      <w:pPr>
        <w:autoSpaceDE w:val="0"/>
        <w:autoSpaceDN w:val="0"/>
        <w:ind w:right="-91"/>
        <w:jc w:val="both"/>
        <w:rPr>
          <w:rFonts w:ascii="Arial" w:hAnsi="Arial" w:cs="Arial"/>
          <w:b/>
          <w:lang w:val="es-CR"/>
        </w:rPr>
      </w:pPr>
    </w:p>
    <w:p w:rsidR="00474B22" w:rsidRDefault="007C46B5" w:rsidP="00B36784">
      <w:pPr>
        <w:autoSpaceDE w:val="0"/>
        <w:autoSpaceDN w:val="0"/>
        <w:ind w:right="-91"/>
        <w:jc w:val="both"/>
        <w:rPr>
          <w:rFonts w:ascii="Arial" w:hAnsi="Arial" w:cs="Arial"/>
          <w:b/>
          <w:lang w:val="es-CR"/>
        </w:rPr>
      </w:pPr>
      <w:r w:rsidRPr="0026727D">
        <w:rPr>
          <w:rFonts w:ascii="Arial" w:hAnsi="Arial" w:cs="Arial"/>
          <w:b/>
          <w:lang w:val="es-CR"/>
        </w:rPr>
        <w:t xml:space="preserve"> </w:t>
      </w:r>
    </w:p>
    <w:p w:rsidR="002D6978" w:rsidRPr="00B36784" w:rsidRDefault="00B36784" w:rsidP="00A30B0D">
      <w:pPr>
        <w:rPr>
          <w:rFonts w:ascii="Arial" w:hAnsi="Arial" w:cs="Arial"/>
          <w:b/>
          <w:sz w:val="22"/>
          <w:szCs w:val="22"/>
          <w:lang w:val="es-CR"/>
        </w:rPr>
      </w:pPr>
      <w:r w:rsidRPr="00B36784">
        <w:rPr>
          <w:rFonts w:ascii="Arial" w:hAnsi="Arial" w:cs="Arial"/>
          <w:b/>
          <w:sz w:val="22"/>
          <w:szCs w:val="22"/>
          <w:lang w:val="es-CR"/>
        </w:rPr>
        <w:t>PALABRAS CLAVE</w:t>
      </w:r>
      <w:proofErr w:type="gramStart"/>
      <w:r w:rsidRPr="00B36784">
        <w:rPr>
          <w:rFonts w:ascii="Arial" w:hAnsi="Arial" w:cs="Arial"/>
          <w:b/>
          <w:sz w:val="22"/>
          <w:szCs w:val="22"/>
          <w:lang w:val="es-CR"/>
        </w:rPr>
        <w:t>:  Informe</w:t>
      </w:r>
      <w:proofErr w:type="gramEnd"/>
      <w:r w:rsidRPr="00B36784">
        <w:rPr>
          <w:rFonts w:ascii="Arial" w:hAnsi="Arial" w:cs="Arial"/>
          <w:b/>
          <w:sz w:val="22"/>
          <w:szCs w:val="22"/>
          <w:lang w:val="es-CR"/>
        </w:rPr>
        <w:t xml:space="preserve"> – AUDI-F-004-2017 </w:t>
      </w:r>
      <w:r w:rsidR="00A30B0D">
        <w:rPr>
          <w:rFonts w:ascii="Arial" w:hAnsi="Arial" w:cs="Arial"/>
          <w:b/>
          <w:sz w:val="22"/>
          <w:szCs w:val="22"/>
          <w:lang w:val="es-CR"/>
        </w:rPr>
        <w:t>– estructura administrativa – Programa Regionalización</w:t>
      </w:r>
      <w:bookmarkStart w:id="0" w:name="_GoBack"/>
      <w:bookmarkEnd w:id="0"/>
    </w:p>
    <w:p w:rsidR="002D6978" w:rsidRPr="009912AB" w:rsidRDefault="002D6978" w:rsidP="002D6978">
      <w:pPr>
        <w:ind w:right="-91"/>
        <w:contextualSpacing/>
        <w:jc w:val="both"/>
        <w:rPr>
          <w:rFonts w:ascii="Arial" w:hAnsi="Arial" w:cs="Arial"/>
          <w:b/>
          <w:lang w:val="es-CR"/>
        </w:rPr>
      </w:pPr>
    </w:p>
    <w:tbl>
      <w:tblPr>
        <w:tblpPr w:leftFromText="142" w:rightFromText="142" w:vertAnchor="text" w:horzAnchor="margin" w:tblpY="1"/>
        <w:tblOverlap w:val="never"/>
        <w:tblW w:w="23478" w:type="dxa"/>
        <w:tblLook w:val="04A0" w:firstRow="1" w:lastRow="0" w:firstColumn="1" w:lastColumn="0" w:noHBand="0" w:noVBand="1"/>
      </w:tblPr>
      <w:tblGrid>
        <w:gridCol w:w="22763"/>
        <w:gridCol w:w="222"/>
        <w:gridCol w:w="222"/>
        <w:gridCol w:w="271"/>
      </w:tblGrid>
      <w:tr w:rsidR="0034046D" w:rsidRPr="00474B22" w:rsidTr="009912AB">
        <w:trPr>
          <w:trHeight w:val="183"/>
        </w:trPr>
        <w:tc>
          <w:tcPr>
            <w:tcW w:w="22763" w:type="dxa"/>
          </w:tcPr>
          <w:p w:rsidR="0034046D" w:rsidRPr="002D6978" w:rsidRDefault="0034046D" w:rsidP="009912AB">
            <w:pPr>
              <w:jc w:val="both"/>
              <w:rPr>
                <w:rFonts w:ascii="Arial" w:eastAsia="Cambria" w:hAnsi="Arial" w:cs="Arial"/>
                <w:b/>
                <w:sz w:val="16"/>
                <w:szCs w:val="16"/>
                <w:lang w:val="es-CR" w:eastAsia="en-US"/>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C363D" w:rsidTr="00CC363D">
              <w:trPr>
                <w:trHeight w:val="183"/>
              </w:trPr>
              <w:tc>
                <w:tcPr>
                  <w:tcW w:w="4361" w:type="dxa"/>
                </w:tcPr>
                <w:p w:rsidR="00CC363D" w:rsidRDefault="00CC363D" w:rsidP="002D6978">
                  <w:pPr>
                    <w:jc w:val="both"/>
                    <w:rPr>
                      <w:rFonts w:ascii="Arial" w:eastAsia="Cambria" w:hAnsi="Arial" w:cs="Arial"/>
                      <w:b/>
                      <w:sz w:val="16"/>
                      <w:szCs w:val="16"/>
                      <w:lang w:val="es-ES_tradnl"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tc>
              <w:tc>
                <w:tcPr>
                  <w:tcW w:w="5103" w:type="dxa"/>
                  <w:gridSpan w:val="2"/>
                </w:tcPr>
                <w:p w:rsidR="00CC363D" w:rsidRDefault="00CC363D" w:rsidP="002D6978">
                  <w:pPr>
                    <w:jc w:val="both"/>
                    <w:rPr>
                      <w:rFonts w:ascii="Arial" w:eastAsia="Cambria" w:hAnsi="Arial" w:cs="Arial"/>
                      <w:b/>
                      <w:sz w:val="16"/>
                      <w:szCs w:val="16"/>
                      <w:lang w:val="es-ES_tradnl" w:eastAsia="en-US"/>
                    </w:rPr>
                  </w:pPr>
                </w:p>
              </w:tc>
            </w:tr>
            <w:tr w:rsidR="00CC363D" w:rsidTr="00CC363D">
              <w:trPr>
                <w:gridAfter w:val="1"/>
                <w:wAfter w:w="4361" w:type="dxa"/>
                <w:trHeight w:val="183"/>
              </w:trPr>
              <w:tc>
                <w:tcPr>
                  <w:tcW w:w="4361" w:type="dxa"/>
                </w:tcPr>
                <w:p w:rsidR="00CC363D" w:rsidRDefault="00CC363D"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ci.  Secretaría del Consejo Institucional</w:t>
                  </w:r>
                </w:p>
                <w:p w:rsidR="00CC363D" w:rsidRDefault="00CC363D"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Vicerrectoría Docencia</w:t>
                  </w:r>
                </w:p>
                <w:p w:rsidR="002D6978" w:rsidRDefault="002D6978"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Vicerrectoría Administración</w:t>
                  </w:r>
                </w:p>
                <w:p w:rsidR="00CC363D" w:rsidRDefault="00CC363D"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VIE</w:t>
                  </w:r>
                </w:p>
                <w:p w:rsidR="00CC363D" w:rsidRDefault="00CC363D"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VIESA</w:t>
                  </w:r>
                </w:p>
                <w:p w:rsidR="00CC363D" w:rsidRDefault="00CC363D"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Sede Regional San Carlos</w:t>
                  </w:r>
                </w:p>
                <w:p w:rsidR="00CC363D" w:rsidRDefault="00CC363D"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San José</w:t>
                  </w:r>
                </w:p>
                <w:p w:rsidR="00CC363D" w:rsidRDefault="00CC363D"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Alajuela</w:t>
                  </w:r>
                </w:p>
                <w:p w:rsidR="00CC363D" w:rsidRDefault="00CC363D" w:rsidP="002D6978">
                  <w:pPr>
                    <w:ind w:left="-567" w:firstLine="567"/>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Académico de Limón</w:t>
                  </w:r>
                </w:p>
                <w:p w:rsidR="00CC363D" w:rsidRDefault="00CC363D" w:rsidP="002D6978">
                  <w:pPr>
                    <w:ind w:left="-567" w:firstLine="567"/>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OPI</w:t>
                  </w:r>
                  <w:proofErr w:type="spellEnd"/>
                </w:p>
                <w:p w:rsidR="00CC363D" w:rsidRDefault="00CC363D" w:rsidP="002D6978">
                  <w:pPr>
                    <w:ind w:left="-567" w:firstLine="567"/>
                    <w:jc w:val="both"/>
                    <w:rPr>
                      <w:rFonts w:ascii="Arial" w:eastAsia="Cambria" w:hAnsi="Arial" w:cs="Arial"/>
                      <w:b/>
                      <w:sz w:val="16"/>
                      <w:szCs w:val="16"/>
                      <w:lang w:val="es-ES_tradnl" w:eastAsia="en-US"/>
                    </w:rPr>
                  </w:pPr>
                </w:p>
                <w:p w:rsidR="00CC363D" w:rsidRDefault="00CC363D" w:rsidP="002D6978">
                  <w:pPr>
                    <w:ind w:left="-567" w:firstLine="567"/>
                    <w:jc w:val="both"/>
                    <w:rPr>
                      <w:rFonts w:ascii="Arial" w:eastAsia="Cambria" w:hAnsi="Arial" w:cs="Arial"/>
                      <w:b/>
                      <w:sz w:val="16"/>
                      <w:szCs w:val="16"/>
                      <w:lang w:val="es-ES_tradnl"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p w:rsidR="00CC363D" w:rsidRDefault="00CC363D" w:rsidP="002D6978">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Auditoría Interna (Notificado a la Secretaria vía correo electrónico)</w:t>
                  </w:r>
                </w:p>
                <w:p w:rsidR="001B7AB0" w:rsidRDefault="001B7AB0" w:rsidP="002D6978">
                  <w:pPr>
                    <w:ind w:firstLine="34"/>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Asesoría Legal</w:t>
                  </w:r>
                </w:p>
                <w:p w:rsidR="00CC363D" w:rsidRDefault="00CC363D" w:rsidP="002D6978">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Comunicación y Mercadeo </w:t>
                  </w:r>
                </w:p>
                <w:p w:rsidR="00CC363D" w:rsidRDefault="00CC363D" w:rsidP="002D6978">
                  <w:pPr>
                    <w:ind w:left="720" w:hanging="720"/>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Centro de Archivo y Comunicaciones</w:t>
                  </w:r>
                </w:p>
                <w:p w:rsidR="00CC363D" w:rsidRDefault="00CC363D" w:rsidP="002D6978">
                  <w:pPr>
                    <w:rPr>
                      <w:rFonts w:ascii="Arial" w:eastAsia="Cambria" w:hAnsi="Arial" w:cs="Arial"/>
                      <w:b/>
                      <w:sz w:val="16"/>
                      <w:szCs w:val="16"/>
                      <w:lang w:val="es-CR" w:eastAsia="en-US"/>
                    </w:rPr>
                  </w:pPr>
                  <w:proofErr w:type="spellStart"/>
                  <w:r>
                    <w:rPr>
                      <w:rFonts w:ascii="Arial" w:eastAsia="Cambria" w:hAnsi="Arial" w:cs="Arial"/>
                      <w:b/>
                      <w:sz w:val="16"/>
                      <w:szCs w:val="16"/>
                      <w:lang w:val="es-CR" w:eastAsia="en-US"/>
                    </w:rPr>
                    <w:t>FEITEC</w:t>
                  </w:r>
                  <w:proofErr w:type="spellEnd"/>
                </w:p>
                <w:p w:rsidR="00CC363D" w:rsidRDefault="00CC363D" w:rsidP="002D6978">
                  <w:pPr>
                    <w:rPr>
                      <w:rFonts w:ascii="Arial" w:eastAsia="Cambria" w:hAnsi="Arial" w:cs="Arial"/>
                      <w:b/>
                      <w:sz w:val="16"/>
                      <w:szCs w:val="16"/>
                      <w:lang w:val="es-CR" w:eastAsia="en-US"/>
                    </w:rPr>
                  </w:pPr>
                </w:p>
              </w:tc>
              <w:tc>
                <w:tcPr>
                  <w:tcW w:w="4361" w:type="dxa"/>
                </w:tcPr>
                <w:p w:rsidR="00CC363D" w:rsidRDefault="00CC363D" w:rsidP="002D6978">
                  <w:pPr>
                    <w:jc w:val="both"/>
                    <w:rPr>
                      <w:rFonts w:ascii="Arial" w:eastAsia="Cambria" w:hAnsi="Arial" w:cs="Arial"/>
                      <w:b/>
                      <w:sz w:val="16"/>
                      <w:szCs w:val="16"/>
                      <w:lang w:val="es-ES_tradnl" w:eastAsia="en-US"/>
                    </w:rPr>
                  </w:pPr>
                </w:p>
              </w:tc>
              <w:tc>
                <w:tcPr>
                  <w:tcW w:w="5103" w:type="dxa"/>
                  <w:gridSpan w:val="2"/>
                </w:tcPr>
                <w:p w:rsidR="00CC363D" w:rsidRDefault="00CC363D" w:rsidP="002D6978">
                  <w:pPr>
                    <w:jc w:val="both"/>
                    <w:rPr>
                      <w:rFonts w:ascii="Arial" w:eastAsia="Cambria" w:hAnsi="Arial" w:cs="Arial"/>
                      <w:b/>
                      <w:sz w:val="16"/>
                      <w:szCs w:val="16"/>
                      <w:lang w:val="es-ES_tradnl" w:eastAsia="en-US"/>
                    </w:rPr>
                  </w:pPr>
                </w:p>
              </w:tc>
            </w:tr>
          </w:tbl>
          <w:p w:rsidR="0034046D" w:rsidRPr="00474B22" w:rsidRDefault="0034046D" w:rsidP="009912AB">
            <w:pPr>
              <w:ind w:left="-567" w:firstLine="567"/>
              <w:jc w:val="both"/>
              <w:rPr>
                <w:rFonts w:ascii="Arial" w:eastAsia="Cambria" w:hAnsi="Arial" w:cs="Arial"/>
                <w:b/>
                <w:sz w:val="16"/>
                <w:szCs w:val="16"/>
                <w:lang w:val="es-ES_tradnl" w:eastAsia="en-US"/>
              </w:rPr>
            </w:pPr>
          </w:p>
        </w:tc>
        <w:tc>
          <w:tcPr>
            <w:tcW w:w="222" w:type="dxa"/>
          </w:tcPr>
          <w:p w:rsidR="0034046D" w:rsidRPr="00474B22" w:rsidRDefault="0034046D" w:rsidP="009912AB">
            <w:pPr>
              <w:rPr>
                <w:rFonts w:ascii="Arial" w:eastAsia="Cambria" w:hAnsi="Arial" w:cs="Arial"/>
                <w:b/>
                <w:sz w:val="16"/>
                <w:szCs w:val="16"/>
                <w:lang w:val="es-CR" w:eastAsia="en-US"/>
              </w:rPr>
            </w:pPr>
          </w:p>
        </w:tc>
        <w:tc>
          <w:tcPr>
            <w:tcW w:w="222" w:type="dxa"/>
          </w:tcPr>
          <w:p w:rsidR="0034046D" w:rsidRPr="00474B22" w:rsidRDefault="0034046D" w:rsidP="009912AB">
            <w:pPr>
              <w:jc w:val="both"/>
              <w:rPr>
                <w:rFonts w:ascii="Arial" w:eastAsia="Cambria" w:hAnsi="Arial" w:cs="Arial"/>
                <w:b/>
                <w:sz w:val="16"/>
                <w:szCs w:val="16"/>
                <w:lang w:val="es-ES_tradnl" w:eastAsia="en-US"/>
              </w:rPr>
            </w:pPr>
          </w:p>
        </w:tc>
        <w:tc>
          <w:tcPr>
            <w:tcW w:w="271" w:type="dxa"/>
          </w:tcPr>
          <w:p w:rsidR="0034046D" w:rsidRPr="00474B22" w:rsidRDefault="0034046D" w:rsidP="009912AB">
            <w:pPr>
              <w:jc w:val="both"/>
              <w:rPr>
                <w:rFonts w:ascii="Arial" w:eastAsia="Cambria" w:hAnsi="Arial" w:cs="Arial"/>
                <w:b/>
                <w:sz w:val="16"/>
                <w:szCs w:val="16"/>
                <w:lang w:val="es-ES_tradnl" w:eastAsia="en-US"/>
              </w:rPr>
            </w:pPr>
          </w:p>
        </w:tc>
      </w:tr>
    </w:tbl>
    <w:p w:rsidR="008D0FEC" w:rsidRDefault="008D0FEC" w:rsidP="009912AB">
      <w:pPr>
        <w:jc w:val="both"/>
        <w:rPr>
          <w:rFonts w:ascii="Arial" w:hAnsi="Arial" w:cs="Arial"/>
          <w:b/>
          <w:i/>
          <w:sz w:val="22"/>
          <w:szCs w:val="22"/>
        </w:rPr>
      </w:pPr>
    </w:p>
    <w:sectPr w:rsidR="008D0FEC"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B2" w:rsidRDefault="00F67AB2">
      <w:r>
        <w:separator/>
      </w:r>
    </w:p>
  </w:endnote>
  <w:endnote w:type="continuationSeparator" w:id="0">
    <w:p w:rsidR="00F67AB2" w:rsidRDefault="00F6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Default="00437F0F">
    <w:pPr>
      <w:pStyle w:val="Piedepgina"/>
      <w:jc w:val="center"/>
    </w:pPr>
  </w:p>
  <w:p w:rsidR="00437F0F" w:rsidRDefault="00437F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B2" w:rsidRDefault="00F67AB2">
      <w:r>
        <w:separator/>
      </w:r>
    </w:p>
  </w:footnote>
  <w:footnote w:type="continuationSeparator" w:id="0">
    <w:p w:rsidR="00F67AB2" w:rsidRDefault="00F67A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F0F" w:rsidRPr="00D958BC" w:rsidRDefault="00437F0F"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437F0F" w:rsidRPr="00D958BC"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1F3E92">
      <w:rPr>
        <w:rFonts w:ascii="Arial" w:eastAsia="Cambria" w:hAnsi="Arial" w:cs="Arial"/>
        <w:i/>
        <w:sz w:val="18"/>
        <w:szCs w:val="18"/>
        <w:lang w:val="es-ES_tradnl" w:eastAsia="x-none"/>
      </w:rPr>
      <w:t>2</w:t>
    </w:r>
    <w:r w:rsidR="00B36784">
      <w:rPr>
        <w:rFonts w:ascii="Arial" w:eastAsia="Cambria" w:hAnsi="Arial" w:cs="Arial"/>
        <w:i/>
        <w:sz w:val="18"/>
        <w:szCs w:val="18"/>
        <w:lang w:val="es-ES_tradnl" w:eastAsia="x-none"/>
      </w:rPr>
      <w:t>5</w:t>
    </w:r>
    <w:r w:rsidRPr="00D958BC">
      <w:rPr>
        <w:rFonts w:ascii="Arial" w:eastAsia="Cambria" w:hAnsi="Arial" w:cs="Arial"/>
        <w:i/>
        <w:sz w:val="18"/>
        <w:szCs w:val="18"/>
        <w:lang w:val="es-ES_tradnl" w:eastAsia="x-none"/>
      </w:rPr>
      <w:t xml:space="preserve">, Artículo </w:t>
    </w:r>
    <w:r w:rsidR="00CC363D">
      <w:rPr>
        <w:rFonts w:ascii="Arial" w:eastAsia="Cambria" w:hAnsi="Arial" w:cs="Arial"/>
        <w:i/>
        <w:sz w:val="18"/>
        <w:szCs w:val="18"/>
        <w:lang w:val="es-ES_tradnl" w:eastAsia="x-none"/>
      </w:rPr>
      <w:t>1</w:t>
    </w:r>
    <w:r w:rsidR="00B36784">
      <w:rPr>
        <w:rFonts w:ascii="Arial" w:eastAsia="Cambria" w:hAnsi="Arial" w:cs="Arial"/>
        <w:i/>
        <w:sz w:val="18"/>
        <w:szCs w:val="18"/>
        <w:lang w:val="es-ES_tradnl" w:eastAsia="x-none"/>
      </w:rPr>
      <w:t>5</w:t>
    </w:r>
    <w:r w:rsidR="006442DF">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B36784">
      <w:rPr>
        <w:rFonts w:ascii="Arial" w:eastAsia="Cambria" w:hAnsi="Arial" w:cs="Arial"/>
        <w:i/>
        <w:sz w:val="18"/>
        <w:szCs w:val="18"/>
        <w:lang w:val="es-ES_tradnl" w:eastAsia="x-none"/>
      </w:rPr>
      <w:t>07</w:t>
    </w:r>
    <w:r w:rsidR="006442DF">
      <w:rPr>
        <w:rFonts w:ascii="Arial" w:eastAsia="Cambria" w:hAnsi="Arial" w:cs="Arial"/>
        <w:i/>
        <w:sz w:val="18"/>
        <w:szCs w:val="18"/>
        <w:lang w:val="es-ES_tradnl" w:eastAsia="x-none"/>
      </w:rPr>
      <w:t xml:space="preserve"> de </w:t>
    </w:r>
    <w:r w:rsidR="00B36784">
      <w:rPr>
        <w:rFonts w:ascii="Arial" w:eastAsia="Cambria" w:hAnsi="Arial" w:cs="Arial"/>
        <w:i/>
        <w:sz w:val="18"/>
        <w:szCs w:val="18"/>
        <w:lang w:val="es-ES_tradnl" w:eastAsia="x-none"/>
      </w:rPr>
      <w:t>junio</w:t>
    </w:r>
    <w:r w:rsidR="006442DF">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Pr>
        <w:rFonts w:ascii="Arial" w:eastAsia="Cambria" w:hAnsi="Arial" w:cs="Arial"/>
        <w:i/>
        <w:sz w:val="18"/>
        <w:szCs w:val="18"/>
        <w:lang w:val="es-ES_tradnl" w:eastAsia="x-none"/>
      </w:rPr>
      <w:t>7</w:t>
    </w:r>
  </w:p>
  <w:p w:rsidR="00437F0F" w:rsidRDefault="00437F0F"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A30B0D">
      <w:rPr>
        <w:rFonts w:ascii="Arial" w:eastAsia="Cambria" w:hAnsi="Arial" w:cs="Arial"/>
        <w:i/>
        <w:noProof/>
        <w:sz w:val="18"/>
        <w:szCs w:val="18"/>
        <w:lang w:val="es-ES_tradnl" w:eastAsia="x-none"/>
      </w:rPr>
      <w:t>4</w:t>
    </w:r>
    <w:r w:rsidRPr="00D958BC">
      <w:rPr>
        <w:rFonts w:ascii="Arial" w:eastAsia="Cambria" w:hAnsi="Arial" w:cs="Arial"/>
        <w:i/>
        <w:sz w:val="18"/>
        <w:szCs w:val="18"/>
        <w:lang w:val="es-ES_tradnl" w:eastAsia="x-none"/>
      </w:rPr>
      <w:fldChar w:fldCharType="end"/>
    </w:r>
  </w:p>
  <w:p w:rsidR="00437F0F" w:rsidRDefault="00437F0F"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2883241"/>
    <w:multiLevelType w:val="multilevel"/>
    <w:tmpl w:val="140A001F"/>
    <w:styleLink w:val="Estilo1"/>
    <w:lvl w:ilvl="0">
      <w:start w:val="1"/>
      <w:numFmt w:val="lowerLetter"/>
      <w:lvlText w:val="%1."/>
      <w:lvlJc w:val="left"/>
      <w:pPr>
        <w:ind w:left="360" w:hanging="360"/>
      </w:pPr>
      <w:rPr>
        <w:b/>
        <w:strike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8BE7ED4"/>
    <w:multiLevelType w:val="hybridMultilevel"/>
    <w:tmpl w:val="83CA5C96"/>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C901DF9"/>
    <w:multiLevelType w:val="multilevel"/>
    <w:tmpl w:val="C3040D88"/>
    <w:lvl w:ilvl="0">
      <w:start w:val="4"/>
      <w:numFmt w:val="decimal"/>
      <w:lvlText w:val="%1."/>
      <w:lvlJc w:val="left"/>
      <w:pPr>
        <w:tabs>
          <w:tab w:val="num" w:pos="1637"/>
        </w:tabs>
        <w:ind w:left="1637" w:hanging="360"/>
      </w:pPr>
      <w:rPr>
        <w:rFonts w:cs="Times New Roman" w:hint="default"/>
        <w:b/>
        <w:bCs/>
        <w:sz w:val="24"/>
        <w:szCs w:val="24"/>
      </w:rPr>
    </w:lvl>
    <w:lvl w:ilvl="1">
      <w:start w:val="1"/>
      <w:numFmt w:val="lowerLetter"/>
      <w:lvlText w:val="%2."/>
      <w:lvlJc w:val="left"/>
      <w:pPr>
        <w:tabs>
          <w:tab w:val="num" w:pos="2093"/>
        </w:tabs>
        <w:ind w:left="2093" w:hanging="390"/>
      </w:pPr>
      <w:rPr>
        <w:rFonts w:hint="default"/>
        <w:b/>
        <w:bCs/>
        <w:i w:val="0"/>
        <w:sz w:val="20"/>
      </w:rPr>
    </w:lvl>
    <w:lvl w:ilvl="2">
      <w:start w:val="1"/>
      <w:numFmt w:val="decimal"/>
      <w:isLgl/>
      <w:lvlText w:val="%1.%2.%3"/>
      <w:lvlJc w:val="left"/>
      <w:pPr>
        <w:tabs>
          <w:tab w:val="num" w:pos="1997"/>
        </w:tabs>
        <w:ind w:left="1997" w:hanging="720"/>
      </w:pPr>
      <w:rPr>
        <w:rFonts w:cs="Times New Roman" w:hint="default"/>
        <w:b/>
      </w:rPr>
    </w:lvl>
    <w:lvl w:ilvl="3">
      <w:start w:val="1"/>
      <w:numFmt w:val="decimal"/>
      <w:isLgl/>
      <w:lvlText w:val="%1.%2.%3.%4"/>
      <w:lvlJc w:val="left"/>
      <w:pPr>
        <w:tabs>
          <w:tab w:val="num" w:pos="2575"/>
        </w:tabs>
        <w:ind w:left="2575" w:hanging="1080"/>
      </w:pPr>
      <w:rPr>
        <w:rFonts w:cs="Times New Roman" w:hint="default"/>
      </w:rPr>
    </w:lvl>
    <w:lvl w:ilvl="4">
      <w:start w:val="1"/>
      <w:numFmt w:val="decimal"/>
      <w:isLgl/>
      <w:lvlText w:val="%1.%2.%3.%4.%5"/>
      <w:lvlJc w:val="left"/>
      <w:pPr>
        <w:tabs>
          <w:tab w:val="num" w:pos="2575"/>
        </w:tabs>
        <w:ind w:left="2575" w:hanging="1080"/>
      </w:pPr>
      <w:rPr>
        <w:rFonts w:cs="Times New Roman" w:hint="default"/>
      </w:rPr>
    </w:lvl>
    <w:lvl w:ilvl="5">
      <w:start w:val="1"/>
      <w:numFmt w:val="decimal"/>
      <w:isLgl/>
      <w:lvlText w:val="%1.%2.%3.%4.%5.%6"/>
      <w:lvlJc w:val="left"/>
      <w:pPr>
        <w:tabs>
          <w:tab w:val="num" w:pos="2935"/>
        </w:tabs>
        <w:ind w:left="2935" w:hanging="1440"/>
      </w:pPr>
      <w:rPr>
        <w:rFonts w:cs="Times New Roman" w:hint="default"/>
      </w:rPr>
    </w:lvl>
    <w:lvl w:ilvl="6">
      <w:start w:val="1"/>
      <w:numFmt w:val="decimal"/>
      <w:isLgl/>
      <w:lvlText w:val="%1.%2.%3.%4.%5.%6.%7"/>
      <w:lvlJc w:val="left"/>
      <w:pPr>
        <w:tabs>
          <w:tab w:val="num" w:pos="2935"/>
        </w:tabs>
        <w:ind w:left="2935" w:hanging="1440"/>
      </w:pPr>
      <w:rPr>
        <w:rFonts w:cs="Times New Roman" w:hint="default"/>
      </w:rPr>
    </w:lvl>
    <w:lvl w:ilvl="7">
      <w:start w:val="1"/>
      <w:numFmt w:val="decimal"/>
      <w:isLgl/>
      <w:lvlText w:val="%1.%2.%3.%4.%5.%6.%7.%8"/>
      <w:lvlJc w:val="left"/>
      <w:pPr>
        <w:tabs>
          <w:tab w:val="num" w:pos="3295"/>
        </w:tabs>
        <w:ind w:left="3295" w:hanging="1800"/>
      </w:pPr>
      <w:rPr>
        <w:rFonts w:cs="Times New Roman" w:hint="default"/>
      </w:rPr>
    </w:lvl>
    <w:lvl w:ilvl="8">
      <w:start w:val="1"/>
      <w:numFmt w:val="decimal"/>
      <w:isLgl/>
      <w:lvlText w:val="%1.%2.%3.%4.%5.%6.%7.%8.%9"/>
      <w:lvlJc w:val="left"/>
      <w:pPr>
        <w:tabs>
          <w:tab w:val="num" w:pos="3295"/>
        </w:tabs>
        <w:ind w:left="3295" w:hanging="1800"/>
      </w:pPr>
      <w:rPr>
        <w:rFonts w:cs="Times New Roman" w:hint="default"/>
      </w:rPr>
    </w:lvl>
  </w:abstractNum>
  <w:abstractNum w:abstractNumId="4" w15:restartNumberingAfterBreak="0">
    <w:nsid w:val="574C3493"/>
    <w:multiLevelType w:val="multilevel"/>
    <w:tmpl w:val="340ACC2A"/>
    <w:lvl w:ilvl="0">
      <w:start w:val="1"/>
      <w:numFmt w:val="decimal"/>
      <w:lvlText w:val="%1."/>
      <w:lvlJc w:val="left"/>
      <w:pPr>
        <w:ind w:left="720" w:hanging="360"/>
      </w:pPr>
      <w:rPr>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E367CA5"/>
    <w:multiLevelType w:val="multilevel"/>
    <w:tmpl w:val="140A001F"/>
    <w:numStyleLink w:val="Estilo1"/>
  </w:abstractNum>
  <w:abstractNum w:abstractNumId="6" w15:restartNumberingAfterBreak="0">
    <w:nsid w:val="5F1C02A1"/>
    <w:multiLevelType w:val="hybridMultilevel"/>
    <w:tmpl w:val="EFD447FC"/>
    <w:lvl w:ilvl="0" w:tplc="140A0019">
      <w:start w:val="1"/>
      <w:numFmt w:val="lowerLetter"/>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10592"/>
    <w:rsid w:val="000120EB"/>
    <w:rsid w:val="000128E2"/>
    <w:rsid w:val="00017DE2"/>
    <w:rsid w:val="000213DD"/>
    <w:rsid w:val="00024564"/>
    <w:rsid w:val="00024BA5"/>
    <w:rsid w:val="000254A5"/>
    <w:rsid w:val="00033918"/>
    <w:rsid w:val="00034CE3"/>
    <w:rsid w:val="000359F5"/>
    <w:rsid w:val="00036DAC"/>
    <w:rsid w:val="000401D6"/>
    <w:rsid w:val="000414FE"/>
    <w:rsid w:val="000428F8"/>
    <w:rsid w:val="000437DE"/>
    <w:rsid w:val="00043B22"/>
    <w:rsid w:val="00047F2B"/>
    <w:rsid w:val="00050123"/>
    <w:rsid w:val="000602DE"/>
    <w:rsid w:val="00060CCC"/>
    <w:rsid w:val="00067296"/>
    <w:rsid w:val="00067992"/>
    <w:rsid w:val="00067BE7"/>
    <w:rsid w:val="00067C8C"/>
    <w:rsid w:val="0007411A"/>
    <w:rsid w:val="00076DBD"/>
    <w:rsid w:val="00076EC1"/>
    <w:rsid w:val="00077D4B"/>
    <w:rsid w:val="0008022E"/>
    <w:rsid w:val="00080FD1"/>
    <w:rsid w:val="000813BE"/>
    <w:rsid w:val="00081BCF"/>
    <w:rsid w:val="000846DF"/>
    <w:rsid w:val="00084FDD"/>
    <w:rsid w:val="000903CE"/>
    <w:rsid w:val="00090FDF"/>
    <w:rsid w:val="00091B7B"/>
    <w:rsid w:val="000934FF"/>
    <w:rsid w:val="000A0756"/>
    <w:rsid w:val="000A5D85"/>
    <w:rsid w:val="000B10B4"/>
    <w:rsid w:val="000B10C0"/>
    <w:rsid w:val="000B39AF"/>
    <w:rsid w:val="000B55D7"/>
    <w:rsid w:val="000B624C"/>
    <w:rsid w:val="000B6B41"/>
    <w:rsid w:val="000B7C5A"/>
    <w:rsid w:val="000C0A23"/>
    <w:rsid w:val="000C25EB"/>
    <w:rsid w:val="000C3E9F"/>
    <w:rsid w:val="000C52B7"/>
    <w:rsid w:val="000C68C0"/>
    <w:rsid w:val="000D2AD1"/>
    <w:rsid w:val="000D34C2"/>
    <w:rsid w:val="000D5ACC"/>
    <w:rsid w:val="000D5C6B"/>
    <w:rsid w:val="000D7162"/>
    <w:rsid w:val="000E1F4D"/>
    <w:rsid w:val="000E420E"/>
    <w:rsid w:val="000E5B14"/>
    <w:rsid w:val="000E6DC9"/>
    <w:rsid w:val="000F106C"/>
    <w:rsid w:val="000F1E1D"/>
    <w:rsid w:val="000F2A0F"/>
    <w:rsid w:val="000F4527"/>
    <w:rsid w:val="000F490D"/>
    <w:rsid w:val="000F4B43"/>
    <w:rsid w:val="000F5572"/>
    <w:rsid w:val="000F7A0A"/>
    <w:rsid w:val="00104E6C"/>
    <w:rsid w:val="00105392"/>
    <w:rsid w:val="00107C78"/>
    <w:rsid w:val="0011053E"/>
    <w:rsid w:val="001113FE"/>
    <w:rsid w:val="001125EE"/>
    <w:rsid w:val="00115853"/>
    <w:rsid w:val="00121308"/>
    <w:rsid w:val="001237E1"/>
    <w:rsid w:val="001240CC"/>
    <w:rsid w:val="001248CE"/>
    <w:rsid w:val="001272AF"/>
    <w:rsid w:val="001304BF"/>
    <w:rsid w:val="0013093C"/>
    <w:rsid w:val="001319DF"/>
    <w:rsid w:val="00132C08"/>
    <w:rsid w:val="00133BC9"/>
    <w:rsid w:val="00133EEB"/>
    <w:rsid w:val="00135EE8"/>
    <w:rsid w:val="001370D6"/>
    <w:rsid w:val="001370DB"/>
    <w:rsid w:val="001372BC"/>
    <w:rsid w:val="0013796E"/>
    <w:rsid w:val="00141B28"/>
    <w:rsid w:val="00143E80"/>
    <w:rsid w:val="00146F6F"/>
    <w:rsid w:val="00150F07"/>
    <w:rsid w:val="00153E19"/>
    <w:rsid w:val="00155121"/>
    <w:rsid w:val="00155D15"/>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62C2"/>
    <w:rsid w:val="001A33C3"/>
    <w:rsid w:val="001B1E0E"/>
    <w:rsid w:val="001B208D"/>
    <w:rsid w:val="001B59CC"/>
    <w:rsid w:val="001B7AB0"/>
    <w:rsid w:val="001C1124"/>
    <w:rsid w:val="001C1335"/>
    <w:rsid w:val="001D40F5"/>
    <w:rsid w:val="001E0224"/>
    <w:rsid w:val="001E08C0"/>
    <w:rsid w:val="001E0E52"/>
    <w:rsid w:val="001E11D4"/>
    <w:rsid w:val="001E3DCB"/>
    <w:rsid w:val="001E684C"/>
    <w:rsid w:val="001E69A6"/>
    <w:rsid w:val="001E69C9"/>
    <w:rsid w:val="001F0C0F"/>
    <w:rsid w:val="001F26FD"/>
    <w:rsid w:val="001F3C06"/>
    <w:rsid w:val="001F3E92"/>
    <w:rsid w:val="0020019E"/>
    <w:rsid w:val="0020223D"/>
    <w:rsid w:val="00202E06"/>
    <w:rsid w:val="00203662"/>
    <w:rsid w:val="00204A01"/>
    <w:rsid w:val="00204A3D"/>
    <w:rsid w:val="00210743"/>
    <w:rsid w:val="002118B2"/>
    <w:rsid w:val="002127EE"/>
    <w:rsid w:val="002139D9"/>
    <w:rsid w:val="00217BCB"/>
    <w:rsid w:val="002207D9"/>
    <w:rsid w:val="00220ED5"/>
    <w:rsid w:val="00221713"/>
    <w:rsid w:val="00221F57"/>
    <w:rsid w:val="00225D59"/>
    <w:rsid w:val="002279E5"/>
    <w:rsid w:val="00227D3E"/>
    <w:rsid w:val="00230EB0"/>
    <w:rsid w:val="00234BB0"/>
    <w:rsid w:val="00235258"/>
    <w:rsid w:val="00242D06"/>
    <w:rsid w:val="00245783"/>
    <w:rsid w:val="00246D38"/>
    <w:rsid w:val="00250B47"/>
    <w:rsid w:val="00253D5C"/>
    <w:rsid w:val="00255202"/>
    <w:rsid w:val="002569E9"/>
    <w:rsid w:val="00260F3E"/>
    <w:rsid w:val="00261D4A"/>
    <w:rsid w:val="00263233"/>
    <w:rsid w:val="00264EFA"/>
    <w:rsid w:val="00266024"/>
    <w:rsid w:val="002668E5"/>
    <w:rsid w:val="0026727D"/>
    <w:rsid w:val="00267A3B"/>
    <w:rsid w:val="002743B7"/>
    <w:rsid w:val="00275822"/>
    <w:rsid w:val="00275FE3"/>
    <w:rsid w:val="00280C7B"/>
    <w:rsid w:val="00281B37"/>
    <w:rsid w:val="00283360"/>
    <w:rsid w:val="00283375"/>
    <w:rsid w:val="00284956"/>
    <w:rsid w:val="0029068F"/>
    <w:rsid w:val="00293149"/>
    <w:rsid w:val="00293595"/>
    <w:rsid w:val="00294D1D"/>
    <w:rsid w:val="002A148D"/>
    <w:rsid w:val="002A285B"/>
    <w:rsid w:val="002A39D6"/>
    <w:rsid w:val="002A51A3"/>
    <w:rsid w:val="002A57B5"/>
    <w:rsid w:val="002A7751"/>
    <w:rsid w:val="002B2032"/>
    <w:rsid w:val="002B2346"/>
    <w:rsid w:val="002C19F4"/>
    <w:rsid w:val="002C228F"/>
    <w:rsid w:val="002C2B58"/>
    <w:rsid w:val="002C468D"/>
    <w:rsid w:val="002C4D2C"/>
    <w:rsid w:val="002C6BE2"/>
    <w:rsid w:val="002D2C7C"/>
    <w:rsid w:val="002D6978"/>
    <w:rsid w:val="002E03BF"/>
    <w:rsid w:val="002E1507"/>
    <w:rsid w:val="002E2751"/>
    <w:rsid w:val="002E49F2"/>
    <w:rsid w:val="002E5A2A"/>
    <w:rsid w:val="002F1374"/>
    <w:rsid w:val="00300778"/>
    <w:rsid w:val="003011A3"/>
    <w:rsid w:val="0030153B"/>
    <w:rsid w:val="00301B0B"/>
    <w:rsid w:val="00310865"/>
    <w:rsid w:val="003162A0"/>
    <w:rsid w:val="00316937"/>
    <w:rsid w:val="00316C74"/>
    <w:rsid w:val="00317D3B"/>
    <w:rsid w:val="00322446"/>
    <w:rsid w:val="00322B8A"/>
    <w:rsid w:val="00323397"/>
    <w:rsid w:val="00323590"/>
    <w:rsid w:val="00324AB0"/>
    <w:rsid w:val="00325DEA"/>
    <w:rsid w:val="00325E1C"/>
    <w:rsid w:val="003262C5"/>
    <w:rsid w:val="00332808"/>
    <w:rsid w:val="00333402"/>
    <w:rsid w:val="00334300"/>
    <w:rsid w:val="00337455"/>
    <w:rsid w:val="0034046D"/>
    <w:rsid w:val="00340863"/>
    <w:rsid w:val="0034405E"/>
    <w:rsid w:val="00344103"/>
    <w:rsid w:val="00345207"/>
    <w:rsid w:val="0035043F"/>
    <w:rsid w:val="00350681"/>
    <w:rsid w:val="003506A7"/>
    <w:rsid w:val="00350E0D"/>
    <w:rsid w:val="003518BD"/>
    <w:rsid w:val="00352E01"/>
    <w:rsid w:val="0035725E"/>
    <w:rsid w:val="0036607E"/>
    <w:rsid w:val="00366F0E"/>
    <w:rsid w:val="00370216"/>
    <w:rsid w:val="003756F2"/>
    <w:rsid w:val="00380871"/>
    <w:rsid w:val="00380A48"/>
    <w:rsid w:val="00381397"/>
    <w:rsid w:val="00382EA8"/>
    <w:rsid w:val="00385402"/>
    <w:rsid w:val="00387158"/>
    <w:rsid w:val="00387E4E"/>
    <w:rsid w:val="00391FB9"/>
    <w:rsid w:val="00392B56"/>
    <w:rsid w:val="00394733"/>
    <w:rsid w:val="00395647"/>
    <w:rsid w:val="00396AAA"/>
    <w:rsid w:val="003A434F"/>
    <w:rsid w:val="003A49BC"/>
    <w:rsid w:val="003A5456"/>
    <w:rsid w:val="003A7912"/>
    <w:rsid w:val="003B0A2D"/>
    <w:rsid w:val="003B245E"/>
    <w:rsid w:val="003B4C91"/>
    <w:rsid w:val="003B5F32"/>
    <w:rsid w:val="003B5FFB"/>
    <w:rsid w:val="003C0783"/>
    <w:rsid w:val="003C19D5"/>
    <w:rsid w:val="003C1FAB"/>
    <w:rsid w:val="003C2706"/>
    <w:rsid w:val="003C3290"/>
    <w:rsid w:val="003C388C"/>
    <w:rsid w:val="003C5FFE"/>
    <w:rsid w:val="003C6ED7"/>
    <w:rsid w:val="003D2633"/>
    <w:rsid w:val="003D3F8A"/>
    <w:rsid w:val="003D5AAA"/>
    <w:rsid w:val="003D7515"/>
    <w:rsid w:val="003E0C89"/>
    <w:rsid w:val="003E2233"/>
    <w:rsid w:val="003E2804"/>
    <w:rsid w:val="003E369B"/>
    <w:rsid w:val="003E6A14"/>
    <w:rsid w:val="003E7EDF"/>
    <w:rsid w:val="003F0204"/>
    <w:rsid w:val="003F7349"/>
    <w:rsid w:val="003F7807"/>
    <w:rsid w:val="003F7A14"/>
    <w:rsid w:val="00400C92"/>
    <w:rsid w:val="0040137C"/>
    <w:rsid w:val="004023E1"/>
    <w:rsid w:val="004053D4"/>
    <w:rsid w:val="004060DD"/>
    <w:rsid w:val="0040799C"/>
    <w:rsid w:val="00407FF0"/>
    <w:rsid w:val="00411530"/>
    <w:rsid w:val="00411531"/>
    <w:rsid w:val="00411F04"/>
    <w:rsid w:val="00412158"/>
    <w:rsid w:val="004161F8"/>
    <w:rsid w:val="00416909"/>
    <w:rsid w:val="00416BD5"/>
    <w:rsid w:val="0042189A"/>
    <w:rsid w:val="004227AA"/>
    <w:rsid w:val="004246F4"/>
    <w:rsid w:val="00424D7C"/>
    <w:rsid w:val="00426401"/>
    <w:rsid w:val="004268E7"/>
    <w:rsid w:val="00426AC7"/>
    <w:rsid w:val="00427B05"/>
    <w:rsid w:val="00430CF8"/>
    <w:rsid w:val="004314B6"/>
    <w:rsid w:val="00432A0F"/>
    <w:rsid w:val="004335D5"/>
    <w:rsid w:val="00436940"/>
    <w:rsid w:val="00437F0F"/>
    <w:rsid w:val="0044013A"/>
    <w:rsid w:val="00443B63"/>
    <w:rsid w:val="00445CED"/>
    <w:rsid w:val="00447784"/>
    <w:rsid w:val="004505E8"/>
    <w:rsid w:val="004511A1"/>
    <w:rsid w:val="00452394"/>
    <w:rsid w:val="0045318C"/>
    <w:rsid w:val="00456A37"/>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C3B"/>
    <w:rsid w:val="00492457"/>
    <w:rsid w:val="0049385C"/>
    <w:rsid w:val="00495B4F"/>
    <w:rsid w:val="00497506"/>
    <w:rsid w:val="00497832"/>
    <w:rsid w:val="004A0A9A"/>
    <w:rsid w:val="004A172B"/>
    <w:rsid w:val="004A4274"/>
    <w:rsid w:val="004A6FE0"/>
    <w:rsid w:val="004A7236"/>
    <w:rsid w:val="004B2B3D"/>
    <w:rsid w:val="004B3C97"/>
    <w:rsid w:val="004B43AF"/>
    <w:rsid w:val="004B4763"/>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5FB"/>
    <w:rsid w:val="004E6E23"/>
    <w:rsid w:val="004F319C"/>
    <w:rsid w:val="00502116"/>
    <w:rsid w:val="00503263"/>
    <w:rsid w:val="005032E7"/>
    <w:rsid w:val="00504D5D"/>
    <w:rsid w:val="00506EDE"/>
    <w:rsid w:val="00510C22"/>
    <w:rsid w:val="00511246"/>
    <w:rsid w:val="005121D8"/>
    <w:rsid w:val="005156CF"/>
    <w:rsid w:val="00515CEC"/>
    <w:rsid w:val="00523260"/>
    <w:rsid w:val="0052523D"/>
    <w:rsid w:val="00525250"/>
    <w:rsid w:val="00525FBA"/>
    <w:rsid w:val="005300C8"/>
    <w:rsid w:val="00530CF9"/>
    <w:rsid w:val="00531529"/>
    <w:rsid w:val="005318C7"/>
    <w:rsid w:val="00531D6E"/>
    <w:rsid w:val="00532545"/>
    <w:rsid w:val="00532698"/>
    <w:rsid w:val="00533095"/>
    <w:rsid w:val="00533D6D"/>
    <w:rsid w:val="00535BFB"/>
    <w:rsid w:val="00540263"/>
    <w:rsid w:val="00540BF7"/>
    <w:rsid w:val="005428FF"/>
    <w:rsid w:val="00542FD2"/>
    <w:rsid w:val="005447D0"/>
    <w:rsid w:val="00546B67"/>
    <w:rsid w:val="005578CB"/>
    <w:rsid w:val="005579A5"/>
    <w:rsid w:val="00561FD4"/>
    <w:rsid w:val="00563E83"/>
    <w:rsid w:val="0056674D"/>
    <w:rsid w:val="005766E0"/>
    <w:rsid w:val="00577426"/>
    <w:rsid w:val="005832B2"/>
    <w:rsid w:val="00591483"/>
    <w:rsid w:val="00591A6C"/>
    <w:rsid w:val="00593737"/>
    <w:rsid w:val="005972A7"/>
    <w:rsid w:val="005978DB"/>
    <w:rsid w:val="00597AA2"/>
    <w:rsid w:val="005A2507"/>
    <w:rsid w:val="005A2803"/>
    <w:rsid w:val="005A57FA"/>
    <w:rsid w:val="005A583E"/>
    <w:rsid w:val="005A5BEC"/>
    <w:rsid w:val="005A7087"/>
    <w:rsid w:val="005A74FE"/>
    <w:rsid w:val="005B2823"/>
    <w:rsid w:val="005B465B"/>
    <w:rsid w:val="005B6F1F"/>
    <w:rsid w:val="005C0755"/>
    <w:rsid w:val="005C2C87"/>
    <w:rsid w:val="005C52A3"/>
    <w:rsid w:val="005C56A6"/>
    <w:rsid w:val="005D234B"/>
    <w:rsid w:val="005D242A"/>
    <w:rsid w:val="005E06F0"/>
    <w:rsid w:val="005E4831"/>
    <w:rsid w:val="005E6C51"/>
    <w:rsid w:val="005E6F3F"/>
    <w:rsid w:val="005F3429"/>
    <w:rsid w:val="005F3B68"/>
    <w:rsid w:val="005F40F5"/>
    <w:rsid w:val="005F6B28"/>
    <w:rsid w:val="006059E6"/>
    <w:rsid w:val="00610697"/>
    <w:rsid w:val="0062298E"/>
    <w:rsid w:val="00623979"/>
    <w:rsid w:val="00623BA9"/>
    <w:rsid w:val="0062557C"/>
    <w:rsid w:val="00631B4A"/>
    <w:rsid w:val="00633029"/>
    <w:rsid w:val="00633E40"/>
    <w:rsid w:val="00641982"/>
    <w:rsid w:val="0064406E"/>
    <w:rsid w:val="006442DF"/>
    <w:rsid w:val="0064444E"/>
    <w:rsid w:val="006465AB"/>
    <w:rsid w:val="00646ED5"/>
    <w:rsid w:val="00651E73"/>
    <w:rsid w:val="00653936"/>
    <w:rsid w:val="00656B1D"/>
    <w:rsid w:val="00661406"/>
    <w:rsid w:val="00662142"/>
    <w:rsid w:val="00664E8B"/>
    <w:rsid w:val="00665335"/>
    <w:rsid w:val="0066604E"/>
    <w:rsid w:val="0066690B"/>
    <w:rsid w:val="00672900"/>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62E"/>
    <w:rsid w:val="006A4A3E"/>
    <w:rsid w:val="006B0A68"/>
    <w:rsid w:val="006B0D38"/>
    <w:rsid w:val="006B20B4"/>
    <w:rsid w:val="006B4FBB"/>
    <w:rsid w:val="006B5EC0"/>
    <w:rsid w:val="006B7D15"/>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36E"/>
    <w:rsid w:val="006F7C62"/>
    <w:rsid w:val="00704042"/>
    <w:rsid w:val="007133B5"/>
    <w:rsid w:val="007140BA"/>
    <w:rsid w:val="00716307"/>
    <w:rsid w:val="00716A85"/>
    <w:rsid w:val="00717E7B"/>
    <w:rsid w:val="00720E26"/>
    <w:rsid w:val="00725291"/>
    <w:rsid w:val="00730242"/>
    <w:rsid w:val="00730BAA"/>
    <w:rsid w:val="007313FD"/>
    <w:rsid w:val="00731403"/>
    <w:rsid w:val="00731891"/>
    <w:rsid w:val="00733178"/>
    <w:rsid w:val="00734993"/>
    <w:rsid w:val="007369BA"/>
    <w:rsid w:val="00740752"/>
    <w:rsid w:val="0074284B"/>
    <w:rsid w:val="00744C74"/>
    <w:rsid w:val="0075179A"/>
    <w:rsid w:val="00751AB1"/>
    <w:rsid w:val="007553D4"/>
    <w:rsid w:val="00760AD1"/>
    <w:rsid w:val="00761133"/>
    <w:rsid w:val="007619FB"/>
    <w:rsid w:val="00763AF2"/>
    <w:rsid w:val="007729C9"/>
    <w:rsid w:val="007742A1"/>
    <w:rsid w:val="00774600"/>
    <w:rsid w:val="00777FF4"/>
    <w:rsid w:val="00781332"/>
    <w:rsid w:val="007819B0"/>
    <w:rsid w:val="007837C1"/>
    <w:rsid w:val="0078514D"/>
    <w:rsid w:val="00791713"/>
    <w:rsid w:val="00794454"/>
    <w:rsid w:val="00795377"/>
    <w:rsid w:val="007A2D73"/>
    <w:rsid w:val="007A5E5B"/>
    <w:rsid w:val="007B56C0"/>
    <w:rsid w:val="007B6F61"/>
    <w:rsid w:val="007B7700"/>
    <w:rsid w:val="007C024F"/>
    <w:rsid w:val="007C10F3"/>
    <w:rsid w:val="007C46B5"/>
    <w:rsid w:val="007C6A05"/>
    <w:rsid w:val="007D0868"/>
    <w:rsid w:val="007D13D9"/>
    <w:rsid w:val="007D2E3F"/>
    <w:rsid w:val="007D3593"/>
    <w:rsid w:val="007D5BC0"/>
    <w:rsid w:val="007D77B2"/>
    <w:rsid w:val="007D7B7B"/>
    <w:rsid w:val="007E0809"/>
    <w:rsid w:val="007E12A1"/>
    <w:rsid w:val="007E7814"/>
    <w:rsid w:val="007F49BB"/>
    <w:rsid w:val="007F5314"/>
    <w:rsid w:val="007F60AC"/>
    <w:rsid w:val="007F625C"/>
    <w:rsid w:val="007F63D0"/>
    <w:rsid w:val="007F6D48"/>
    <w:rsid w:val="007F7114"/>
    <w:rsid w:val="00803BB3"/>
    <w:rsid w:val="00804036"/>
    <w:rsid w:val="008071A7"/>
    <w:rsid w:val="00807CCB"/>
    <w:rsid w:val="008101FC"/>
    <w:rsid w:val="008108E8"/>
    <w:rsid w:val="0081353F"/>
    <w:rsid w:val="00816407"/>
    <w:rsid w:val="00825809"/>
    <w:rsid w:val="00825F93"/>
    <w:rsid w:val="00831982"/>
    <w:rsid w:val="0083257F"/>
    <w:rsid w:val="00837AFC"/>
    <w:rsid w:val="008434BA"/>
    <w:rsid w:val="00845D24"/>
    <w:rsid w:val="00851093"/>
    <w:rsid w:val="008522DF"/>
    <w:rsid w:val="008544DB"/>
    <w:rsid w:val="00862FA3"/>
    <w:rsid w:val="00865845"/>
    <w:rsid w:val="008765DF"/>
    <w:rsid w:val="00876EC4"/>
    <w:rsid w:val="00877453"/>
    <w:rsid w:val="0088064F"/>
    <w:rsid w:val="008833CD"/>
    <w:rsid w:val="00891B08"/>
    <w:rsid w:val="00893524"/>
    <w:rsid w:val="00893FAC"/>
    <w:rsid w:val="0089404C"/>
    <w:rsid w:val="008A03C9"/>
    <w:rsid w:val="008A0859"/>
    <w:rsid w:val="008A1075"/>
    <w:rsid w:val="008A160D"/>
    <w:rsid w:val="008A53D4"/>
    <w:rsid w:val="008B0272"/>
    <w:rsid w:val="008B43F5"/>
    <w:rsid w:val="008C0ED3"/>
    <w:rsid w:val="008C0FFF"/>
    <w:rsid w:val="008C162C"/>
    <w:rsid w:val="008C2C97"/>
    <w:rsid w:val="008C57E2"/>
    <w:rsid w:val="008C7007"/>
    <w:rsid w:val="008D06F2"/>
    <w:rsid w:val="008D0FEC"/>
    <w:rsid w:val="008D1976"/>
    <w:rsid w:val="008D3FB0"/>
    <w:rsid w:val="008D74B3"/>
    <w:rsid w:val="008D7C3D"/>
    <w:rsid w:val="008E18B1"/>
    <w:rsid w:val="008E4197"/>
    <w:rsid w:val="008E463C"/>
    <w:rsid w:val="008E4708"/>
    <w:rsid w:val="008E58B9"/>
    <w:rsid w:val="008E75AE"/>
    <w:rsid w:val="008F0CC4"/>
    <w:rsid w:val="008F4B86"/>
    <w:rsid w:val="009006A5"/>
    <w:rsid w:val="00900ABC"/>
    <w:rsid w:val="00902B37"/>
    <w:rsid w:val="0090700F"/>
    <w:rsid w:val="00911F70"/>
    <w:rsid w:val="009120EB"/>
    <w:rsid w:val="00914F38"/>
    <w:rsid w:val="00917F97"/>
    <w:rsid w:val="00924AA2"/>
    <w:rsid w:val="009258C6"/>
    <w:rsid w:val="00930A02"/>
    <w:rsid w:val="00931FBC"/>
    <w:rsid w:val="009401C7"/>
    <w:rsid w:val="009526A4"/>
    <w:rsid w:val="00953CA5"/>
    <w:rsid w:val="0096004A"/>
    <w:rsid w:val="00961770"/>
    <w:rsid w:val="00962660"/>
    <w:rsid w:val="00963F04"/>
    <w:rsid w:val="00964B8E"/>
    <w:rsid w:val="009651B9"/>
    <w:rsid w:val="00971830"/>
    <w:rsid w:val="0097202A"/>
    <w:rsid w:val="00972E3C"/>
    <w:rsid w:val="009750E5"/>
    <w:rsid w:val="0097636F"/>
    <w:rsid w:val="009766BD"/>
    <w:rsid w:val="00976EA8"/>
    <w:rsid w:val="009775C5"/>
    <w:rsid w:val="0098130D"/>
    <w:rsid w:val="00985EBE"/>
    <w:rsid w:val="009860F5"/>
    <w:rsid w:val="009912AB"/>
    <w:rsid w:val="00992545"/>
    <w:rsid w:val="00994C10"/>
    <w:rsid w:val="00997E5D"/>
    <w:rsid w:val="009A56D9"/>
    <w:rsid w:val="009A664B"/>
    <w:rsid w:val="009A7FC5"/>
    <w:rsid w:val="009B0294"/>
    <w:rsid w:val="009B0462"/>
    <w:rsid w:val="009B0DBA"/>
    <w:rsid w:val="009B267A"/>
    <w:rsid w:val="009B542F"/>
    <w:rsid w:val="009B6E5E"/>
    <w:rsid w:val="009C11B1"/>
    <w:rsid w:val="009C402F"/>
    <w:rsid w:val="009D587E"/>
    <w:rsid w:val="009D680A"/>
    <w:rsid w:val="009D7E35"/>
    <w:rsid w:val="009E5AB7"/>
    <w:rsid w:val="009E65F6"/>
    <w:rsid w:val="009E74DA"/>
    <w:rsid w:val="009F2039"/>
    <w:rsid w:val="009F26A6"/>
    <w:rsid w:val="009F2D9A"/>
    <w:rsid w:val="009F4734"/>
    <w:rsid w:val="009F4B6B"/>
    <w:rsid w:val="009F58D0"/>
    <w:rsid w:val="009F79DC"/>
    <w:rsid w:val="00A00DE4"/>
    <w:rsid w:val="00A034D6"/>
    <w:rsid w:val="00A04B4B"/>
    <w:rsid w:val="00A06A2B"/>
    <w:rsid w:val="00A07231"/>
    <w:rsid w:val="00A07BF1"/>
    <w:rsid w:val="00A1609F"/>
    <w:rsid w:val="00A22594"/>
    <w:rsid w:val="00A22FC1"/>
    <w:rsid w:val="00A258C2"/>
    <w:rsid w:val="00A261DF"/>
    <w:rsid w:val="00A276D0"/>
    <w:rsid w:val="00A305BA"/>
    <w:rsid w:val="00A30B0D"/>
    <w:rsid w:val="00A35122"/>
    <w:rsid w:val="00A354D5"/>
    <w:rsid w:val="00A405DB"/>
    <w:rsid w:val="00A54E67"/>
    <w:rsid w:val="00A57051"/>
    <w:rsid w:val="00A602B0"/>
    <w:rsid w:val="00A60666"/>
    <w:rsid w:val="00A60DB0"/>
    <w:rsid w:val="00A618D1"/>
    <w:rsid w:val="00A71CCB"/>
    <w:rsid w:val="00A72D3C"/>
    <w:rsid w:val="00A772EF"/>
    <w:rsid w:val="00A77F8A"/>
    <w:rsid w:val="00A82FEA"/>
    <w:rsid w:val="00A8408D"/>
    <w:rsid w:val="00AA4A78"/>
    <w:rsid w:val="00AA5259"/>
    <w:rsid w:val="00AA7CF3"/>
    <w:rsid w:val="00AB0454"/>
    <w:rsid w:val="00AB4A79"/>
    <w:rsid w:val="00AC6805"/>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598C"/>
    <w:rsid w:val="00B05C4B"/>
    <w:rsid w:val="00B05D21"/>
    <w:rsid w:val="00B10D6F"/>
    <w:rsid w:val="00B124AA"/>
    <w:rsid w:val="00B219FF"/>
    <w:rsid w:val="00B227C4"/>
    <w:rsid w:val="00B229A7"/>
    <w:rsid w:val="00B23A76"/>
    <w:rsid w:val="00B269D8"/>
    <w:rsid w:val="00B26FFA"/>
    <w:rsid w:val="00B36784"/>
    <w:rsid w:val="00B40B55"/>
    <w:rsid w:val="00B415F0"/>
    <w:rsid w:val="00B4627C"/>
    <w:rsid w:val="00B47959"/>
    <w:rsid w:val="00B500C3"/>
    <w:rsid w:val="00B50C53"/>
    <w:rsid w:val="00B544F0"/>
    <w:rsid w:val="00B545A7"/>
    <w:rsid w:val="00B60382"/>
    <w:rsid w:val="00B6158F"/>
    <w:rsid w:val="00B63D1C"/>
    <w:rsid w:val="00B65D67"/>
    <w:rsid w:val="00B715D6"/>
    <w:rsid w:val="00B7167E"/>
    <w:rsid w:val="00B7392D"/>
    <w:rsid w:val="00B74005"/>
    <w:rsid w:val="00B80A64"/>
    <w:rsid w:val="00B87D56"/>
    <w:rsid w:val="00B9004B"/>
    <w:rsid w:val="00B904C4"/>
    <w:rsid w:val="00B90CD4"/>
    <w:rsid w:val="00B91F8D"/>
    <w:rsid w:val="00B93728"/>
    <w:rsid w:val="00B93D3F"/>
    <w:rsid w:val="00B9565B"/>
    <w:rsid w:val="00B975EE"/>
    <w:rsid w:val="00B97900"/>
    <w:rsid w:val="00BA14F1"/>
    <w:rsid w:val="00BA1AB4"/>
    <w:rsid w:val="00BA4CDF"/>
    <w:rsid w:val="00BB2E58"/>
    <w:rsid w:val="00BB52F5"/>
    <w:rsid w:val="00BB6E6E"/>
    <w:rsid w:val="00BC005D"/>
    <w:rsid w:val="00BC10F8"/>
    <w:rsid w:val="00BC53DB"/>
    <w:rsid w:val="00BD64C2"/>
    <w:rsid w:val="00BD72A1"/>
    <w:rsid w:val="00BE11A5"/>
    <w:rsid w:val="00BE546A"/>
    <w:rsid w:val="00BF7038"/>
    <w:rsid w:val="00BF7AAD"/>
    <w:rsid w:val="00C0001A"/>
    <w:rsid w:val="00C00074"/>
    <w:rsid w:val="00C06CDD"/>
    <w:rsid w:val="00C1061F"/>
    <w:rsid w:val="00C11B55"/>
    <w:rsid w:val="00C11CB1"/>
    <w:rsid w:val="00C16E0E"/>
    <w:rsid w:val="00C229BF"/>
    <w:rsid w:val="00C331DC"/>
    <w:rsid w:val="00C338DB"/>
    <w:rsid w:val="00C33B68"/>
    <w:rsid w:val="00C3580C"/>
    <w:rsid w:val="00C37602"/>
    <w:rsid w:val="00C47C47"/>
    <w:rsid w:val="00C540BB"/>
    <w:rsid w:val="00C54F22"/>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3118"/>
    <w:rsid w:val="00C93AE1"/>
    <w:rsid w:val="00C940BF"/>
    <w:rsid w:val="00C947EB"/>
    <w:rsid w:val="00C95610"/>
    <w:rsid w:val="00C95715"/>
    <w:rsid w:val="00C971F9"/>
    <w:rsid w:val="00C97317"/>
    <w:rsid w:val="00CA3E94"/>
    <w:rsid w:val="00CA406B"/>
    <w:rsid w:val="00CB0CB0"/>
    <w:rsid w:val="00CB0ED4"/>
    <w:rsid w:val="00CB1EFF"/>
    <w:rsid w:val="00CB4C4E"/>
    <w:rsid w:val="00CB5DCD"/>
    <w:rsid w:val="00CB682F"/>
    <w:rsid w:val="00CB7A61"/>
    <w:rsid w:val="00CC363D"/>
    <w:rsid w:val="00CC64CA"/>
    <w:rsid w:val="00CC68BB"/>
    <w:rsid w:val="00CD4387"/>
    <w:rsid w:val="00CE0215"/>
    <w:rsid w:val="00CE6A7A"/>
    <w:rsid w:val="00CF025B"/>
    <w:rsid w:val="00CF0602"/>
    <w:rsid w:val="00CF1711"/>
    <w:rsid w:val="00CF1C87"/>
    <w:rsid w:val="00CF1E9D"/>
    <w:rsid w:val="00CF22B9"/>
    <w:rsid w:val="00CF3F70"/>
    <w:rsid w:val="00D0233D"/>
    <w:rsid w:val="00D0240D"/>
    <w:rsid w:val="00D0436A"/>
    <w:rsid w:val="00D111F5"/>
    <w:rsid w:val="00D12861"/>
    <w:rsid w:val="00D14DDC"/>
    <w:rsid w:val="00D20378"/>
    <w:rsid w:val="00D24A4B"/>
    <w:rsid w:val="00D26F12"/>
    <w:rsid w:val="00D31B0E"/>
    <w:rsid w:val="00D3376F"/>
    <w:rsid w:val="00D350A6"/>
    <w:rsid w:val="00D3783E"/>
    <w:rsid w:val="00D41CFB"/>
    <w:rsid w:val="00D43FD9"/>
    <w:rsid w:val="00D44CBD"/>
    <w:rsid w:val="00D45874"/>
    <w:rsid w:val="00D46755"/>
    <w:rsid w:val="00D479AF"/>
    <w:rsid w:val="00D500A1"/>
    <w:rsid w:val="00D51BB1"/>
    <w:rsid w:val="00D558F9"/>
    <w:rsid w:val="00D57547"/>
    <w:rsid w:val="00D60137"/>
    <w:rsid w:val="00D6173A"/>
    <w:rsid w:val="00D65680"/>
    <w:rsid w:val="00D6604C"/>
    <w:rsid w:val="00D66756"/>
    <w:rsid w:val="00D67BAD"/>
    <w:rsid w:val="00D729A5"/>
    <w:rsid w:val="00D72ECB"/>
    <w:rsid w:val="00D76B5F"/>
    <w:rsid w:val="00D91190"/>
    <w:rsid w:val="00D91D3F"/>
    <w:rsid w:val="00D91FDE"/>
    <w:rsid w:val="00D9781D"/>
    <w:rsid w:val="00DA005F"/>
    <w:rsid w:val="00DA0942"/>
    <w:rsid w:val="00DA0D04"/>
    <w:rsid w:val="00DB11AA"/>
    <w:rsid w:val="00DB4191"/>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7014"/>
    <w:rsid w:val="00DE7BB8"/>
    <w:rsid w:val="00DF2BAA"/>
    <w:rsid w:val="00DF2F90"/>
    <w:rsid w:val="00DF45FF"/>
    <w:rsid w:val="00DF7755"/>
    <w:rsid w:val="00E01250"/>
    <w:rsid w:val="00E05701"/>
    <w:rsid w:val="00E0753C"/>
    <w:rsid w:val="00E11488"/>
    <w:rsid w:val="00E12B5E"/>
    <w:rsid w:val="00E16F62"/>
    <w:rsid w:val="00E22D17"/>
    <w:rsid w:val="00E26992"/>
    <w:rsid w:val="00E30502"/>
    <w:rsid w:val="00E359B9"/>
    <w:rsid w:val="00E42135"/>
    <w:rsid w:val="00E42492"/>
    <w:rsid w:val="00E426E5"/>
    <w:rsid w:val="00E43030"/>
    <w:rsid w:val="00E43A3A"/>
    <w:rsid w:val="00E4464A"/>
    <w:rsid w:val="00E47137"/>
    <w:rsid w:val="00E512B0"/>
    <w:rsid w:val="00E5372B"/>
    <w:rsid w:val="00E5768A"/>
    <w:rsid w:val="00E61736"/>
    <w:rsid w:val="00E61CDC"/>
    <w:rsid w:val="00E6487C"/>
    <w:rsid w:val="00E64C9D"/>
    <w:rsid w:val="00E6544B"/>
    <w:rsid w:val="00E718A6"/>
    <w:rsid w:val="00E80FBE"/>
    <w:rsid w:val="00E82183"/>
    <w:rsid w:val="00E9331A"/>
    <w:rsid w:val="00E96B6D"/>
    <w:rsid w:val="00E97F75"/>
    <w:rsid w:val="00EA5044"/>
    <w:rsid w:val="00EA7D5B"/>
    <w:rsid w:val="00EB118F"/>
    <w:rsid w:val="00EB1F53"/>
    <w:rsid w:val="00EB4683"/>
    <w:rsid w:val="00EB7E2E"/>
    <w:rsid w:val="00EC05E8"/>
    <w:rsid w:val="00EC20F1"/>
    <w:rsid w:val="00EC2289"/>
    <w:rsid w:val="00EC2B3F"/>
    <w:rsid w:val="00EC30C2"/>
    <w:rsid w:val="00EC3BD7"/>
    <w:rsid w:val="00EC3C5B"/>
    <w:rsid w:val="00EC3FA1"/>
    <w:rsid w:val="00EC6EDE"/>
    <w:rsid w:val="00ED0DA7"/>
    <w:rsid w:val="00ED3841"/>
    <w:rsid w:val="00ED4BF0"/>
    <w:rsid w:val="00ED5E2F"/>
    <w:rsid w:val="00EE0E1C"/>
    <w:rsid w:val="00EE4A43"/>
    <w:rsid w:val="00EE5B66"/>
    <w:rsid w:val="00EF12D0"/>
    <w:rsid w:val="00EF2547"/>
    <w:rsid w:val="00EF5573"/>
    <w:rsid w:val="00EF5E39"/>
    <w:rsid w:val="00F03F64"/>
    <w:rsid w:val="00F042C1"/>
    <w:rsid w:val="00F045FB"/>
    <w:rsid w:val="00F0496E"/>
    <w:rsid w:val="00F05A2A"/>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878"/>
    <w:rsid w:val="00F47518"/>
    <w:rsid w:val="00F5261B"/>
    <w:rsid w:val="00F55303"/>
    <w:rsid w:val="00F60439"/>
    <w:rsid w:val="00F609B3"/>
    <w:rsid w:val="00F617DE"/>
    <w:rsid w:val="00F623C8"/>
    <w:rsid w:val="00F63922"/>
    <w:rsid w:val="00F64331"/>
    <w:rsid w:val="00F67816"/>
    <w:rsid w:val="00F67AB2"/>
    <w:rsid w:val="00F72058"/>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70C"/>
    <w:rsid w:val="00FA4749"/>
    <w:rsid w:val="00FA53B1"/>
    <w:rsid w:val="00FA6F2C"/>
    <w:rsid w:val="00FB0CC5"/>
    <w:rsid w:val="00FB0D21"/>
    <w:rsid w:val="00FB29FB"/>
    <w:rsid w:val="00FB3BFF"/>
    <w:rsid w:val="00FB3EB6"/>
    <w:rsid w:val="00FB5D65"/>
    <w:rsid w:val="00FC2047"/>
    <w:rsid w:val="00FC2763"/>
    <w:rsid w:val="00FC322D"/>
    <w:rsid w:val="00FD13B7"/>
    <w:rsid w:val="00FD56CC"/>
    <w:rsid w:val="00FD5A54"/>
    <w:rsid w:val="00FD5D76"/>
    <w:rsid w:val="00FD6179"/>
    <w:rsid w:val="00FD6E37"/>
    <w:rsid w:val="00FD7A4A"/>
    <w:rsid w:val="00FE0406"/>
    <w:rsid w:val="00FE0D65"/>
    <w:rsid w:val="00FE2A23"/>
    <w:rsid w:val="00FF0695"/>
    <w:rsid w:val="00FF30F2"/>
    <w:rsid w:val="00FF7CB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semiHidden/>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34"/>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Estilo1">
    <w:name w:val="Estilo1"/>
    <w:uiPriority w:val="99"/>
    <w:rsid w:val="00B3678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532FF-4098-4771-997A-A3AD2E9E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1717</Words>
  <Characters>9446</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11141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94</cp:revision>
  <cp:lastPrinted>2017-06-08T17:01:00Z</cp:lastPrinted>
  <dcterms:created xsi:type="dcterms:W3CDTF">2016-10-05T20:00:00Z</dcterms:created>
  <dcterms:modified xsi:type="dcterms:W3CDTF">2017-06-08T19:57:00Z</dcterms:modified>
</cp:coreProperties>
</file>