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037375">
        <w:rPr>
          <w:rFonts w:ascii="Arial" w:hAnsi="Arial" w:cs="Arial"/>
          <w:b/>
          <w:bCs/>
          <w:iCs/>
          <w:sz w:val="26"/>
          <w:szCs w:val="22"/>
          <w:lang w:val="es-CR"/>
        </w:rPr>
        <w:t>401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03737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w:t>
            </w:r>
            <w:r w:rsidR="0090700F">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00337455">
              <w:rPr>
                <w:rFonts w:ascii="Arial" w:eastAsia="Cambria" w:hAnsi="Arial" w:cs="Arial"/>
                <w:sz w:val="22"/>
                <w:szCs w:val="22"/>
                <w:lang w:val="es-ES_tradnl" w:eastAsia="en-US"/>
              </w:rPr>
              <w:t xml:space="preserve"> </w:t>
            </w:r>
          </w:p>
          <w:p w:rsidR="00037375" w:rsidRDefault="0003737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037375" w:rsidRPr="00037375" w:rsidRDefault="00037375" w:rsidP="00037375">
            <w:pPr>
              <w:ind w:right="-18"/>
              <w:rPr>
                <w:rFonts w:ascii="Arial" w:eastAsia="Cambria" w:hAnsi="Arial" w:cs="Arial"/>
                <w:sz w:val="22"/>
                <w:szCs w:val="22"/>
                <w:lang w:val="es-ES_tradnl" w:eastAsia="en-US"/>
              </w:rPr>
            </w:pPr>
            <w:proofErr w:type="spellStart"/>
            <w:r w:rsidRPr="00037375">
              <w:rPr>
                <w:rFonts w:ascii="Arial" w:eastAsia="Cambria" w:hAnsi="Arial" w:cs="Arial"/>
                <w:sz w:val="22"/>
                <w:szCs w:val="22"/>
                <w:lang w:val="es-ES_tradnl" w:eastAsia="en-US"/>
              </w:rPr>
              <w:t>M.Sc</w:t>
            </w:r>
            <w:proofErr w:type="spellEnd"/>
            <w:r w:rsidRPr="00037375">
              <w:rPr>
                <w:rFonts w:ascii="Arial" w:eastAsia="Cambria" w:hAnsi="Arial" w:cs="Arial"/>
                <w:sz w:val="22"/>
                <w:szCs w:val="22"/>
                <w:lang w:val="es-ES_tradnl" w:eastAsia="en-US"/>
              </w:rPr>
              <w:t>. Hugo Navarro Serrano, Director, Escuela de Educación Técnica</w:t>
            </w:r>
          </w:p>
          <w:p w:rsidR="002D6978" w:rsidRDefault="00037375" w:rsidP="00AA3DC5">
            <w:pPr>
              <w:ind w:left="45"/>
              <w:jc w:val="both"/>
              <w:rPr>
                <w:rFonts w:ascii="Arial" w:hAnsi="Arial" w:cs="Arial"/>
                <w:sz w:val="22"/>
                <w:szCs w:val="22"/>
              </w:rPr>
            </w:pPr>
            <w:r w:rsidRPr="00037375">
              <w:rPr>
                <w:rFonts w:ascii="Arial" w:hAnsi="Arial" w:cs="Arial"/>
                <w:sz w:val="22"/>
                <w:szCs w:val="22"/>
              </w:rPr>
              <w:t>Ing. Carmen Elena Madriz PhD, Directora de Posgrado</w:t>
            </w:r>
          </w:p>
          <w:p w:rsidR="00037375" w:rsidRPr="00037375" w:rsidRDefault="00037375" w:rsidP="00AA3DC5">
            <w:pPr>
              <w:ind w:left="45"/>
              <w:jc w:val="both"/>
              <w:rPr>
                <w:rFonts w:ascii="Arial" w:hAnsi="Arial" w:cs="Arial"/>
                <w:sz w:val="22"/>
                <w:szCs w:val="22"/>
              </w:rPr>
            </w:pPr>
            <w:r>
              <w:rPr>
                <w:rFonts w:ascii="Arial" w:hAnsi="Arial" w:cs="Arial"/>
                <w:sz w:val="22"/>
                <w:szCs w:val="22"/>
              </w:rPr>
              <w:t>Ing. Eduardo Sibaja, Director de la Oficina de Planificación de la Educación Superior (</w:t>
            </w:r>
            <w:proofErr w:type="spellStart"/>
            <w:r>
              <w:rPr>
                <w:rFonts w:ascii="Arial" w:hAnsi="Arial" w:cs="Arial"/>
                <w:sz w:val="22"/>
                <w:szCs w:val="22"/>
              </w:rPr>
              <w:t>OPES</w:t>
            </w:r>
            <w:proofErr w:type="spellEnd"/>
            <w:r>
              <w:rPr>
                <w:rFonts w:ascii="Arial" w:hAnsi="Arial" w:cs="Arial"/>
                <w:sz w:val="22"/>
                <w:szCs w:val="22"/>
              </w:rPr>
              <w:t>) del Consejo Nacional de Rectores (</w:t>
            </w:r>
            <w:proofErr w:type="spellStart"/>
            <w:r>
              <w:rPr>
                <w:rFonts w:ascii="Arial" w:hAnsi="Arial" w:cs="Arial"/>
                <w:sz w:val="22"/>
                <w:szCs w:val="22"/>
              </w:rPr>
              <w:t>CONARE</w:t>
            </w:r>
            <w:proofErr w:type="spellEnd"/>
            <w:r>
              <w:rPr>
                <w:rFonts w:ascii="Arial" w:hAnsi="Arial" w:cs="Arial"/>
                <w:sz w:val="22"/>
                <w:szCs w:val="22"/>
              </w:rPr>
              <w:t>)</w:t>
            </w:r>
          </w:p>
          <w:p w:rsidR="00037375" w:rsidRPr="002D6978" w:rsidRDefault="00037375" w:rsidP="00EA64FF">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93971" w:rsidP="00AA3DC5">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AA3DC5">
              <w:rPr>
                <w:rFonts w:ascii="Arial" w:eastAsia="Cambria" w:hAnsi="Arial" w:cs="Arial"/>
                <w:b/>
                <w:sz w:val="22"/>
                <w:szCs w:val="22"/>
                <w:lang w:val="es-ES_tradnl" w:eastAsia="en-US"/>
              </w:rPr>
              <w:t>8</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EC3BD7">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93971" w:rsidRDefault="007742A1" w:rsidP="00AA3DC5">
            <w:pPr>
              <w:jc w:val="both"/>
              <w:rPr>
                <w:rFonts w:ascii="Arial" w:eastAsia="Calibri" w:hAnsi="Arial" w:cs="Arial"/>
                <w:b/>
                <w:sz w:val="22"/>
                <w:szCs w:val="22"/>
              </w:rPr>
            </w:pPr>
            <w:r w:rsidRPr="00A2484D">
              <w:rPr>
                <w:rFonts w:ascii="Arial" w:eastAsia="Calibri" w:hAnsi="Arial" w:cs="Arial"/>
                <w:b/>
                <w:sz w:val="22"/>
                <w:szCs w:val="22"/>
              </w:rPr>
              <w:t xml:space="preserve">Sesión Ordinaria No. </w:t>
            </w:r>
            <w:r w:rsidR="00337455" w:rsidRPr="00A2484D">
              <w:rPr>
                <w:rFonts w:ascii="Arial" w:eastAsia="Calibri" w:hAnsi="Arial" w:cs="Arial"/>
                <w:b/>
                <w:sz w:val="22"/>
                <w:szCs w:val="22"/>
              </w:rPr>
              <w:t>30</w:t>
            </w:r>
            <w:r w:rsidR="001F3E92" w:rsidRPr="00A2484D">
              <w:rPr>
                <w:rFonts w:ascii="Arial" w:eastAsia="Calibri" w:hAnsi="Arial" w:cs="Arial"/>
                <w:b/>
                <w:sz w:val="22"/>
                <w:szCs w:val="22"/>
              </w:rPr>
              <w:t>2</w:t>
            </w:r>
            <w:r w:rsidR="00AA3DC5">
              <w:rPr>
                <w:rFonts w:ascii="Arial" w:eastAsia="Calibri" w:hAnsi="Arial" w:cs="Arial"/>
                <w:b/>
                <w:sz w:val="22"/>
                <w:szCs w:val="22"/>
              </w:rPr>
              <w:t>9</w:t>
            </w:r>
            <w:r w:rsidRPr="00A2484D">
              <w:rPr>
                <w:rFonts w:ascii="Arial" w:eastAsia="Calibri" w:hAnsi="Arial" w:cs="Arial"/>
                <w:b/>
                <w:sz w:val="22"/>
                <w:szCs w:val="22"/>
              </w:rPr>
              <w:t>, Artículo</w:t>
            </w:r>
            <w:r w:rsidR="00437F0F" w:rsidRPr="00A2484D">
              <w:rPr>
                <w:rFonts w:ascii="Arial" w:eastAsia="Calibri" w:hAnsi="Arial" w:cs="Arial"/>
                <w:b/>
                <w:sz w:val="22"/>
                <w:szCs w:val="22"/>
              </w:rPr>
              <w:t xml:space="preserve"> </w:t>
            </w:r>
            <w:r w:rsidR="00093971">
              <w:rPr>
                <w:rFonts w:ascii="Arial" w:eastAsia="Calibri" w:hAnsi="Arial" w:cs="Arial"/>
                <w:b/>
                <w:sz w:val="22"/>
                <w:szCs w:val="22"/>
              </w:rPr>
              <w:t>1</w:t>
            </w:r>
            <w:r w:rsidR="00037375">
              <w:rPr>
                <w:rFonts w:ascii="Arial" w:eastAsia="Calibri" w:hAnsi="Arial" w:cs="Arial"/>
                <w:b/>
                <w:sz w:val="22"/>
                <w:szCs w:val="22"/>
              </w:rPr>
              <w:t>7</w:t>
            </w:r>
            <w:r w:rsidR="00337455" w:rsidRPr="00A2484D">
              <w:rPr>
                <w:rFonts w:ascii="Arial" w:eastAsia="Calibri" w:hAnsi="Arial" w:cs="Arial"/>
                <w:b/>
                <w:sz w:val="22"/>
                <w:szCs w:val="22"/>
              </w:rPr>
              <w:t>,</w:t>
            </w:r>
            <w:r w:rsidRPr="00A2484D">
              <w:rPr>
                <w:rFonts w:ascii="Arial" w:eastAsia="Calibri" w:hAnsi="Arial" w:cs="Arial"/>
                <w:b/>
                <w:sz w:val="22"/>
                <w:szCs w:val="22"/>
              </w:rPr>
              <w:t xml:space="preserve"> del </w:t>
            </w:r>
            <w:r w:rsidR="00093971">
              <w:rPr>
                <w:rFonts w:ascii="Arial" w:eastAsia="Calibri" w:hAnsi="Arial" w:cs="Arial"/>
                <w:b/>
                <w:sz w:val="22"/>
                <w:szCs w:val="22"/>
              </w:rPr>
              <w:t>2</w:t>
            </w:r>
            <w:r w:rsidR="00AA3DC5">
              <w:rPr>
                <w:rFonts w:ascii="Arial" w:eastAsia="Calibri" w:hAnsi="Arial" w:cs="Arial"/>
                <w:b/>
                <w:sz w:val="22"/>
                <w:szCs w:val="22"/>
              </w:rPr>
              <w:t>8</w:t>
            </w:r>
            <w:r w:rsidRPr="00A2484D">
              <w:rPr>
                <w:rFonts w:ascii="Arial" w:eastAsia="Calibri" w:hAnsi="Arial" w:cs="Arial"/>
                <w:b/>
                <w:sz w:val="22"/>
                <w:szCs w:val="22"/>
              </w:rPr>
              <w:t xml:space="preserve"> de </w:t>
            </w:r>
            <w:r w:rsidR="00EC3BD7" w:rsidRPr="00A2484D">
              <w:rPr>
                <w:rFonts w:ascii="Arial" w:eastAsia="Calibri" w:hAnsi="Arial" w:cs="Arial"/>
                <w:b/>
                <w:sz w:val="22"/>
                <w:szCs w:val="22"/>
              </w:rPr>
              <w:t>junio</w:t>
            </w:r>
            <w:r w:rsidR="007A2D73" w:rsidRPr="00A2484D">
              <w:rPr>
                <w:rFonts w:ascii="Arial" w:eastAsia="Calibri" w:hAnsi="Arial" w:cs="Arial"/>
                <w:b/>
                <w:sz w:val="22"/>
                <w:szCs w:val="22"/>
              </w:rPr>
              <w:t xml:space="preserve"> </w:t>
            </w:r>
            <w:r w:rsidR="00A772EF" w:rsidRPr="00A2484D">
              <w:rPr>
                <w:rFonts w:ascii="Arial" w:eastAsia="Calibri" w:hAnsi="Arial" w:cs="Arial"/>
                <w:b/>
                <w:sz w:val="22"/>
                <w:szCs w:val="22"/>
              </w:rPr>
              <w:t>de 2017</w:t>
            </w:r>
            <w:r w:rsidR="00AA3DC5">
              <w:rPr>
                <w:rFonts w:ascii="Arial" w:eastAsia="Calibri" w:hAnsi="Arial" w:cs="Arial"/>
                <w:b/>
                <w:sz w:val="22"/>
                <w:szCs w:val="22"/>
              </w:rPr>
              <w:t>.  Rediseño curricular al Programa de Maestría en Educación Técnica</w:t>
            </w:r>
            <w:r w:rsidR="00037375">
              <w:rPr>
                <w:rFonts w:ascii="Arial" w:eastAsia="Calibri" w:hAnsi="Arial" w:cs="Arial"/>
                <w:b/>
                <w:sz w:val="22"/>
                <w:szCs w:val="22"/>
              </w:rPr>
              <w:t xml:space="preserve"> del Instituto Tecnológico de Costa Rica </w:t>
            </w:r>
          </w:p>
          <w:p w:rsidR="00AA3DC5" w:rsidRPr="00A2484D" w:rsidRDefault="00AA3DC5" w:rsidP="00AA3DC5">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D6978" w:rsidRDefault="002D6978" w:rsidP="002D6978">
      <w:pPr>
        <w:autoSpaceDE w:val="0"/>
        <w:autoSpaceDN w:val="0"/>
        <w:adjustRightInd w:val="0"/>
        <w:jc w:val="both"/>
        <w:rPr>
          <w:rFonts w:ascii="Arial" w:hAnsi="Arial" w:cs="Arial"/>
          <w:b/>
          <w:sz w:val="16"/>
          <w:szCs w:val="16"/>
          <w:lang w:val="es-CR"/>
        </w:rPr>
      </w:pPr>
    </w:p>
    <w:p w:rsidR="00037375" w:rsidRPr="00037375" w:rsidRDefault="00037375" w:rsidP="00037375">
      <w:pPr>
        <w:ind w:left="1440" w:hanging="1440"/>
        <w:jc w:val="both"/>
        <w:rPr>
          <w:rFonts w:ascii="Arial" w:eastAsia="Cambria" w:hAnsi="Arial" w:cs="Arial"/>
          <w:b/>
          <w:caps/>
          <w:lang w:val="es-ES_tradnl" w:eastAsia="en-US"/>
        </w:rPr>
      </w:pPr>
      <w:r w:rsidRPr="00037375">
        <w:rPr>
          <w:rFonts w:ascii="Arial" w:eastAsia="Cambria" w:hAnsi="Arial" w:cs="Arial"/>
          <w:b/>
          <w:caps/>
          <w:lang w:val="es-ES_tradnl" w:eastAsia="en-US"/>
        </w:rPr>
        <w:t xml:space="preserve">resultando que: </w:t>
      </w:r>
    </w:p>
    <w:p w:rsidR="00037375" w:rsidRPr="00037375" w:rsidRDefault="00037375" w:rsidP="00037375">
      <w:pPr>
        <w:ind w:left="1276" w:hanging="1276"/>
        <w:jc w:val="both"/>
        <w:rPr>
          <w:rFonts w:ascii="Arial" w:eastAsia="Cambria" w:hAnsi="Arial" w:cs="Arial"/>
          <w:b/>
          <w:lang w:val="es-ES_tradnl" w:eastAsia="en-US"/>
        </w:rPr>
      </w:pPr>
    </w:p>
    <w:p w:rsidR="00037375" w:rsidRPr="00037375" w:rsidRDefault="00037375" w:rsidP="00037375">
      <w:pPr>
        <w:numPr>
          <w:ilvl w:val="0"/>
          <w:numId w:val="20"/>
        </w:numPr>
        <w:ind w:left="425" w:right="284" w:hanging="425"/>
        <w:jc w:val="both"/>
        <w:rPr>
          <w:rFonts w:ascii="Arial" w:hAnsi="Arial" w:cs="Arial"/>
        </w:rPr>
      </w:pPr>
      <w:r w:rsidRPr="00037375">
        <w:rPr>
          <w:rFonts w:ascii="Arial" w:hAnsi="Arial" w:cs="Arial"/>
        </w:rPr>
        <w:t>El Estatuto Orgánico del ITCR, establece:</w:t>
      </w:r>
    </w:p>
    <w:p w:rsidR="00037375" w:rsidRPr="00037375" w:rsidRDefault="00037375" w:rsidP="00037375">
      <w:pPr>
        <w:ind w:right="284"/>
        <w:jc w:val="both"/>
        <w:rPr>
          <w:rFonts w:ascii="Arial" w:hAnsi="Arial" w:cs="Arial"/>
        </w:rPr>
      </w:pPr>
    </w:p>
    <w:p w:rsidR="00037375" w:rsidRPr="00037375" w:rsidRDefault="00037375" w:rsidP="00037375">
      <w:pPr>
        <w:ind w:left="720" w:right="430"/>
        <w:jc w:val="both"/>
        <w:rPr>
          <w:rFonts w:ascii="Arial" w:hAnsi="Arial" w:cs="Arial"/>
          <w:b/>
          <w:i/>
          <w:sz w:val="22"/>
          <w:szCs w:val="22"/>
          <w:lang w:val="es-ES_tradnl"/>
        </w:rPr>
      </w:pPr>
      <w:r w:rsidRPr="00037375">
        <w:rPr>
          <w:rFonts w:ascii="Arial" w:hAnsi="Arial" w:cs="Arial"/>
          <w:b/>
          <w:i/>
          <w:sz w:val="20"/>
          <w:szCs w:val="20"/>
          <w:lang w:val="es-ES_tradnl"/>
        </w:rPr>
        <w:t>“</w:t>
      </w:r>
      <w:r w:rsidRPr="00037375">
        <w:rPr>
          <w:rFonts w:ascii="Arial" w:hAnsi="Arial" w:cs="Arial"/>
          <w:b/>
          <w:i/>
          <w:sz w:val="22"/>
          <w:szCs w:val="22"/>
          <w:lang w:val="es-ES_tradnl"/>
        </w:rPr>
        <w:t xml:space="preserve">ARTÍCULO 18 </w:t>
      </w:r>
    </w:p>
    <w:p w:rsidR="00037375" w:rsidRPr="00037375" w:rsidRDefault="00037375" w:rsidP="00037375">
      <w:pPr>
        <w:ind w:left="720" w:right="430"/>
        <w:jc w:val="both"/>
        <w:rPr>
          <w:rFonts w:ascii="Arial" w:hAnsi="Arial" w:cs="Arial"/>
          <w:i/>
          <w:sz w:val="22"/>
          <w:szCs w:val="22"/>
          <w:lang w:val="es-ES_tradnl"/>
        </w:rPr>
      </w:pPr>
      <w:r w:rsidRPr="00037375">
        <w:rPr>
          <w:rFonts w:ascii="Arial" w:hAnsi="Arial" w:cs="Arial"/>
          <w:i/>
          <w:sz w:val="22"/>
          <w:szCs w:val="22"/>
          <w:lang w:val="es-ES_tradnl"/>
        </w:rPr>
        <w:t xml:space="preserve">Son funciones del Consejo Institucional: </w:t>
      </w:r>
    </w:p>
    <w:p w:rsidR="00037375" w:rsidRPr="00037375" w:rsidRDefault="00037375" w:rsidP="00037375">
      <w:pPr>
        <w:ind w:left="720" w:right="430"/>
        <w:jc w:val="both"/>
        <w:rPr>
          <w:rFonts w:ascii="Arial" w:hAnsi="Arial" w:cs="Arial"/>
          <w:i/>
          <w:sz w:val="22"/>
          <w:szCs w:val="22"/>
          <w:lang w:val="es-ES_tradnl"/>
        </w:rPr>
      </w:pPr>
      <w:r w:rsidRPr="00037375">
        <w:rPr>
          <w:rFonts w:ascii="Arial" w:hAnsi="Arial" w:cs="Arial"/>
          <w:i/>
          <w:sz w:val="22"/>
          <w:szCs w:val="22"/>
          <w:lang w:val="es-ES_tradnl"/>
        </w:rPr>
        <w:t>…</w:t>
      </w:r>
    </w:p>
    <w:p w:rsidR="00037375" w:rsidRPr="00037375" w:rsidRDefault="00037375" w:rsidP="00037375">
      <w:pPr>
        <w:numPr>
          <w:ilvl w:val="0"/>
          <w:numId w:val="21"/>
        </w:numPr>
        <w:ind w:left="1134" w:right="430" w:hanging="425"/>
        <w:jc w:val="both"/>
        <w:rPr>
          <w:rFonts w:ascii="Arial" w:hAnsi="Arial" w:cs="Arial"/>
          <w:i/>
          <w:sz w:val="22"/>
          <w:szCs w:val="22"/>
          <w:lang w:val="es-ES_tradnl"/>
        </w:rPr>
      </w:pPr>
      <w:r w:rsidRPr="00037375">
        <w:rPr>
          <w:rFonts w:ascii="Arial" w:hAnsi="Arial" w:cs="Arial"/>
          <w:i/>
          <w:sz w:val="22"/>
          <w:szCs w:val="22"/>
          <w:lang w:val="es-ES_tradnl"/>
        </w:rPr>
        <w:t>Decidir, previa consulta al Consejo de Vicerrectoría respectivo, sobre la creación, modificación, traslado, o eliminación de carreras y programas del Instituto</w:t>
      </w:r>
    </w:p>
    <w:p w:rsidR="00037375" w:rsidRPr="00037375" w:rsidRDefault="00037375" w:rsidP="00037375">
      <w:pPr>
        <w:ind w:left="720" w:right="430"/>
        <w:jc w:val="both"/>
        <w:rPr>
          <w:rFonts w:ascii="Arial" w:hAnsi="Arial" w:cs="Arial"/>
          <w:i/>
          <w:sz w:val="22"/>
          <w:szCs w:val="22"/>
          <w:lang w:val="es-ES_tradnl"/>
        </w:rPr>
      </w:pPr>
      <w:r w:rsidRPr="00037375">
        <w:rPr>
          <w:rFonts w:ascii="Arial" w:hAnsi="Arial" w:cs="Arial"/>
          <w:i/>
          <w:sz w:val="22"/>
          <w:szCs w:val="22"/>
          <w:lang w:val="es-ES_tradnl"/>
        </w:rPr>
        <w:t>…</w:t>
      </w:r>
    </w:p>
    <w:p w:rsidR="00037375" w:rsidRPr="00037375" w:rsidRDefault="00037375" w:rsidP="00037375">
      <w:pPr>
        <w:ind w:left="425" w:right="284"/>
        <w:jc w:val="both"/>
      </w:pPr>
    </w:p>
    <w:p w:rsidR="00037375" w:rsidRPr="00037375" w:rsidRDefault="00037375" w:rsidP="00037375">
      <w:pPr>
        <w:numPr>
          <w:ilvl w:val="0"/>
          <w:numId w:val="20"/>
        </w:numPr>
        <w:ind w:left="425" w:right="284" w:hanging="425"/>
        <w:jc w:val="both"/>
        <w:rPr>
          <w:rFonts w:ascii="Arial" w:hAnsi="Arial" w:cs="Arial"/>
        </w:rPr>
      </w:pPr>
      <w:r w:rsidRPr="00037375">
        <w:rPr>
          <w:rFonts w:ascii="Arial" w:hAnsi="Arial" w:cs="Arial"/>
        </w:rPr>
        <w:t>El Consejo Institucional en la Sesión No. 2102, Artículo 5, del 18 de febrero del 2000, aprobó la “creación del Programa de Maestría en Educación Técnica, con mención en Industrial y Agropecuaria”.</w:t>
      </w:r>
    </w:p>
    <w:p w:rsidR="00037375" w:rsidRPr="00037375" w:rsidRDefault="00037375" w:rsidP="00037375">
      <w:pPr>
        <w:ind w:left="360"/>
        <w:jc w:val="both"/>
        <w:rPr>
          <w:rFonts w:ascii="Arial" w:eastAsia="Calibri" w:hAnsi="Arial" w:cs="Arial"/>
          <w:b/>
          <w:color w:val="FF0000"/>
          <w:sz w:val="28"/>
          <w:szCs w:val="28"/>
          <w:lang w:val="es-ES_tradnl"/>
        </w:rPr>
      </w:pPr>
    </w:p>
    <w:p w:rsidR="00037375" w:rsidRPr="00037375" w:rsidRDefault="00037375" w:rsidP="00037375">
      <w:pPr>
        <w:ind w:left="1440" w:hanging="1440"/>
        <w:jc w:val="both"/>
        <w:rPr>
          <w:rFonts w:ascii="Arial" w:eastAsia="Cambria" w:hAnsi="Arial" w:cs="Arial"/>
          <w:b/>
          <w:caps/>
          <w:lang w:val="es-ES_tradnl" w:eastAsia="en-US"/>
        </w:rPr>
      </w:pPr>
      <w:r w:rsidRPr="00037375">
        <w:rPr>
          <w:rFonts w:ascii="Arial" w:eastAsia="Cambria" w:hAnsi="Arial" w:cs="Arial"/>
          <w:b/>
          <w:caps/>
          <w:lang w:val="es-ES_tradnl" w:eastAsia="en-US"/>
        </w:rPr>
        <w:t xml:space="preserve">Considerando que: </w:t>
      </w:r>
    </w:p>
    <w:p w:rsidR="00037375" w:rsidRPr="00037375" w:rsidRDefault="00037375" w:rsidP="00037375">
      <w:pPr>
        <w:ind w:left="1276" w:hanging="1276"/>
        <w:jc w:val="both"/>
        <w:rPr>
          <w:rFonts w:ascii="Arial" w:eastAsia="Cambria" w:hAnsi="Arial" w:cs="Arial"/>
          <w:b/>
          <w:lang w:val="es-ES_tradnl" w:eastAsia="en-US"/>
        </w:rPr>
      </w:pPr>
    </w:p>
    <w:p w:rsidR="00037375" w:rsidRDefault="00037375" w:rsidP="00037375">
      <w:pPr>
        <w:numPr>
          <w:ilvl w:val="0"/>
          <w:numId w:val="22"/>
        </w:numPr>
        <w:ind w:right="284"/>
        <w:jc w:val="both"/>
        <w:rPr>
          <w:rFonts w:ascii="Arial" w:hAnsi="Arial" w:cs="Arial"/>
        </w:rPr>
      </w:pPr>
      <w:r w:rsidRPr="00037375">
        <w:rPr>
          <w:rFonts w:ascii="Arial" w:hAnsi="Arial" w:cs="Arial"/>
        </w:rPr>
        <w:t>La Secretaría del Consejo Institucional recibió el oficio DP-033-2017, con fecha de recibido 23 de mayo de 2017, suscrito por Ing. Carmen Elena Madriz PhD, Directora de Posgrado, dirigido al Dr. Julio Calvo Alvarado, Presidente del Consejo Institucional, en el cual remite la corrección de destinatario del Comunicado de Acuerdo referente a la aprobación de los cambios al Programa de Maestría en Educación Técnica, como se detalla a continuación:</w:t>
      </w:r>
    </w:p>
    <w:p w:rsidR="00037375" w:rsidRPr="00037375" w:rsidRDefault="00037375" w:rsidP="00EA64FF">
      <w:pPr>
        <w:ind w:right="284"/>
        <w:jc w:val="both"/>
        <w:rPr>
          <w:rFonts w:ascii="Arial" w:hAnsi="Arial" w:cs="Arial"/>
        </w:rPr>
      </w:pPr>
    </w:p>
    <w:p w:rsidR="00037375" w:rsidRPr="00037375" w:rsidRDefault="00037375" w:rsidP="00037375">
      <w:pPr>
        <w:pBdr>
          <w:top w:val="nil"/>
          <w:left w:val="nil"/>
          <w:bottom w:val="nil"/>
          <w:right w:val="nil"/>
          <w:between w:val="nil"/>
          <w:bar w:val="nil"/>
        </w:pBdr>
        <w:ind w:left="1134" w:right="1275" w:hanging="425"/>
        <w:jc w:val="both"/>
        <w:outlineLvl w:val="0"/>
        <w:rPr>
          <w:rFonts w:ascii="Arial" w:eastAsia="Arial Unicode MS" w:hAnsi="Arial" w:cs="Arial"/>
          <w:b/>
          <w:bCs/>
          <w:i/>
          <w:sz w:val="22"/>
          <w:szCs w:val="22"/>
          <w:bdr w:val="nil"/>
          <w:lang w:val="es-ES_tradnl" w:eastAsia="en-US"/>
        </w:rPr>
      </w:pPr>
      <w:r w:rsidRPr="00037375">
        <w:rPr>
          <w:rFonts w:ascii="Arial" w:eastAsia="Cambria" w:hAnsi="Arial" w:cs="Arial"/>
          <w:i/>
          <w:sz w:val="22"/>
          <w:szCs w:val="22"/>
          <w:lang w:val="es-ES_tradnl" w:eastAsia="en-US"/>
        </w:rPr>
        <w:t>“</w:t>
      </w:r>
      <w:r w:rsidRPr="00037375">
        <w:rPr>
          <w:rFonts w:ascii="Arial" w:eastAsia="Arial Unicode MS" w:hAnsi="Arial" w:cs="Arial"/>
          <w:b/>
          <w:bCs/>
          <w:i/>
          <w:sz w:val="22"/>
          <w:szCs w:val="22"/>
          <w:bdr w:val="nil"/>
          <w:lang w:val="es-ES_tradnl" w:eastAsia="en-US"/>
        </w:rPr>
        <w:t>Considerando que:</w:t>
      </w:r>
    </w:p>
    <w:p w:rsidR="00037375" w:rsidRPr="00037375" w:rsidRDefault="00037375" w:rsidP="00037375">
      <w:pPr>
        <w:pBdr>
          <w:top w:val="nil"/>
          <w:left w:val="nil"/>
          <w:bottom w:val="nil"/>
          <w:right w:val="nil"/>
          <w:between w:val="nil"/>
          <w:bar w:val="nil"/>
        </w:pBdr>
        <w:ind w:left="1134" w:right="1275" w:hanging="425"/>
        <w:jc w:val="both"/>
        <w:outlineLvl w:val="0"/>
        <w:rPr>
          <w:rFonts w:ascii="Arial" w:eastAsia="Arial Unicode MS" w:hAnsi="Arial" w:cs="Arial"/>
          <w:bCs/>
          <w:i/>
          <w:sz w:val="22"/>
          <w:szCs w:val="22"/>
          <w:bdr w:val="nil"/>
          <w:lang w:val="es-ES_tradnl" w:eastAsia="en-US"/>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lastRenderedPageBreak/>
        <w:t>De acuerdo a las tendencias actuales de la Educación Técnica y sus demandas en la sociedad, se hace pertinente realizar cambios en los programas de la malla curricular vigente, así como en los contenidos de los cursos para responder a las exigencias del sector educación, específicamente modalidad técnica y el sector empresarial.</w:t>
      </w:r>
    </w:p>
    <w:p w:rsidR="00037375" w:rsidRPr="00037375" w:rsidRDefault="00037375" w:rsidP="00037375">
      <w:pPr>
        <w:pBdr>
          <w:top w:val="nil"/>
          <w:left w:val="nil"/>
          <w:bottom w:val="nil"/>
          <w:right w:val="nil"/>
          <w:between w:val="nil"/>
          <w:bar w:val="nil"/>
        </w:pBdr>
        <w:ind w:left="1134"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El plan de estudios se aprueba en 1999, no se indica su modalidad y se hace un rediseño que modifica la propuesta inicial en el 2005, es decir alrededor de doce años que el plan de estudios no ha realizado acciones de mejora. Sin embargo, no se indica en la aprobación de la modalidad del posgrado.</w:t>
      </w:r>
    </w:p>
    <w:p w:rsidR="00037375" w:rsidRPr="00037375" w:rsidRDefault="00037375" w:rsidP="00037375">
      <w:pPr>
        <w:pBdr>
          <w:top w:val="nil"/>
          <w:left w:val="nil"/>
          <w:bottom w:val="nil"/>
          <w:right w:val="nil"/>
          <w:between w:val="nil"/>
          <w:bar w:val="nil"/>
        </w:pBdr>
        <w:ind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Que el posgrado requiere de un perfil orientado a las tendencias de la Educación Técnica y Formación Profesional.</w:t>
      </w:r>
    </w:p>
    <w:p w:rsidR="00037375" w:rsidRPr="00037375" w:rsidRDefault="00037375" w:rsidP="00037375">
      <w:pPr>
        <w:pBdr>
          <w:top w:val="nil"/>
          <w:left w:val="nil"/>
          <w:bottom w:val="nil"/>
          <w:right w:val="nil"/>
          <w:between w:val="nil"/>
          <w:bar w:val="nil"/>
        </w:pBdr>
        <w:ind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Se realiza la aprobación de las líneas de investigación y especificar la importancia de una modalidad académica y profesional dentro del rediseño curricular de la Maestría, Sesión por consulta formal 04-2017, realizado el 31 de marzo del presente año.</w:t>
      </w:r>
    </w:p>
    <w:p w:rsidR="00037375" w:rsidRPr="00037375" w:rsidRDefault="00037375" w:rsidP="00037375">
      <w:pPr>
        <w:pBdr>
          <w:top w:val="nil"/>
          <w:left w:val="nil"/>
          <w:bottom w:val="nil"/>
          <w:right w:val="nil"/>
          <w:between w:val="nil"/>
          <w:bar w:val="nil"/>
        </w:pBdr>
        <w:ind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La corriente pedagógica para referirse a la educación técnica se transforma y evoluciona a nivel mundial como educación técnica y formación profesional.</w:t>
      </w:r>
    </w:p>
    <w:p w:rsidR="00037375" w:rsidRPr="00037375" w:rsidRDefault="00037375" w:rsidP="00037375">
      <w:pPr>
        <w:pBdr>
          <w:top w:val="nil"/>
          <w:left w:val="nil"/>
          <w:bottom w:val="nil"/>
          <w:right w:val="nil"/>
          <w:between w:val="nil"/>
          <w:bar w:val="nil"/>
        </w:pBdr>
        <w:ind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 xml:space="preserve">El documento propuesto de rediseño es un proceso y producto de reflexión, junto al análisis que permite una participación que involucró a estudiantes, docentes, administrativos, egresados, autoridades, así como a empleadores. </w:t>
      </w:r>
    </w:p>
    <w:p w:rsidR="00037375" w:rsidRPr="00037375" w:rsidRDefault="00037375" w:rsidP="00037375">
      <w:pPr>
        <w:pBdr>
          <w:top w:val="nil"/>
          <w:left w:val="nil"/>
          <w:bottom w:val="nil"/>
          <w:right w:val="nil"/>
          <w:between w:val="nil"/>
          <w:bar w:val="nil"/>
        </w:pBdr>
        <w:ind w:left="1134"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La Escuela aprueba en la Sesión Ordinaria 05-2017 del 17 de abril del 2017, artículo 4.b. el rediseño curricular para la Maestría en Educación Técnica, indicando la modalidad profesional y académica.</w:t>
      </w:r>
    </w:p>
    <w:p w:rsidR="00037375" w:rsidRPr="00037375" w:rsidRDefault="00037375" w:rsidP="00037375">
      <w:pPr>
        <w:pBdr>
          <w:top w:val="nil"/>
          <w:left w:val="nil"/>
          <w:bottom w:val="nil"/>
          <w:right w:val="nil"/>
          <w:between w:val="nil"/>
          <w:bar w:val="nil"/>
        </w:pBdr>
        <w:ind w:left="1134"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 xml:space="preserve">El proceso de rediseño permite una evaluación de la propuesta curricular presentada, junto con los atestados de profesores y programas de los cursos. Dicho documento fue socializado y avalado en diversas sesiones en el Consejo de la Escuela, con el fin de evidenciar el compromiso de transparencia y calidad educativa que a la fecha ha caracterizado a dicha Escuela. </w:t>
      </w:r>
    </w:p>
    <w:p w:rsidR="00037375" w:rsidRPr="00037375" w:rsidRDefault="00037375" w:rsidP="00037375">
      <w:pPr>
        <w:pBdr>
          <w:top w:val="nil"/>
          <w:left w:val="nil"/>
          <w:bottom w:val="nil"/>
          <w:right w:val="nil"/>
          <w:between w:val="nil"/>
          <w:bar w:val="nil"/>
        </w:pBdr>
        <w:ind w:left="1134"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La propuesta fundamenta un objeto de estudio y sus áreas, acorde a las tendencias internacionales actuales de la disciplina, investigaciones en el educación técnica y formación profesional y describe las líneas de investigación, los ejes de conocimiento, curricular e institucional, así como los principios curriculares, estrategias metodológicas y evaluativas, resaltando la inclusión del tema de competencias, gestión y diseño curricular en su rediseño dentro de la fundamentación como en la parte de implementación descriptiva de cada programa.</w:t>
      </w:r>
    </w:p>
    <w:p w:rsidR="00037375" w:rsidRPr="00037375" w:rsidRDefault="00037375" w:rsidP="00037375">
      <w:pPr>
        <w:pBdr>
          <w:top w:val="nil"/>
          <w:left w:val="nil"/>
          <w:bottom w:val="nil"/>
          <w:right w:val="nil"/>
          <w:between w:val="nil"/>
          <w:bar w:val="nil"/>
        </w:pBdr>
        <w:ind w:left="1134"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La propuesta curricular plantea, como fin en sí mismo, formar profesionales de alto nivel en educación técnica y formación profesional.</w:t>
      </w:r>
    </w:p>
    <w:p w:rsidR="00037375" w:rsidRPr="00037375" w:rsidRDefault="00037375" w:rsidP="00037375">
      <w:pPr>
        <w:pBdr>
          <w:top w:val="nil"/>
          <w:left w:val="nil"/>
          <w:bottom w:val="nil"/>
          <w:right w:val="nil"/>
          <w:between w:val="nil"/>
          <w:bar w:val="nil"/>
        </w:pBdr>
        <w:ind w:left="1134"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lastRenderedPageBreak/>
        <w:t>El perfil académico profesional se encuentra descrito por saberes: conocer, hacer, convivir y ser, ajustado a la visión del TEC que indica: "El Tecnológico de Costa Rica será una Institución de reconocido prestigio nacional e internacional, que contribuirá decididamente a la edificación de una sociedad más solidaria, incluyente, respetuosa de los derechos humanos y del ambiente, mediante la sólida formación de recurso humano, la promoción de la investigación e innovación tecnológica, la iniciativa emprendedora y la estrecha vinculación con los sectores sociales y productivos.”</w:t>
      </w:r>
    </w:p>
    <w:p w:rsidR="00037375" w:rsidRPr="00037375" w:rsidRDefault="00037375" w:rsidP="00037375">
      <w:pPr>
        <w:pBdr>
          <w:top w:val="nil"/>
          <w:left w:val="nil"/>
          <w:bottom w:val="nil"/>
          <w:right w:val="nil"/>
          <w:between w:val="nil"/>
          <w:bar w:val="nil"/>
        </w:pBdr>
        <w:ind w:left="1134"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El rediseño curricular plantea elementos importantes, considerando temáticas como: el cambio climático, gestión del talento humano, administración educativa, ética, equidad y legislación educativa y fortalece el aspecto de investigación, según cada modalidad.</w:t>
      </w:r>
    </w:p>
    <w:p w:rsidR="00037375" w:rsidRPr="00037375" w:rsidRDefault="00037375" w:rsidP="00037375">
      <w:pPr>
        <w:pBdr>
          <w:top w:val="nil"/>
          <w:left w:val="nil"/>
          <w:bottom w:val="nil"/>
          <w:right w:val="nil"/>
          <w:between w:val="nil"/>
          <w:bar w:val="nil"/>
        </w:pBdr>
        <w:ind w:left="1134"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El documento cumple con las especificaciones determinadas en el “</w:t>
      </w:r>
      <w:proofErr w:type="spellStart"/>
      <w:r w:rsidRPr="00037375">
        <w:rPr>
          <w:rFonts w:ascii="Arial" w:eastAsia="Calibri" w:hAnsi="Arial" w:cs="Arial"/>
          <w:bCs/>
          <w:i/>
          <w:color w:val="000000"/>
          <w:kern w:val="1"/>
          <w:sz w:val="22"/>
          <w:szCs w:val="22"/>
          <w:u w:color="000000"/>
          <w:bdr w:val="nil"/>
          <w:lang w:val="es-ES_tradnl" w:eastAsia="es-CR"/>
        </w:rPr>
        <w:t>Fluxograma</w:t>
      </w:r>
      <w:proofErr w:type="spellEnd"/>
      <w:r w:rsidRPr="00037375">
        <w:rPr>
          <w:rFonts w:ascii="Arial" w:eastAsia="Calibri" w:hAnsi="Arial" w:cs="Arial"/>
          <w:bCs/>
          <w:i/>
          <w:color w:val="000000"/>
          <w:kern w:val="1"/>
          <w:sz w:val="22"/>
          <w:szCs w:val="22"/>
          <w:u w:color="000000"/>
          <w:bdr w:val="nil"/>
          <w:lang w:val="es-ES_tradnl" w:eastAsia="es-CR"/>
        </w:rPr>
        <w:t xml:space="preserve"> para la creación de nuevas carreras o la modificación de carreras ya existentes” y la “Nomenclatura de grados y títulos de la educación superior universitaria estatal”, al cumplir con los mínimos y máximos de créditos, para ambas modalidades.</w:t>
      </w:r>
    </w:p>
    <w:p w:rsidR="00037375" w:rsidRPr="00037375" w:rsidRDefault="00037375" w:rsidP="00037375">
      <w:pPr>
        <w:pBdr>
          <w:top w:val="nil"/>
          <w:left w:val="nil"/>
          <w:bottom w:val="nil"/>
          <w:right w:val="nil"/>
          <w:between w:val="nil"/>
          <w:bar w:val="nil"/>
        </w:pBdr>
        <w:ind w:left="1134"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Describe las líneas de investigación considerando las áreas según el objeto de estudio.</w:t>
      </w:r>
    </w:p>
    <w:p w:rsidR="00037375" w:rsidRPr="00037375" w:rsidRDefault="00037375" w:rsidP="00037375">
      <w:pPr>
        <w:pBdr>
          <w:top w:val="nil"/>
          <w:left w:val="nil"/>
          <w:bottom w:val="nil"/>
          <w:right w:val="nil"/>
          <w:between w:val="nil"/>
          <w:bar w:val="nil"/>
        </w:pBdr>
        <w:ind w:left="1134"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El documento sustenta un plan de transición con una vigencia hasta el 2020 y estableciendo un cuadro de equivalencias para el plan propuesto.</w:t>
      </w:r>
    </w:p>
    <w:p w:rsidR="00037375" w:rsidRPr="00037375" w:rsidRDefault="00037375" w:rsidP="00037375">
      <w:pPr>
        <w:pBdr>
          <w:top w:val="nil"/>
          <w:left w:val="nil"/>
          <w:bottom w:val="nil"/>
          <w:right w:val="nil"/>
          <w:between w:val="nil"/>
          <w:bar w:val="nil"/>
        </w:pBdr>
        <w:ind w:left="1134"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El documento consultado se sustenta según lo descrito a nivel curricular por el “Manual para el diseño de planes de estudio y actualizaciones curriculares” (2000). Asimismo, presenta la descripción de cursos anexando el programa según la plantilla institucional solicitada por la Vicerrectoría de Docencia (Memorando ViDA-06-2014).</w:t>
      </w:r>
    </w:p>
    <w:p w:rsidR="00037375" w:rsidRPr="00037375" w:rsidRDefault="00037375" w:rsidP="00037375">
      <w:pPr>
        <w:pBdr>
          <w:top w:val="nil"/>
          <w:left w:val="nil"/>
          <w:bottom w:val="nil"/>
          <w:right w:val="nil"/>
          <w:between w:val="nil"/>
          <w:bar w:val="nil"/>
        </w:pBdr>
        <w:ind w:left="1134"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 xml:space="preserve">Los requisitos de ingreso describen puntualmente la población meta e indica que el candidato debe cumplir con lo normado en el artículo de ingreso de la carrera según cada modalidad. Incluso establece cursos </w:t>
      </w:r>
      <w:proofErr w:type="spellStart"/>
      <w:r w:rsidRPr="00037375">
        <w:rPr>
          <w:rFonts w:ascii="Arial" w:eastAsia="Calibri" w:hAnsi="Arial" w:cs="Arial"/>
          <w:bCs/>
          <w:i/>
          <w:color w:val="000000"/>
          <w:kern w:val="1"/>
          <w:sz w:val="22"/>
          <w:szCs w:val="22"/>
          <w:u w:color="000000"/>
          <w:bdr w:val="nil"/>
          <w:lang w:val="es-ES_tradnl" w:eastAsia="es-CR"/>
        </w:rPr>
        <w:t>nivelatorios</w:t>
      </w:r>
      <w:proofErr w:type="spellEnd"/>
      <w:r w:rsidRPr="00037375">
        <w:rPr>
          <w:rFonts w:ascii="Arial" w:eastAsia="Calibri" w:hAnsi="Arial" w:cs="Arial"/>
          <w:bCs/>
          <w:i/>
          <w:color w:val="000000"/>
          <w:kern w:val="1"/>
          <w:sz w:val="22"/>
          <w:szCs w:val="22"/>
          <w:u w:color="000000"/>
          <w:bdr w:val="nil"/>
          <w:lang w:val="es-ES_tradnl" w:eastAsia="es-CR"/>
        </w:rPr>
        <w:t>.</w:t>
      </w:r>
    </w:p>
    <w:p w:rsidR="00037375" w:rsidRPr="00037375" w:rsidRDefault="00037375" w:rsidP="00037375">
      <w:pPr>
        <w:pBdr>
          <w:top w:val="nil"/>
          <w:left w:val="nil"/>
          <w:bottom w:val="nil"/>
          <w:right w:val="nil"/>
          <w:between w:val="nil"/>
          <w:bar w:val="nil"/>
        </w:pBdr>
        <w:ind w:left="1134" w:right="1275" w:hanging="425"/>
        <w:jc w:val="both"/>
        <w:outlineLvl w:val="0"/>
        <w:rPr>
          <w:rFonts w:ascii="Arial" w:eastAsia="Arial Unicode MS" w:hAnsi="Arial" w:cs="Arial"/>
          <w:bCs/>
          <w:i/>
          <w:sz w:val="22"/>
          <w:szCs w:val="22"/>
          <w:bdr w:val="nil"/>
          <w:lang w:val="es-ES_tradnl" w:eastAsia="en-US"/>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Describe concretamente los requisitos de graduación y la modalidad de Trabajo Final de Graduación informe final de graduación (modalidad profesional) y tesis (modalidad académica), junto con una reglamentación acorde a una rigurosidad científica de dichas modalidades. Además, se adjunta los Currículo vitae de los profesores y títulos escaneados, como los programas por cuatrimestre.</w:t>
      </w:r>
    </w:p>
    <w:p w:rsidR="00037375" w:rsidRPr="00037375" w:rsidRDefault="00037375" w:rsidP="00037375">
      <w:pPr>
        <w:pBdr>
          <w:top w:val="nil"/>
          <w:left w:val="nil"/>
          <w:bottom w:val="nil"/>
          <w:right w:val="nil"/>
          <w:between w:val="nil"/>
          <w:bar w:val="nil"/>
        </w:pBdr>
        <w:ind w:right="127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3"/>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r w:rsidRPr="00037375">
        <w:rPr>
          <w:rFonts w:ascii="Arial" w:eastAsia="Calibri" w:hAnsi="Arial" w:cs="Arial"/>
          <w:bCs/>
          <w:i/>
          <w:color w:val="000000"/>
          <w:kern w:val="1"/>
          <w:sz w:val="22"/>
          <w:szCs w:val="22"/>
          <w:u w:color="000000"/>
          <w:bdr w:val="nil"/>
          <w:lang w:val="es-ES_tradnl" w:eastAsia="es-CR"/>
        </w:rPr>
        <w:t>Se analiza la propuesta del rediseño curricular de Maestría en Educación Técnica, modalidad profesional y académica para su aval.</w:t>
      </w:r>
    </w:p>
    <w:p w:rsidR="00037375" w:rsidRPr="00037375" w:rsidRDefault="00037375" w:rsidP="00037375">
      <w:pPr>
        <w:pBdr>
          <w:top w:val="nil"/>
          <w:left w:val="nil"/>
          <w:bottom w:val="nil"/>
          <w:right w:val="nil"/>
          <w:between w:val="nil"/>
          <w:bar w:val="nil"/>
        </w:pBdr>
        <w:ind w:left="1134" w:right="1275" w:hanging="425"/>
        <w:jc w:val="both"/>
        <w:outlineLvl w:val="0"/>
        <w:rPr>
          <w:rFonts w:ascii="Arial" w:eastAsia="Arial Unicode MS" w:hAnsi="Arial" w:cs="Arial"/>
          <w:bCs/>
          <w:i/>
          <w:sz w:val="22"/>
          <w:szCs w:val="22"/>
          <w:bdr w:val="nil"/>
          <w:lang w:val="es-ES_tradnl" w:eastAsia="en-US"/>
        </w:rPr>
      </w:pPr>
    </w:p>
    <w:p w:rsidR="00037375" w:rsidRPr="00037375" w:rsidRDefault="00037375" w:rsidP="00037375">
      <w:pPr>
        <w:pBdr>
          <w:top w:val="nil"/>
          <w:left w:val="nil"/>
          <w:bottom w:val="nil"/>
          <w:right w:val="nil"/>
          <w:between w:val="nil"/>
          <w:bar w:val="nil"/>
        </w:pBdr>
        <w:ind w:left="1134" w:right="1275" w:hanging="425"/>
        <w:jc w:val="both"/>
        <w:outlineLvl w:val="0"/>
        <w:rPr>
          <w:rFonts w:ascii="Arial" w:eastAsia="Arial Unicode MS" w:hAnsi="Arial" w:cs="Arial"/>
          <w:bCs/>
          <w:i/>
          <w:sz w:val="22"/>
          <w:szCs w:val="22"/>
          <w:bdr w:val="nil"/>
          <w:lang w:val="es-CR" w:eastAsia="en-US"/>
        </w:rPr>
      </w:pPr>
      <w:r w:rsidRPr="00037375">
        <w:rPr>
          <w:rFonts w:ascii="Arial" w:eastAsia="Arial Unicode MS" w:hAnsi="Arial" w:cs="Arial"/>
          <w:bCs/>
          <w:i/>
          <w:sz w:val="22"/>
          <w:szCs w:val="22"/>
          <w:bdr w:val="nil"/>
          <w:lang w:val="es-ES_tradnl" w:eastAsia="en-US"/>
        </w:rPr>
        <w:t>Por tanto:</w:t>
      </w:r>
    </w:p>
    <w:p w:rsidR="00037375" w:rsidRPr="00037375" w:rsidRDefault="00037375" w:rsidP="00037375">
      <w:pPr>
        <w:pBdr>
          <w:top w:val="nil"/>
          <w:left w:val="nil"/>
          <w:bottom w:val="nil"/>
          <w:right w:val="nil"/>
          <w:between w:val="nil"/>
          <w:bar w:val="nil"/>
        </w:pBdr>
        <w:ind w:left="1134" w:right="1275" w:hanging="425"/>
        <w:jc w:val="both"/>
        <w:outlineLvl w:val="0"/>
        <w:rPr>
          <w:rFonts w:ascii="Arial" w:eastAsia="Arial Unicode MS" w:hAnsi="Arial" w:cs="Arial"/>
          <w:bCs/>
          <w:i/>
          <w:sz w:val="22"/>
          <w:szCs w:val="22"/>
          <w:bdr w:val="nil"/>
          <w:lang w:val="es-CR" w:eastAsia="en-US"/>
        </w:rPr>
      </w:pPr>
    </w:p>
    <w:p w:rsidR="00037375" w:rsidRPr="00037375" w:rsidRDefault="00037375" w:rsidP="00037375">
      <w:pPr>
        <w:pBdr>
          <w:top w:val="nil"/>
          <w:left w:val="nil"/>
          <w:bottom w:val="nil"/>
          <w:right w:val="nil"/>
          <w:between w:val="nil"/>
          <w:bar w:val="nil"/>
        </w:pBdr>
        <w:ind w:left="1134" w:right="1275" w:hanging="425"/>
        <w:jc w:val="both"/>
        <w:outlineLvl w:val="0"/>
        <w:rPr>
          <w:rFonts w:ascii="Arial" w:eastAsia="Arial Unicode MS" w:hAnsi="Arial" w:cs="Arial"/>
          <w:bCs/>
          <w:i/>
          <w:sz w:val="22"/>
          <w:szCs w:val="22"/>
          <w:bdr w:val="nil"/>
          <w:lang w:val="es-CR" w:eastAsia="en-US"/>
        </w:rPr>
      </w:pPr>
      <w:r w:rsidRPr="00037375">
        <w:rPr>
          <w:rFonts w:ascii="Arial" w:eastAsia="Arial Unicode MS" w:hAnsi="Arial" w:cs="Arial"/>
          <w:bCs/>
          <w:i/>
          <w:sz w:val="22"/>
          <w:szCs w:val="22"/>
          <w:bdr w:val="nil"/>
          <w:lang w:val="es-CR" w:eastAsia="en-US"/>
        </w:rPr>
        <w:t>SE ACUERDA:</w:t>
      </w:r>
    </w:p>
    <w:p w:rsidR="00037375" w:rsidRPr="00037375" w:rsidRDefault="00037375" w:rsidP="00037375">
      <w:p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ES_tradnl" w:eastAsia="es-CR"/>
        </w:rPr>
      </w:pPr>
    </w:p>
    <w:p w:rsidR="00037375" w:rsidRPr="00037375" w:rsidRDefault="00037375" w:rsidP="00037375">
      <w:pPr>
        <w:numPr>
          <w:ilvl w:val="0"/>
          <w:numId w:val="24"/>
        </w:numPr>
        <w:pBdr>
          <w:top w:val="nil"/>
          <w:left w:val="nil"/>
          <w:bottom w:val="nil"/>
          <w:right w:val="nil"/>
          <w:between w:val="nil"/>
          <w:bar w:val="nil"/>
        </w:pBdr>
        <w:ind w:left="1134" w:right="1275" w:hanging="425"/>
        <w:jc w:val="both"/>
        <w:outlineLvl w:val="0"/>
        <w:rPr>
          <w:rFonts w:ascii="Arial" w:eastAsia="Calibri" w:hAnsi="Arial" w:cs="Arial"/>
          <w:bCs/>
          <w:i/>
          <w:color w:val="000000"/>
          <w:kern w:val="1"/>
          <w:sz w:val="22"/>
          <w:szCs w:val="22"/>
          <w:u w:color="000000"/>
          <w:bdr w:val="nil"/>
          <w:lang w:val="es-CR" w:eastAsia="es-CR"/>
        </w:rPr>
      </w:pPr>
      <w:r w:rsidRPr="00037375">
        <w:rPr>
          <w:rFonts w:ascii="Arial" w:eastAsia="Calibri" w:hAnsi="Arial" w:cs="Arial"/>
          <w:bCs/>
          <w:i/>
          <w:color w:val="000000"/>
          <w:kern w:val="1"/>
          <w:sz w:val="22"/>
          <w:szCs w:val="22"/>
          <w:u w:color="000000"/>
          <w:bdr w:val="nil"/>
          <w:lang w:val="es-ES_tradnl" w:eastAsia="es-CR"/>
        </w:rPr>
        <w:t xml:space="preserve">Aprobar los cambios al Programa de la Maestría en Educación Técnica, para presentarlo ante el Comité de Asuntos Académicos del Consejo Institucional para el respectivo aval y que este último remita la información a </w:t>
      </w:r>
      <w:proofErr w:type="spellStart"/>
      <w:r w:rsidRPr="00037375">
        <w:rPr>
          <w:rFonts w:ascii="Arial" w:eastAsia="Calibri" w:hAnsi="Arial" w:cs="Arial"/>
          <w:bCs/>
          <w:i/>
          <w:color w:val="000000"/>
          <w:kern w:val="1"/>
          <w:sz w:val="22"/>
          <w:szCs w:val="22"/>
          <w:u w:color="000000"/>
          <w:bdr w:val="nil"/>
          <w:lang w:val="es-ES_tradnl" w:eastAsia="es-CR"/>
        </w:rPr>
        <w:t>CONARE</w:t>
      </w:r>
      <w:proofErr w:type="spellEnd"/>
      <w:r w:rsidRPr="00037375">
        <w:rPr>
          <w:rFonts w:ascii="Arial" w:eastAsia="Calibri" w:hAnsi="Arial" w:cs="Arial"/>
          <w:bCs/>
          <w:i/>
          <w:color w:val="000000"/>
          <w:kern w:val="1"/>
          <w:sz w:val="22"/>
          <w:szCs w:val="22"/>
          <w:u w:color="000000"/>
          <w:bdr w:val="nil"/>
          <w:lang w:val="es-ES_tradnl" w:eastAsia="es-CR"/>
        </w:rPr>
        <w:t xml:space="preserve"> para la debida aceptación. </w:t>
      </w:r>
    </w:p>
    <w:p w:rsidR="00037375" w:rsidRPr="00037375" w:rsidRDefault="00037375" w:rsidP="00037375">
      <w:pPr>
        <w:ind w:left="360" w:right="284"/>
        <w:jc w:val="both"/>
        <w:rPr>
          <w:rFonts w:ascii="Arial" w:hAnsi="Arial" w:cs="Arial"/>
          <w:lang w:val="es-CR"/>
        </w:rPr>
      </w:pPr>
    </w:p>
    <w:p w:rsidR="00037375" w:rsidRPr="00037375" w:rsidRDefault="00037375" w:rsidP="00037375">
      <w:pPr>
        <w:numPr>
          <w:ilvl w:val="0"/>
          <w:numId w:val="22"/>
        </w:numPr>
        <w:ind w:right="284"/>
        <w:jc w:val="both"/>
        <w:rPr>
          <w:rFonts w:ascii="Arial" w:hAnsi="Arial" w:cs="Arial"/>
        </w:rPr>
      </w:pPr>
      <w:r w:rsidRPr="00037375">
        <w:rPr>
          <w:rFonts w:ascii="Arial" w:hAnsi="Arial" w:cs="Arial"/>
        </w:rPr>
        <w:t>El Consejo Institucional en la Sesión No.  3024, celebrada el 31 de mayo de 2017, traslada el oficio DP-033-2017, a la Comisión de Asuntos Académicos y Estudiantiles para su respectivo trámite.</w:t>
      </w:r>
    </w:p>
    <w:p w:rsidR="00037375" w:rsidRPr="00037375" w:rsidRDefault="00037375" w:rsidP="00037375">
      <w:pPr>
        <w:rPr>
          <w:rFonts w:ascii="Arial" w:eastAsia="Cambria" w:hAnsi="Arial"/>
          <w:lang w:val="es-ES_tradnl" w:eastAsia="en-US"/>
        </w:rPr>
      </w:pPr>
    </w:p>
    <w:p w:rsidR="00037375" w:rsidRPr="00037375" w:rsidRDefault="00037375" w:rsidP="00037375">
      <w:pPr>
        <w:numPr>
          <w:ilvl w:val="0"/>
          <w:numId w:val="22"/>
        </w:numPr>
        <w:ind w:right="284"/>
        <w:jc w:val="both"/>
        <w:rPr>
          <w:rFonts w:ascii="Arial" w:hAnsi="Arial" w:cs="Arial"/>
        </w:rPr>
      </w:pPr>
      <w:r w:rsidRPr="00037375">
        <w:rPr>
          <w:rFonts w:ascii="Arial" w:hAnsi="Arial" w:cs="Arial"/>
        </w:rPr>
        <w:t>La Comisión de Asuntos Académicos y Estudiantiles, en la reunión No.</w:t>
      </w:r>
      <w:r w:rsidRPr="00037375">
        <w:rPr>
          <w:rFonts w:ascii="Arial" w:hAnsi="Arial" w:cs="Arial"/>
          <w:bCs/>
        </w:rPr>
        <w:t xml:space="preserve">551-2017, realizada el </w:t>
      </w:r>
      <w:r w:rsidRPr="00037375">
        <w:rPr>
          <w:rFonts w:ascii="Arial" w:hAnsi="Arial" w:cs="Arial"/>
        </w:rPr>
        <w:t>6 de junio de 2017, recibe en el apartado de correspondencia el oficio DP-033-2017 y lo traslada como futuro punto de agenda.</w:t>
      </w:r>
    </w:p>
    <w:p w:rsidR="00037375" w:rsidRPr="00037375" w:rsidRDefault="00037375" w:rsidP="00037375">
      <w:pPr>
        <w:ind w:left="708"/>
        <w:rPr>
          <w:rFonts w:ascii="Arial" w:eastAsia="Calibri" w:hAnsi="Arial" w:cs="Arial"/>
          <w:lang w:val="es-CR"/>
        </w:rPr>
      </w:pPr>
    </w:p>
    <w:p w:rsidR="00037375" w:rsidRPr="00037375" w:rsidRDefault="00037375" w:rsidP="00037375">
      <w:pPr>
        <w:numPr>
          <w:ilvl w:val="0"/>
          <w:numId w:val="22"/>
        </w:numPr>
        <w:ind w:right="284"/>
        <w:jc w:val="both"/>
        <w:rPr>
          <w:rFonts w:ascii="Arial" w:hAnsi="Arial" w:cs="Arial"/>
        </w:rPr>
      </w:pPr>
      <w:r w:rsidRPr="00037375">
        <w:rPr>
          <w:rFonts w:ascii="Arial" w:hAnsi="Arial" w:cs="Arial"/>
        </w:rPr>
        <w:t>La Comisión de Asuntos Académicos y Estudiantiles, en la reunión No.</w:t>
      </w:r>
      <w:r w:rsidRPr="00037375">
        <w:rPr>
          <w:rFonts w:ascii="Arial" w:hAnsi="Arial" w:cs="Arial"/>
          <w:bCs/>
        </w:rPr>
        <w:t xml:space="preserve">553-2017, realizada el </w:t>
      </w:r>
      <w:r w:rsidRPr="00037375">
        <w:rPr>
          <w:rFonts w:ascii="Arial" w:hAnsi="Arial" w:cs="Arial"/>
        </w:rPr>
        <w:t>22 de junio de 2017, analiza la solicitud y considerando la pertinencia de este rediseño en la maestría en Educación Técnica y la calidad del estudio técnico realizado, dispone elevar al pleno la siguiente propuesta.</w:t>
      </w:r>
    </w:p>
    <w:p w:rsidR="00037375" w:rsidRPr="00037375" w:rsidRDefault="00037375" w:rsidP="00037375">
      <w:pPr>
        <w:rPr>
          <w:rFonts w:ascii="Arial" w:eastAsia="Cambria" w:hAnsi="Arial" w:cs="Arial"/>
          <w:b/>
          <w:lang w:val="es-ES_tradnl" w:eastAsia="en-US"/>
        </w:rPr>
      </w:pPr>
    </w:p>
    <w:p w:rsidR="00037375" w:rsidRPr="00037375" w:rsidRDefault="00037375" w:rsidP="00037375">
      <w:pPr>
        <w:rPr>
          <w:rFonts w:ascii="Arial" w:eastAsia="Cambria" w:hAnsi="Arial" w:cs="Arial"/>
          <w:b/>
          <w:lang w:val="es-ES_tradnl" w:eastAsia="en-US"/>
        </w:rPr>
      </w:pPr>
      <w:r w:rsidRPr="00037375">
        <w:rPr>
          <w:rFonts w:ascii="Arial" w:eastAsia="Cambria" w:hAnsi="Arial" w:cs="Arial"/>
          <w:b/>
          <w:lang w:val="es-ES_tradnl" w:eastAsia="en-US"/>
        </w:rPr>
        <w:t>SE</w:t>
      </w:r>
      <w:r w:rsidR="00EA64FF">
        <w:rPr>
          <w:rFonts w:ascii="Arial" w:eastAsia="Cambria" w:hAnsi="Arial" w:cs="Arial"/>
          <w:b/>
          <w:lang w:val="es-ES_tradnl" w:eastAsia="en-US"/>
        </w:rPr>
        <w:t xml:space="preserve"> ACUERDA</w:t>
      </w:r>
      <w:r w:rsidRPr="00037375">
        <w:rPr>
          <w:rFonts w:ascii="Arial" w:eastAsia="Cambria" w:hAnsi="Arial" w:cs="Arial"/>
          <w:b/>
          <w:lang w:val="es-ES_tradnl" w:eastAsia="en-US"/>
        </w:rPr>
        <w:t>:</w:t>
      </w:r>
    </w:p>
    <w:p w:rsidR="00037375" w:rsidRPr="00037375" w:rsidRDefault="00037375" w:rsidP="00037375">
      <w:pPr>
        <w:rPr>
          <w:rFonts w:ascii="Cambria" w:eastAsia="Cambria" w:hAnsi="Cambria"/>
          <w:b/>
          <w:i/>
          <w:sz w:val="20"/>
          <w:szCs w:val="20"/>
          <w:lang w:val="es-ES_tradnl" w:eastAsia="en-US"/>
        </w:rPr>
      </w:pPr>
    </w:p>
    <w:p w:rsidR="00037375" w:rsidRPr="00037375" w:rsidRDefault="00037375" w:rsidP="00037375">
      <w:pPr>
        <w:numPr>
          <w:ilvl w:val="0"/>
          <w:numId w:val="19"/>
        </w:numPr>
        <w:ind w:left="426" w:hanging="426"/>
        <w:jc w:val="both"/>
        <w:rPr>
          <w:rFonts w:ascii="Arial" w:eastAsia="Cambria" w:hAnsi="Arial" w:cs="Arial"/>
          <w:lang w:val="es-ES_tradnl" w:eastAsia="en-US"/>
        </w:rPr>
      </w:pPr>
      <w:r w:rsidRPr="00037375">
        <w:rPr>
          <w:rFonts w:ascii="Arial" w:eastAsia="Cambria" w:hAnsi="Arial" w:cs="Arial"/>
          <w:lang w:val="es-ES_tradnl" w:eastAsia="en-US"/>
        </w:rPr>
        <w:t xml:space="preserve">Aprobar el rediseño curricular del </w:t>
      </w:r>
      <w:r w:rsidR="001B4731">
        <w:rPr>
          <w:rFonts w:ascii="Arial" w:eastAsia="Cambria" w:hAnsi="Arial" w:cs="Arial"/>
          <w:lang w:val="es-ES_tradnl" w:eastAsia="en-US"/>
        </w:rPr>
        <w:t>P</w:t>
      </w:r>
      <w:r w:rsidRPr="00037375">
        <w:rPr>
          <w:rFonts w:ascii="Arial" w:eastAsia="Cambria" w:hAnsi="Arial" w:cs="Arial"/>
          <w:lang w:val="es-ES_tradnl" w:eastAsia="en-US"/>
        </w:rPr>
        <w:t xml:space="preserve">rograma de Maestría en Educación Técnica. </w:t>
      </w:r>
    </w:p>
    <w:p w:rsidR="00037375" w:rsidRPr="00037375" w:rsidRDefault="00037375" w:rsidP="00037375">
      <w:pPr>
        <w:ind w:left="426"/>
        <w:jc w:val="both"/>
        <w:rPr>
          <w:rFonts w:ascii="Arial" w:eastAsia="Cambria" w:hAnsi="Arial" w:cs="Arial"/>
          <w:lang w:val="es-ES_tradnl" w:eastAsia="en-US"/>
        </w:rPr>
      </w:pPr>
    </w:p>
    <w:p w:rsidR="00037375" w:rsidRPr="00037375" w:rsidRDefault="00037375" w:rsidP="00037375">
      <w:pPr>
        <w:numPr>
          <w:ilvl w:val="0"/>
          <w:numId w:val="19"/>
        </w:numPr>
        <w:ind w:left="426" w:hanging="426"/>
        <w:jc w:val="both"/>
        <w:rPr>
          <w:rFonts w:ascii="Arial" w:eastAsia="Cambria" w:hAnsi="Arial" w:cs="Arial"/>
          <w:lang w:val="es-ES_tradnl" w:eastAsia="en-US"/>
        </w:rPr>
      </w:pPr>
      <w:r w:rsidRPr="00037375">
        <w:rPr>
          <w:rFonts w:ascii="Arial" w:eastAsia="Cambria" w:hAnsi="Arial" w:cs="Arial"/>
          <w:lang w:val="es-ES_tradnl" w:eastAsia="en-US"/>
        </w:rPr>
        <w:t>Remitir la documentación al C</w:t>
      </w:r>
      <w:r w:rsidR="001B4731">
        <w:rPr>
          <w:rFonts w:ascii="Arial" w:eastAsia="Cambria" w:hAnsi="Arial" w:cs="Arial"/>
          <w:lang w:val="es-ES_tradnl" w:eastAsia="en-US"/>
        </w:rPr>
        <w:t xml:space="preserve">onsejo </w:t>
      </w:r>
      <w:r w:rsidRPr="00037375">
        <w:rPr>
          <w:rFonts w:ascii="Arial" w:eastAsia="Cambria" w:hAnsi="Arial" w:cs="Arial"/>
          <w:lang w:val="es-ES_tradnl" w:eastAsia="en-US"/>
        </w:rPr>
        <w:t>N</w:t>
      </w:r>
      <w:r w:rsidR="001B4731">
        <w:rPr>
          <w:rFonts w:ascii="Arial" w:eastAsia="Cambria" w:hAnsi="Arial" w:cs="Arial"/>
          <w:lang w:val="es-ES_tradnl" w:eastAsia="en-US"/>
        </w:rPr>
        <w:t>acional de Rectores,</w:t>
      </w:r>
      <w:r w:rsidRPr="00037375">
        <w:rPr>
          <w:rFonts w:ascii="Arial" w:eastAsia="Cambria" w:hAnsi="Arial" w:cs="Arial"/>
          <w:lang w:val="es-ES_tradnl" w:eastAsia="en-US"/>
        </w:rPr>
        <w:t xml:space="preserve"> para el trámite de aprobación respectivo. </w:t>
      </w:r>
    </w:p>
    <w:p w:rsidR="00037375" w:rsidRPr="00037375" w:rsidRDefault="00037375" w:rsidP="00037375">
      <w:pPr>
        <w:ind w:left="708"/>
        <w:rPr>
          <w:rFonts w:ascii="Arial" w:eastAsia="Calibri" w:hAnsi="Arial" w:cs="Arial"/>
          <w:lang w:val="es-CR"/>
        </w:rPr>
      </w:pPr>
    </w:p>
    <w:p w:rsidR="00037375" w:rsidRPr="00037375" w:rsidRDefault="00037375" w:rsidP="00037375">
      <w:pPr>
        <w:numPr>
          <w:ilvl w:val="0"/>
          <w:numId w:val="19"/>
        </w:numPr>
        <w:ind w:left="426" w:hanging="426"/>
        <w:jc w:val="both"/>
        <w:rPr>
          <w:rFonts w:ascii="Arial" w:eastAsia="Cambria" w:hAnsi="Arial" w:cs="Arial"/>
          <w:lang w:val="es-ES_tradnl" w:eastAsia="en-US"/>
        </w:rPr>
      </w:pPr>
      <w:r w:rsidRPr="00037375">
        <w:rPr>
          <w:rFonts w:ascii="Arial" w:eastAsia="Cambria" w:hAnsi="Arial" w:cs="Arial"/>
          <w:lang w:val="es-ES_tradnl" w:eastAsia="en-US"/>
        </w:rPr>
        <w:t>Solicitar a la Administración que de acuerdo con la disponibilidad de los recursos humanos y presupuestarios</w:t>
      </w:r>
      <w:r w:rsidR="001B4731">
        <w:rPr>
          <w:rFonts w:ascii="Arial" w:eastAsia="Cambria" w:hAnsi="Arial" w:cs="Arial"/>
          <w:lang w:val="es-ES_tradnl" w:eastAsia="en-US"/>
        </w:rPr>
        <w:t>,</w:t>
      </w:r>
      <w:r w:rsidRPr="00037375">
        <w:rPr>
          <w:rFonts w:ascii="Arial" w:eastAsia="Cambria" w:hAnsi="Arial" w:cs="Arial"/>
          <w:lang w:val="es-ES_tradnl" w:eastAsia="en-US"/>
        </w:rPr>
        <w:t xml:space="preserve"> apoye a este nuevo </w:t>
      </w:r>
      <w:r w:rsidR="001B4731">
        <w:rPr>
          <w:rFonts w:ascii="Arial" w:eastAsia="Cambria" w:hAnsi="Arial" w:cs="Arial"/>
          <w:lang w:val="es-ES_tradnl" w:eastAsia="en-US"/>
        </w:rPr>
        <w:t>P</w:t>
      </w:r>
      <w:r w:rsidRPr="00037375">
        <w:rPr>
          <w:rFonts w:ascii="Arial" w:eastAsia="Cambria" w:hAnsi="Arial" w:cs="Arial"/>
          <w:lang w:val="es-ES_tradnl" w:eastAsia="en-US"/>
        </w:rPr>
        <w:t xml:space="preserve">rograma </w:t>
      </w:r>
      <w:r w:rsidR="001B4731">
        <w:rPr>
          <w:rFonts w:ascii="Arial" w:eastAsia="Cambria" w:hAnsi="Arial" w:cs="Arial"/>
          <w:lang w:val="es-ES_tradnl" w:eastAsia="en-US"/>
        </w:rPr>
        <w:t>A</w:t>
      </w:r>
      <w:bookmarkStart w:id="0" w:name="_GoBack"/>
      <w:bookmarkEnd w:id="0"/>
      <w:r w:rsidRPr="00037375">
        <w:rPr>
          <w:rFonts w:ascii="Arial" w:eastAsia="Cambria" w:hAnsi="Arial" w:cs="Arial"/>
          <w:lang w:val="es-ES_tradnl" w:eastAsia="en-US"/>
        </w:rPr>
        <w:t xml:space="preserve">cadémico. </w:t>
      </w:r>
    </w:p>
    <w:p w:rsidR="00EA64FF" w:rsidRPr="00037375" w:rsidRDefault="00EA64FF" w:rsidP="00EA64FF">
      <w:pPr>
        <w:autoSpaceDE w:val="0"/>
        <w:autoSpaceDN w:val="0"/>
        <w:adjustRightInd w:val="0"/>
        <w:jc w:val="both"/>
        <w:rPr>
          <w:rFonts w:ascii="Arial" w:hAnsi="Arial" w:cs="Arial"/>
          <w:b/>
          <w:sz w:val="16"/>
          <w:szCs w:val="16"/>
          <w:lang w:val="es-ES_tradnl"/>
        </w:rPr>
      </w:pPr>
    </w:p>
    <w:p w:rsidR="00037375" w:rsidRPr="00037375" w:rsidRDefault="00EA64FF" w:rsidP="00EA64FF">
      <w:pPr>
        <w:numPr>
          <w:ilvl w:val="0"/>
          <w:numId w:val="19"/>
        </w:numPr>
        <w:ind w:left="426" w:hanging="426"/>
        <w:jc w:val="both"/>
        <w:rPr>
          <w:rFonts w:ascii="Arial" w:eastAsia="Cambria" w:hAnsi="Arial" w:cs="Arial"/>
          <w:b/>
          <w:lang w:val="es-ES_tradnl" w:eastAsia="en-US"/>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p>
    <w:p w:rsidR="00037375" w:rsidRPr="00037375" w:rsidRDefault="00037375" w:rsidP="00037375">
      <w:pPr>
        <w:jc w:val="both"/>
        <w:rPr>
          <w:rFonts w:ascii="Arial" w:eastAsia="Cambria" w:hAnsi="Arial" w:cs="Arial"/>
          <w:b/>
          <w:lang w:val="es-ES_tradnl" w:eastAsia="en-US"/>
        </w:rPr>
      </w:pPr>
    </w:p>
    <w:p w:rsidR="00037375" w:rsidRPr="00037375" w:rsidRDefault="00037375" w:rsidP="00037375">
      <w:pPr>
        <w:jc w:val="both"/>
        <w:rPr>
          <w:rFonts w:ascii="Arial" w:eastAsia="Cambria" w:hAnsi="Arial" w:cs="Arial"/>
          <w:b/>
          <w:lang w:val="es-ES_tradnl" w:eastAsia="en-US"/>
        </w:rPr>
      </w:pPr>
      <w:r w:rsidRPr="00037375">
        <w:rPr>
          <w:rFonts w:ascii="Arial" w:eastAsia="Cambria" w:hAnsi="Arial" w:cs="Arial"/>
          <w:b/>
          <w:sz w:val="22"/>
          <w:szCs w:val="22"/>
          <w:lang w:val="es-ES_tradnl" w:eastAsia="en-US"/>
        </w:rPr>
        <w:t>Palabras Clave:   Rediseño curricular - Maestría - Educación Técnica</w:t>
      </w:r>
      <w:r w:rsidRPr="00037375">
        <w:rPr>
          <w:rFonts w:ascii="Arial" w:eastAsia="Cambria" w:hAnsi="Arial" w:cs="Arial"/>
          <w:b/>
          <w:sz w:val="22"/>
          <w:szCs w:val="22"/>
          <w:lang w:val="es-ES_tradnl" w:eastAsia="en-US"/>
        </w:rPr>
        <w:tab/>
        <w:t xml:space="preserve"> </w:t>
      </w:r>
    </w:p>
    <w:p w:rsidR="00BE5D68" w:rsidRPr="00BE5D68" w:rsidRDefault="00BE5D68" w:rsidP="00BE5D68">
      <w:pPr>
        <w:rPr>
          <w:rFonts w:ascii="Arial" w:hAnsi="Arial" w:cs="Arial"/>
        </w:rPr>
      </w:pPr>
    </w:p>
    <w:p w:rsidR="002D6978" w:rsidRPr="009912AB" w:rsidRDefault="002D6978" w:rsidP="002D6978">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34046D" w:rsidRPr="00474B22" w:rsidTr="00EC73DD">
        <w:trPr>
          <w:trHeight w:val="183"/>
        </w:trPr>
        <w:tc>
          <w:tcPr>
            <w:tcW w:w="22763" w:type="dxa"/>
            <w:gridSpan w:val="7"/>
          </w:tcPr>
          <w:p w:rsidR="0034046D" w:rsidRPr="00474B22" w:rsidRDefault="0034046D" w:rsidP="00E03D24">
            <w:pPr>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r w:rsidR="00EC73DD" w:rsidTr="00EC73DD">
        <w:trPr>
          <w:gridAfter w:val="4"/>
          <w:wAfter w:w="931" w:type="dxa"/>
          <w:trHeight w:val="183"/>
        </w:trPr>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r w:rsidR="00EC73DD" w:rsidTr="00EC73DD">
        <w:trPr>
          <w:gridAfter w:val="5"/>
          <w:wAfter w:w="5292" w:type="dxa"/>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EC73DD" w:rsidRDefault="00EC73DD" w:rsidP="00E87657">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tc>
        <w:tc>
          <w:tcPr>
            <w:tcW w:w="4361" w:type="dxa"/>
          </w:tcPr>
          <w:p w:rsidR="00EC73DD" w:rsidRDefault="00EC73DD" w:rsidP="00E87657">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EC73DD" w:rsidRDefault="00EC73DD" w:rsidP="00E87657">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EC73DD" w:rsidRDefault="00EC73DD" w:rsidP="00E8765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EC73DD" w:rsidRDefault="00EC73DD" w:rsidP="00E8765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EC73DD" w:rsidRDefault="00EC73DD" w:rsidP="00E87657">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0C" w:rsidRDefault="00235C0C">
      <w:r>
        <w:separator/>
      </w:r>
    </w:p>
  </w:endnote>
  <w:endnote w:type="continuationSeparator" w:id="0">
    <w:p w:rsidR="00235C0C" w:rsidRDefault="0023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0C" w:rsidRDefault="00235C0C">
      <w:r>
        <w:separator/>
      </w:r>
    </w:p>
  </w:footnote>
  <w:footnote w:type="continuationSeparator" w:id="0">
    <w:p w:rsidR="00235C0C" w:rsidRDefault="00235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037375">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037375">
      <w:rPr>
        <w:rFonts w:ascii="Arial" w:eastAsia="Cambria" w:hAnsi="Arial" w:cs="Arial"/>
        <w:i/>
        <w:sz w:val="18"/>
        <w:szCs w:val="18"/>
        <w:lang w:val="es-ES_tradnl" w:eastAsia="x-none"/>
      </w:rPr>
      <w:t>7</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93971">
      <w:rPr>
        <w:rFonts w:ascii="Arial" w:eastAsia="Cambria" w:hAnsi="Arial" w:cs="Arial"/>
        <w:i/>
        <w:sz w:val="18"/>
        <w:szCs w:val="18"/>
        <w:lang w:val="es-ES_tradnl" w:eastAsia="x-none"/>
      </w:rPr>
      <w:t>2</w:t>
    </w:r>
    <w:r w:rsidR="00037375">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 xml:space="preserve"> de </w:t>
    </w:r>
    <w:r w:rsidR="00A2484D">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B4731">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F9E165C"/>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CE502B"/>
    <w:multiLevelType w:val="hybridMultilevel"/>
    <w:tmpl w:val="A8BEF774"/>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4"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5"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16" w15:restartNumberingAfterBreak="0">
    <w:nsid w:val="6A1270BB"/>
    <w:multiLevelType w:val="hybridMultilevel"/>
    <w:tmpl w:val="0DD8845A"/>
    <w:lvl w:ilvl="0" w:tplc="E828001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CEC5D64"/>
    <w:multiLevelType w:val="hybridMultilevel"/>
    <w:tmpl w:val="D318E652"/>
    <w:lvl w:ilvl="0" w:tplc="60B21C56">
      <w:start w:val="1"/>
      <w:numFmt w:val="lowerLetter"/>
      <w:lvlText w:val="%1."/>
      <w:lvlJc w:val="left"/>
      <w:pPr>
        <w:ind w:left="4613" w:hanging="360"/>
      </w:pPr>
      <w:rPr>
        <w:b/>
        <w:strike w:val="0"/>
        <w:sz w:val="24"/>
        <w:szCs w:val="24"/>
      </w:rPr>
    </w:lvl>
    <w:lvl w:ilvl="1" w:tplc="140A0019">
      <w:start w:val="1"/>
      <w:numFmt w:val="lowerLetter"/>
      <w:lvlText w:val="%2."/>
      <w:lvlJc w:val="left"/>
      <w:pPr>
        <w:ind w:left="5333" w:hanging="360"/>
      </w:pPr>
    </w:lvl>
    <w:lvl w:ilvl="2" w:tplc="140A001B" w:tentative="1">
      <w:start w:val="1"/>
      <w:numFmt w:val="lowerRoman"/>
      <w:lvlText w:val="%3."/>
      <w:lvlJc w:val="right"/>
      <w:pPr>
        <w:ind w:left="6053" w:hanging="180"/>
      </w:pPr>
    </w:lvl>
    <w:lvl w:ilvl="3" w:tplc="140A000F" w:tentative="1">
      <w:start w:val="1"/>
      <w:numFmt w:val="decimal"/>
      <w:lvlText w:val="%4."/>
      <w:lvlJc w:val="left"/>
      <w:pPr>
        <w:ind w:left="6773" w:hanging="360"/>
      </w:pPr>
    </w:lvl>
    <w:lvl w:ilvl="4" w:tplc="140A0019" w:tentative="1">
      <w:start w:val="1"/>
      <w:numFmt w:val="lowerLetter"/>
      <w:lvlText w:val="%5."/>
      <w:lvlJc w:val="left"/>
      <w:pPr>
        <w:ind w:left="7493" w:hanging="360"/>
      </w:pPr>
    </w:lvl>
    <w:lvl w:ilvl="5" w:tplc="140A001B" w:tentative="1">
      <w:start w:val="1"/>
      <w:numFmt w:val="lowerRoman"/>
      <w:lvlText w:val="%6."/>
      <w:lvlJc w:val="right"/>
      <w:pPr>
        <w:ind w:left="8213" w:hanging="180"/>
      </w:pPr>
    </w:lvl>
    <w:lvl w:ilvl="6" w:tplc="140A000F" w:tentative="1">
      <w:start w:val="1"/>
      <w:numFmt w:val="decimal"/>
      <w:lvlText w:val="%7."/>
      <w:lvlJc w:val="left"/>
      <w:pPr>
        <w:ind w:left="8933" w:hanging="360"/>
      </w:pPr>
    </w:lvl>
    <w:lvl w:ilvl="7" w:tplc="140A0019" w:tentative="1">
      <w:start w:val="1"/>
      <w:numFmt w:val="lowerLetter"/>
      <w:lvlText w:val="%8."/>
      <w:lvlJc w:val="left"/>
      <w:pPr>
        <w:ind w:left="9653" w:hanging="360"/>
      </w:pPr>
    </w:lvl>
    <w:lvl w:ilvl="8" w:tplc="140A001B" w:tentative="1">
      <w:start w:val="1"/>
      <w:numFmt w:val="lowerRoman"/>
      <w:lvlText w:val="%9."/>
      <w:lvlJc w:val="right"/>
      <w:pPr>
        <w:ind w:left="10373" w:hanging="180"/>
      </w:pPr>
    </w:lvl>
  </w:abstractNum>
  <w:abstractNum w:abstractNumId="19"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22" w15:restartNumberingAfterBreak="0">
    <w:nsid w:val="7A1709C3"/>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2"/>
  </w:num>
  <w:num w:numId="3">
    <w:abstractNumId w:val="6"/>
  </w:num>
  <w:num w:numId="4">
    <w:abstractNumId w:val="13"/>
  </w:num>
  <w:num w:numId="5">
    <w:abstractNumId w:val="18"/>
  </w:num>
  <w:num w:numId="6">
    <w:abstractNumId w:val="12"/>
  </w:num>
  <w:num w:numId="7">
    <w:abstractNumId w:val="1"/>
  </w:num>
  <w:num w:numId="8">
    <w:abstractNumId w:val="4"/>
  </w:num>
  <w:num w:numId="9">
    <w:abstractNumId w:val="23"/>
  </w:num>
  <w:num w:numId="10">
    <w:abstractNumId w:val="17"/>
  </w:num>
  <w:num w:numId="11">
    <w:abstractNumId w:val="20"/>
  </w:num>
  <w:num w:numId="12">
    <w:abstractNumId w:val="21"/>
  </w:num>
  <w:num w:numId="13">
    <w:abstractNumId w:val="15"/>
  </w:num>
  <w:num w:numId="14">
    <w:abstractNumId w:val="19"/>
  </w:num>
  <w:num w:numId="15">
    <w:abstractNumId w:val="7"/>
  </w:num>
  <w:num w:numId="16">
    <w:abstractNumId w:val="3"/>
  </w:num>
  <w:num w:numId="17">
    <w:abstractNumId w:val="10"/>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22"/>
  </w:num>
  <w:num w:numId="23">
    <w:abstractNumId w:val="16"/>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37375"/>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9BE"/>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4731"/>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35C0C"/>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3F94"/>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473"/>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484D"/>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3DC5"/>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46F0"/>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6F62"/>
    <w:rsid w:val="00E22D17"/>
    <w:rsid w:val="00E26992"/>
    <w:rsid w:val="00E30502"/>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64FF"/>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3E071-4976-4213-8F80-9945C288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1347</Words>
  <Characters>7414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109</cp:revision>
  <cp:lastPrinted>2017-06-22T15:18:00Z</cp:lastPrinted>
  <dcterms:created xsi:type="dcterms:W3CDTF">2016-10-05T20:00:00Z</dcterms:created>
  <dcterms:modified xsi:type="dcterms:W3CDTF">2017-06-29T20:01:00Z</dcterms:modified>
</cp:coreProperties>
</file>