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6A2B99" w:rsidRDefault="006A2B99"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944027">
        <w:rPr>
          <w:rFonts w:ascii="Arial" w:hAnsi="Arial" w:cs="Arial"/>
          <w:b/>
          <w:bCs/>
          <w:iCs/>
          <w:sz w:val="26"/>
          <w:szCs w:val="22"/>
          <w:lang w:val="es-CR"/>
        </w:rPr>
        <w:t>458</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772438" w:rsidRPr="000661B6" w:rsidRDefault="00162459" w:rsidP="00772438">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772438" w:rsidRPr="000661B6">
              <w:rPr>
                <w:rFonts w:ascii="Arial" w:eastAsia="Cambria" w:hAnsi="Arial" w:cs="Arial"/>
                <w:sz w:val="22"/>
                <w:szCs w:val="22"/>
                <w:lang w:val="es-ES_tradnl" w:eastAsia="en-US"/>
              </w:rPr>
              <w:t>, Rector</w:t>
            </w:r>
            <w:r w:rsidR="00772438">
              <w:rPr>
                <w:rFonts w:ascii="Arial" w:eastAsia="Cambria" w:hAnsi="Arial" w:cs="Arial"/>
                <w:sz w:val="22"/>
                <w:szCs w:val="22"/>
                <w:lang w:val="es-ES_tradnl" w:eastAsia="en-US"/>
              </w:rPr>
              <w:t xml:space="preserve"> </w:t>
            </w:r>
            <w:r w:rsidR="00772438" w:rsidRPr="000661B6">
              <w:rPr>
                <w:rFonts w:ascii="Arial" w:eastAsia="Cambria" w:hAnsi="Arial" w:cs="Arial"/>
                <w:sz w:val="22"/>
                <w:szCs w:val="22"/>
                <w:lang w:val="es-ES_tradnl" w:eastAsia="en-US"/>
              </w:rPr>
              <w:t xml:space="preserve"> </w:t>
            </w:r>
          </w:p>
          <w:p w:rsidR="00AB1A4B" w:rsidRDefault="00AB1A4B" w:rsidP="00AB1A4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Vicerrector de Administración</w:t>
            </w:r>
          </w:p>
          <w:p w:rsidR="00AB1A4B" w:rsidRDefault="00AB1A4B" w:rsidP="00AB1A4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Directora Oficina Planificación Institucional</w:t>
            </w:r>
          </w:p>
          <w:p w:rsidR="00AB1A4B" w:rsidRDefault="00AB1A4B" w:rsidP="00AB1A4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Roy D’Avanzo, Director Departamento Financiero Contable</w:t>
            </w:r>
          </w:p>
          <w:p w:rsidR="00AB1A4B" w:rsidRDefault="00AB1A4B" w:rsidP="00AB1A4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Andrea Cavero, Secretaria General AFITEC</w:t>
            </w:r>
          </w:p>
          <w:p w:rsidR="004C05F3" w:rsidRPr="004C05F3" w:rsidRDefault="004C05F3" w:rsidP="00A20EA7">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bookmarkStart w:id="0" w:name="_GoBack"/>
            <w:bookmarkEnd w:id="0"/>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AB1A4B" w:rsidP="00AB1A4B">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03</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agosto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772438" w:rsidRDefault="007742A1" w:rsidP="007742A1">
            <w:pPr>
              <w:rPr>
                <w:rFonts w:ascii="Arial" w:eastAsia="SimSun" w:hAnsi="Arial" w:cs="Arial"/>
                <w:sz w:val="22"/>
                <w:szCs w:val="22"/>
                <w:lang w:val="es-CR"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162459" w:rsidRDefault="007742A1" w:rsidP="00162459">
            <w:pPr>
              <w:jc w:val="both"/>
              <w:rPr>
                <w:rFonts w:ascii="Arial" w:eastAsia="Calibri" w:hAnsi="Arial" w:cs="Arial"/>
                <w:b/>
                <w:sz w:val="22"/>
                <w:szCs w:val="22"/>
              </w:rPr>
            </w:pPr>
            <w:r w:rsidRPr="00A2484D">
              <w:rPr>
                <w:rFonts w:ascii="Arial" w:eastAsia="Calibri" w:hAnsi="Arial" w:cs="Arial"/>
                <w:b/>
                <w:sz w:val="22"/>
                <w:szCs w:val="22"/>
              </w:rPr>
              <w:t xml:space="preserve">Sesión Ordinaria No. </w:t>
            </w:r>
            <w:r w:rsidR="00337455" w:rsidRPr="00A2484D">
              <w:rPr>
                <w:rFonts w:ascii="Arial" w:eastAsia="Calibri" w:hAnsi="Arial" w:cs="Arial"/>
                <w:b/>
                <w:sz w:val="22"/>
                <w:szCs w:val="22"/>
              </w:rPr>
              <w:t>30</w:t>
            </w:r>
            <w:r w:rsidR="00162459">
              <w:rPr>
                <w:rFonts w:ascii="Arial" w:eastAsia="Calibri" w:hAnsi="Arial" w:cs="Arial"/>
                <w:b/>
                <w:sz w:val="22"/>
                <w:szCs w:val="22"/>
              </w:rPr>
              <w:t>3</w:t>
            </w:r>
            <w:r w:rsidR="00AB1A4B">
              <w:rPr>
                <w:rFonts w:ascii="Arial" w:eastAsia="Calibri" w:hAnsi="Arial" w:cs="Arial"/>
                <w:b/>
                <w:sz w:val="22"/>
                <w:szCs w:val="22"/>
              </w:rPr>
              <w:t>2</w:t>
            </w:r>
            <w:r w:rsidRPr="00A2484D">
              <w:rPr>
                <w:rFonts w:ascii="Arial" w:eastAsia="Calibri" w:hAnsi="Arial" w:cs="Arial"/>
                <w:b/>
                <w:sz w:val="22"/>
                <w:szCs w:val="22"/>
              </w:rPr>
              <w:t>, Artículo</w:t>
            </w:r>
            <w:r w:rsidR="00437F0F" w:rsidRPr="00A2484D">
              <w:rPr>
                <w:rFonts w:ascii="Arial" w:eastAsia="Calibri" w:hAnsi="Arial" w:cs="Arial"/>
                <w:b/>
                <w:sz w:val="22"/>
                <w:szCs w:val="22"/>
              </w:rPr>
              <w:t xml:space="preserve"> </w:t>
            </w:r>
            <w:r w:rsidR="00223DD4">
              <w:rPr>
                <w:rFonts w:ascii="Arial" w:eastAsia="Calibri" w:hAnsi="Arial" w:cs="Arial"/>
                <w:b/>
                <w:sz w:val="22"/>
                <w:szCs w:val="22"/>
              </w:rPr>
              <w:t>9</w:t>
            </w:r>
            <w:r w:rsidR="00337455" w:rsidRPr="00A2484D">
              <w:rPr>
                <w:rFonts w:ascii="Arial" w:eastAsia="Calibri" w:hAnsi="Arial" w:cs="Arial"/>
                <w:b/>
                <w:sz w:val="22"/>
                <w:szCs w:val="22"/>
              </w:rPr>
              <w:t>,</w:t>
            </w:r>
            <w:r w:rsidRPr="00A2484D">
              <w:rPr>
                <w:rFonts w:ascii="Arial" w:eastAsia="Calibri" w:hAnsi="Arial" w:cs="Arial"/>
                <w:b/>
                <w:sz w:val="22"/>
                <w:szCs w:val="22"/>
              </w:rPr>
              <w:t xml:space="preserve"> del </w:t>
            </w:r>
            <w:r w:rsidR="00AB1A4B">
              <w:rPr>
                <w:rFonts w:ascii="Arial" w:eastAsia="Calibri" w:hAnsi="Arial" w:cs="Arial"/>
                <w:b/>
                <w:sz w:val="22"/>
                <w:szCs w:val="22"/>
              </w:rPr>
              <w:t>03</w:t>
            </w:r>
            <w:r w:rsidRPr="00A2484D">
              <w:rPr>
                <w:rFonts w:ascii="Arial" w:eastAsia="Calibri" w:hAnsi="Arial" w:cs="Arial"/>
                <w:b/>
                <w:sz w:val="22"/>
                <w:szCs w:val="22"/>
              </w:rPr>
              <w:t xml:space="preserve"> de </w:t>
            </w:r>
            <w:r w:rsidR="00AB1A4B">
              <w:rPr>
                <w:rFonts w:ascii="Arial" w:eastAsia="Calibri" w:hAnsi="Arial" w:cs="Arial"/>
                <w:b/>
                <w:sz w:val="22"/>
                <w:szCs w:val="22"/>
              </w:rPr>
              <w:t>agosto</w:t>
            </w:r>
            <w:r w:rsidR="007A2D73" w:rsidRPr="00A2484D">
              <w:rPr>
                <w:rFonts w:ascii="Arial" w:eastAsia="Calibri" w:hAnsi="Arial" w:cs="Arial"/>
                <w:b/>
                <w:sz w:val="22"/>
                <w:szCs w:val="22"/>
              </w:rPr>
              <w:t xml:space="preserve"> </w:t>
            </w:r>
            <w:r w:rsidR="00A772EF" w:rsidRPr="00A2484D">
              <w:rPr>
                <w:rFonts w:ascii="Arial" w:eastAsia="Calibri" w:hAnsi="Arial" w:cs="Arial"/>
                <w:b/>
                <w:sz w:val="22"/>
                <w:szCs w:val="22"/>
              </w:rPr>
              <w:t>de 2017</w:t>
            </w:r>
            <w:r w:rsidR="001E08C0" w:rsidRPr="00A2484D">
              <w:rPr>
                <w:rFonts w:ascii="Arial" w:eastAsia="Calibri" w:hAnsi="Arial" w:cs="Arial"/>
                <w:b/>
                <w:sz w:val="22"/>
                <w:szCs w:val="22"/>
              </w:rPr>
              <w:t xml:space="preserve">.  </w:t>
            </w:r>
            <w:r w:rsidR="00AB1A4B">
              <w:rPr>
                <w:rFonts w:ascii="Arial" w:eastAsia="Calibri" w:hAnsi="Arial" w:cs="Arial"/>
                <w:b/>
                <w:sz w:val="22"/>
                <w:szCs w:val="22"/>
              </w:rPr>
              <w:t>Prórroga para atender el acuerdo de la Sesión Ordinaria No. 3028, Artículo 12, del 21 de junio de 2017. “Consulta de la Propuesta de Re-estructuración de la Oficina de Planificación Institucional, al Departamento Financiero Contable y a la Asociación del ITCR-AFITEC</w:t>
            </w:r>
          </w:p>
          <w:p w:rsidR="00162459" w:rsidRPr="00A2484D" w:rsidRDefault="00162459" w:rsidP="00162459">
            <w:pPr>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72438" w:rsidRDefault="00772438" w:rsidP="00732AAB">
      <w:pPr>
        <w:ind w:right="-91"/>
        <w:jc w:val="both"/>
        <w:rPr>
          <w:rFonts w:ascii="Arial" w:hAnsi="Arial" w:cs="Arial"/>
          <w:b/>
          <w:sz w:val="16"/>
          <w:szCs w:val="16"/>
          <w:lang w:val="es-CR"/>
        </w:rPr>
      </w:pPr>
    </w:p>
    <w:p w:rsidR="00DB00FC" w:rsidRPr="00DB00FC" w:rsidRDefault="00DB00FC" w:rsidP="00DB00FC">
      <w:pPr>
        <w:spacing w:after="200" w:line="288" w:lineRule="auto"/>
        <w:jc w:val="both"/>
        <w:outlineLvl w:val="0"/>
        <w:rPr>
          <w:rFonts w:ascii="Arial" w:eastAsia="Cambria" w:hAnsi="Arial" w:cs="Arial"/>
          <w:b/>
          <w:lang w:val="es-CR" w:eastAsia="en-US"/>
        </w:rPr>
      </w:pPr>
      <w:r w:rsidRPr="00DB00FC">
        <w:rPr>
          <w:rFonts w:ascii="Arial" w:eastAsia="Cambria" w:hAnsi="Arial" w:cs="Arial"/>
          <w:b/>
          <w:lang w:val="es-CR" w:eastAsia="en-US"/>
        </w:rPr>
        <w:t>RESULTANDO QUE:</w:t>
      </w:r>
    </w:p>
    <w:p w:rsidR="00DB00FC" w:rsidRPr="00DB00FC" w:rsidRDefault="00DB00FC" w:rsidP="00DB00FC">
      <w:pPr>
        <w:numPr>
          <w:ilvl w:val="0"/>
          <w:numId w:val="29"/>
        </w:numPr>
        <w:tabs>
          <w:tab w:val="num" w:pos="465"/>
        </w:tabs>
        <w:ind w:left="465"/>
        <w:jc w:val="both"/>
        <w:rPr>
          <w:rFonts w:ascii="Arial" w:hAnsi="Arial"/>
          <w:lang w:val="es-CR"/>
        </w:rPr>
      </w:pPr>
      <w:r w:rsidRPr="00DB00FC">
        <w:rPr>
          <w:rFonts w:ascii="Arial" w:hAnsi="Arial"/>
          <w:lang w:val="es-CR"/>
        </w:rPr>
        <w:t>El Consejo Institucional acordó en la Sesión Ordinaria No. 3028, Artículo 12, del 21 de junio de 2017, inciso a), lo siguiente:</w:t>
      </w:r>
    </w:p>
    <w:p w:rsidR="00DB00FC" w:rsidRPr="00DB00FC" w:rsidRDefault="00DB00FC" w:rsidP="00DB00FC">
      <w:pPr>
        <w:jc w:val="both"/>
        <w:rPr>
          <w:rFonts w:ascii="Arial" w:hAnsi="Arial"/>
          <w:lang w:val="es-CR"/>
        </w:rPr>
      </w:pPr>
    </w:p>
    <w:p w:rsidR="00DB00FC" w:rsidRPr="00DB00FC" w:rsidRDefault="00DB00FC" w:rsidP="00DB00FC">
      <w:pPr>
        <w:ind w:left="1276" w:right="425" w:hanging="480"/>
        <w:jc w:val="both"/>
        <w:outlineLvl w:val="0"/>
        <w:rPr>
          <w:rFonts w:ascii="Arial" w:hAnsi="Arial" w:cs="Arial"/>
          <w:i/>
          <w:sz w:val="22"/>
          <w:szCs w:val="22"/>
          <w:lang w:val="es-CR" w:eastAsia="es-CR"/>
        </w:rPr>
      </w:pPr>
      <w:r w:rsidRPr="00DB00FC">
        <w:rPr>
          <w:rFonts w:ascii="Arial" w:hAnsi="Arial" w:cs="Arial"/>
          <w:b/>
          <w:i/>
          <w:sz w:val="22"/>
          <w:szCs w:val="22"/>
          <w:lang w:val="es-CR" w:eastAsia="es-CR"/>
        </w:rPr>
        <w:t>“a.</w:t>
      </w:r>
      <w:r w:rsidRPr="00DB00FC">
        <w:rPr>
          <w:rFonts w:ascii="Arial" w:hAnsi="Arial" w:cs="Arial"/>
          <w:i/>
          <w:sz w:val="20"/>
          <w:szCs w:val="20"/>
          <w:lang w:val="es-CR" w:eastAsia="es-CR"/>
        </w:rPr>
        <w:t xml:space="preserve">  </w:t>
      </w:r>
      <w:r w:rsidRPr="00DB00FC">
        <w:rPr>
          <w:rFonts w:ascii="Arial" w:hAnsi="Arial" w:cs="Arial"/>
          <w:i/>
          <w:sz w:val="22"/>
          <w:szCs w:val="22"/>
          <w:lang w:val="es-CR" w:eastAsia="es-CR"/>
        </w:rPr>
        <w:t>Enviar a consulta la Propuesta de Re-estructuración  de la Oficina de Planificación Institucional, a la Rectoría,  Vicerrectoría de Administración, Oficina de Planificación Institucional, Departamento  Financiero Contable; así como a la Asociación de Funcionarios del ITCR -AFITEC-, en acatamiento a lo dispuesto en el Artículo 3 de la Segunda Convención Colectiva y sus Reformas.</w:t>
      </w:r>
    </w:p>
    <w:p w:rsidR="00DB00FC" w:rsidRPr="00DB00FC" w:rsidRDefault="00DB00FC" w:rsidP="00DB00FC">
      <w:pPr>
        <w:jc w:val="both"/>
        <w:rPr>
          <w:rFonts w:ascii="Arial" w:hAnsi="Arial"/>
          <w:lang w:val="es-CR"/>
        </w:rPr>
      </w:pPr>
    </w:p>
    <w:p w:rsidR="00DB00FC" w:rsidRPr="00DB00FC" w:rsidRDefault="00DB00FC" w:rsidP="00DB00FC">
      <w:pPr>
        <w:numPr>
          <w:ilvl w:val="0"/>
          <w:numId w:val="29"/>
        </w:numPr>
        <w:tabs>
          <w:tab w:val="num" w:pos="465"/>
        </w:tabs>
        <w:ind w:left="465"/>
        <w:jc w:val="both"/>
        <w:rPr>
          <w:rFonts w:ascii="Arial" w:hAnsi="Arial"/>
          <w:lang w:val="es-CR"/>
        </w:rPr>
      </w:pPr>
      <w:r w:rsidRPr="00DB00FC">
        <w:rPr>
          <w:rFonts w:ascii="Arial" w:hAnsi="Arial"/>
          <w:lang w:val="es-CR"/>
        </w:rPr>
        <w:t>El plazo otorgado a las instancias consultadas venció el viernes 21 de julio de 2017.</w:t>
      </w:r>
    </w:p>
    <w:p w:rsidR="00DB00FC" w:rsidRPr="00DB00FC" w:rsidRDefault="00DB00FC" w:rsidP="00DB00FC">
      <w:pPr>
        <w:jc w:val="both"/>
        <w:rPr>
          <w:rFonts w:ascii="Arial" w:hAnsi="Arial"/>
          <w:sz w:val="16"/>
          <w:szCs w:val="16"/>
          <w:lang w:val="es-CR"/>
        </w:rPr>
      </w:pPr>
    </w:p>
    <w:p w:rsidR="00DB00FC" w:rsidRPr="00DB00FC" w:rsidRDefault="00DB00FC" w:rsidP="00DB00FC">
      <w:pPr>
        <w:numPr>
          <w:ilvl w:val="0"/>
          <w:numId w:val="29"/>
        </w:numPr>
        <w:tabs>
          <w:tab w:val="num" w:pos="465"/>
        </w:tabs>
        <w:ind w:left="465"/>
        <w:jc w:val="both"/>
        <w:rPr>
          <w:rFonts w:ascii="Arial" w:eastAsia="Cambria" w:hAnsi="Arial" w:cs="Arial"/>
          <w:lang w:val="es-CR" w:eastAsia="en-US"/>
        </w:rPr>
      </w:pPr>
      <w:r w:rsidRPr="00DB00FC">
        <w:rPr>
          <w:rFonts w:ascii="Arial" w:eastAsia="Cambria" w:hAnsi="Arial" w:cs="Arial"/>
          <w:lang w:val="es-CR" w:eastAsia="en-US"/>
        </w:rPr>
        <w:t xml:space="preserve">Mediante el oficio DFC-1172-2017 del 20 de julio de 2017, el </w:t>
      </w:r>
      <w:r w:rsidRPr="00DB00FC">
        <w:rPr>
          <w:rFonts w:ascii="Arial" w:hAnsi="Arial" w:cs="Arial"/>
          <w:lang w:val="es-ES_tradnl"/>
        </w:rPr>
        <w:t xml:space="preserve">MAE. Roy D’Avanzo Navarro, Director Departamento Financiero Contable, comunica acuerdo del Consejo de Departamento, presentando </w:t>
      </w:r>
      <w:r w:rsidRPr="00DB00FC">
        <w:rPr>
          <w:rFonts w:ascii="Arial" w:eastAsia="Cambria" w:hAnsi="Arial" w:cs="Arial"/>
          <w:lang w:val="es-CR" w:eastAsia="en-US"/>
        </w:rPr>
        <w:t xml:space="preserve">formulario correspondiente, </w:t>
      </w:r>
      <w:r w:rsidRPr="00DB00FC">
        <w:rPr>
          <w:rFonts w:ascii="Arial" w:hAnsi="Arial" w:cs="Arial"/>
          <w:lang w:val="es-ES_tradnl"/>
        </w:rPr>
        <w:t>en el que se solicita una ampliación de 30 días hábiles del plazo para responder la consulta planteada por el Consejo Institucional mediante el acuerdo de la Sesión Ordinaria No. 3028, Artículo 12, del 21 de junio de 2017</w:t>
      </w:r>
      <w:r w:rsidRPr="00DB00FC">
        <w:rPr>
          <w:rFonts w:ascii="Arial" w:hAnsi="Arial"/>
          <w:lang w:val="es-CR"/>
        </w:rPr>
        <w:t>.</w:t>
      </w:r>
    </w:p>
    <w:p w:rsidR="00DB00FC" w:rsidRPr="00DB00FC" w:rsidRDefault="00DB00FC" w:rsidP="00DB00FC">
      <w:pPr>
        <w:jc w:val="both"/>
        <w:rPr>
          <w:rFonts w:ascii="Arial" w:eastAsia="Cambria" w:hAnsi="Arial" w:cs="Arial"/>
          <w:lang w:val="es-CR" w:eastAsia="en-US"/>
        </w:rPr>
      </w:pPr>
    </w:p>
    <w:p w:rsidR="00DB00FC" w:rsidRPr="00DB00FC" w:rsidRDefault="00DB00FC" w:rsidP="00DB00FC">
      <w:pPr>
        <w:numPr>
          <w:ilvl w:val="0"/>
          <w:numId w:val="29"/>
        </w:numPr>
        <w:tabs>
          <w:tab w:val="num" w:pos="465"/>
        </w:tabs>
        <w:ind w:left="465"/>
        <w:jc w:val="both"/>
        <w:rPr>
          <w:rFonts w:ascii="Arial" w:hAnsi="Arial"/>
          <w:lang w:val="es-CR"/>
        </w:rPr>
      </w:pPr>
      <w:r w:rsidRPr="00DB00FC">
        <w:rPr>
          <w:rFonts w:ascii="Arial" w:hAnsi="Arial"/>
          <w:lang w:val="es-CR"/>
        </w:rPr>
        <w:t xml:space="preserve">El inciso j del artículo 17 del Reglamento del Consejo Institucional dispone, como función de las Comisiones Permanentes </w:t>
      </w:r>
      <w:r w:rsidRPr="00DB00FC">
        <w:rPr>
          <w:rFonts w:ascii="Arial" w:hAnsi="Arial"/>
          <w:i/>
          <w:lang w:val="es-CR"/>
        </w:rPr>
        <w:t>“Conocer las solicitudes de prórroga de plazos presentadas al Consejo Institucional por las Comisiones Especiales para la presentación del dictamen o proyecto respectivo de los asuntos específicos encomendados, según lo establecido en el artículo 26</w:t>
      </w:r>
      <w:r w:rsidRPr="00DB00FC">
        <w:rPr>
          <w:rFonts w:ascii="Arial" w:hAnsi="Arial"/>
          <w:lang w:val="es-CR"/>
        </w:rPr>
        <w:t xml:space="preserve">”. </w:t>
      </w:r>
    </w:p>
    <w:p w:rsidR="00DB00FC" w:rsidRPr="00DB00FC" w:rsidRDefault="00DB00FC" w:rsidP="00DB00FC">
      <w:pPr>
        <w:jc w:val="both"/>
        <w:rPr>
          <w:rFonts w:ascii="Arial" w:hAnsi="Arial"/>
          <w:lang w:val="es-CR"/>
        </w:rPr>
      </w:pPr>
    </w:p>
    <w:p w:rsidR="00DB00FC" w:rsidRPr="00DB00FC" w:rsidRDefault="00DB00FC" w:rsidP="00DB00FC">
      <w:pPr>
        <w:numPr>
          <w:ilvl w:val="0"/>
          <w:numId w:val="29"/>
        </w:numPr>
        <w:tabs>
          <w:tab w:val="num" w:pos="465"/>
        </w:tabs>
        <w:ind w:left="465"/>
        <w:jc w:val="both"/>
        <w:rPr>
          <w:rFonts w:ascii="Arial" w:hAnsi="Arial"/>
          <w:lang w:val="es-CR"/>
        </w:rPr>
      </w:pPr>
      <w:r w:rsidRPr="00DB00FC">
        <w:rPr>
          <w:rFonts w:ascii="Arial" w:hAnsi="Arial"/>
          <w:lang w:val="es-CR"/>
        </w:rPr>
        <w:t>El Artículo 82 del Reglamento del Consejo Institucional dispone lo siguiente:</w:t>
      </w:r>
    </w:p>
    <w:p w:rsidR="00DB00FC" w:rsidRPr="00DB00FC" w:rsidRDefault="00DB00FC" w:rsidP="00DB00FC">
      <w:pPr>
        <w:ind w:left="708"/>
        <w:rPr>
          <w:sz w:val="16"/>
          <w:szCs w:val="16"/>
          <w:lang w:val="es-CR"/>
        </w:rPr>
      </w:pPr>
    </w:p>
    <w:p w:rsidR="00DB00FC" w:rsidRDefault="00DB00FC" w:rsidP="00DB00FC">
      <w:pPr>
        <w:ind w:left="851" w:right="567"/>
        <w:jc w:val="both"/>
        <w:rPr>
          <w:rFonts w:ascii="Arial" w:hAnsi="Arial"/>
          <w:i/>
          <w:sz w:val="22"/>
          <w:szCs w:val="22"/>
          <w:lang w:val="es-CR"/>
        </w:rPr>
      </w:pPr>
      <w:r w:rsidRPr="00DB00FC">
        <w:rPr>
          <w:rFonts w:ascii="Arial" w:hAnsi="Arial"/>
          <w:i/>
          <w:sz w:val="22"/>
          <w:szCs w:val="22"/>
          <w:lang w:val="es-CR"/>
        </w:rPr>
        <w:t xml:space="preserve">Cuando el Consejo Institucional someta a consulta de otros órganos institucionales propuestas y dictámenes que se estén discutiendo en su seno, exceptuando a la Asamblea Institucional Plebiscitaria y a la Asamblea Institucional Representativa, los órganos institucionales tendrán 15 días hábiles para pronunciarse sobre el asunto, siempre y cuando el Consejo no fije un plazo diferente. </w:t>
      </w:r>
    </w:p>
    <w:p w:rsidR="006B1232" w:rsidRPr="00DB00FC" w:rsidRDefault="006B1232" w:rsidP="00DB00FC">
      <w:pPr>
        <w:ind w:left="851" w:right="567"/>
        <w:jc w:val="both"/>
        <w:rPr>
          <w:rFonts w:ascii="Arial" w:hAnsi="Arial"/>
          <w:i/>
          <w:sz w:val="22"/>
          <w:szCs w:val="22"/>
          <w:lang w:val="es-CR"/>
        </w:rPr>
      </w:pPr>
    </w:p>
    <w:p w:rsidR="00DB00FC" w:rsidRPr="00DB00FC" w:rsidRDefault="00DB00FC" w:rsidP="00DB00FC">
      <w:pPr>
        <w:spacing w:after="200" w:line="288" w:lineRule="auto"/>
        <w:jc w:val="both"/>
        <w:outlineLvl w:val="0"/>
        <w:rPr>
          <w:rFonts w:ascii="Arial" w:eastAsia="Cambria" w:hAnsi="Arial" w:cs="Arial"/>
          <w:b/>
          <w:lang w:val="es-CR" w:eastAsia="en-US"/>
        </w:rPr>
      </w:pPr>
      <w:r w:rsidRPr="00DB00FC">
        <w:rPr>
          <w:rFonts w:ascii="Arial" w:eastAsia="Cambria" w:hAnsi="Arial" w:cs="Arial"/>
          <w:b/>
          <w:lang w:val="es-CR" w:eastAsia="en-US"/>
        </w:rPr>
        <w:t>CONSIDERANDO QUE:</w:t>
      </w:r>
    </w:p>
    <w:p w:rsidR="00DB00FC" w:rsidRPr="00DB00FC" w:rsidRDefault="00DB00FC" w:rsidP="00DB00FC">
      <w:pPr>
        <w:numPr>
          <w:ilvl w:val="0"/>
          <w:numId w:val="30"/>
        </w:numPr>
        <w:ind w:left="66"/>
        <w:jc w:val="both"/>
        <w:rPr>
          <w:rFonts w:ascii="Arial" w:hAnsi="Arial" w:cs="Arial"/>
          <w:lang w:val="es-ES_tradnl"/>
        </w:rPr>
      </w:pPr>
      <w:r w:rsidRPr="00DB00FC">
        <w:rPr>
          <w:rFonts w:ascii="Arial" w:hAnsi="Arial" w:cs="Arial"/>
          <w:lang w:val="es-ES_tradnl"/>
        </w:rPr>
        <w:t xml:space="preserve">La Comisión de Planificación y Administración conoció la solicitud del oficio </w:t>
      </w:r>
      <w:r w:rsidRPr="00DB00FC">
        <w:rPr>
          <w:rFonts w:ascii="Arial" w:eastAsia="Cambria" w:hAnsi="Arial" w:cs="Arial"/>
          <w:lang w:val="es-CR" w:eastAsia="en-US"/>
        </w:rPr>
        <w:t xml:space="preserve">DFC-1172-2017, </w:t>
      </w:r>
      <w:r w:rsidRPr="00DB00FC">
        <w:rPr>
          <w:rFonts w:ascii="Arial" w:hAnsi="Arial" w:cs="Arial"/>
          <w:lang w:val="es-ES_tradnl"/>
        </w:rPr>
        <w:t>en la reunión No. 730-2017, realizada el jueves 27 de julio de 2017, revisa  la solicitud de prórroga planteada por el Departamento Financiero Contable y valora la conveniencia de extender el plazo solicitado por ser el Departamento Financiero Contable una de las instancias directamente involucradas en la “Propuesta de Re-estructuración  de la Oficina de Planificación Institucional”, y acordó recomendar al Consejo Institucional:</w:t>
      </w:r>
    </w:p>
    <w:p w:rsidR="00DB00FC" w:rsidRPr="00DB00FC" w:rsidRDefault="00DB00FC" w:rsidP="00DB00FC">
      <w:pPr>
        <w:ind w:left="-294"/>
        <w:jc w:val="both"/>
        <w:rPr>
          <w:rFonts w:ascii="Arial" w:hAnsi="Arial" w:cs="Arial"/>
          <w:lang w:val="es-ES_tradnl"/>
        </w:rPr>
      </w:pPr>
    </w:p>
    <w:p w:rsidR="00DB00FC" w:rsidRPr="00DB00FC" w:rsidRDefault="00DB00FC" w:rsidP="00DB00FC">
      <w:pPr>
        <w:numPr>
          <w:ilvl w:val="2"/>
          <w:numId w:val="32"/>
        </w:numPr>
        <w:jc w:val="both"/>
        <w:rPr>
          <w:rFonts w:ascii="Arial" w:hAnsi="Arial" w:cs="Arial"/>
          <w:lang w:val="es-ES_tradnl"/>
        </w:rPr>
      </w:pPr>
      <w:r w:rsidRPr="00DB00FC">
        <w:rPr>
          <w:rFonts w:ascii="Arial" w:hAnsi="Arial" w:cs="Arial"/>
          <w:lang w:val="es-ES_tradnl"/>
        </w:rPr>
        <w:t>Extender el plazo de la consulta, pero solo hasta el 30 de agosto de 2017, por considerarse que 30 días hábiles adicionales es un plazo excesivo.</w:t>
      </w:r>
    </w:p>
    <w:p w:rsidR="00DB00FC" w:rsidRPr="00DB00FC" w:rsidRDefault="00DB00FC" w:rsidP="00DB00FC">
      <w:pPr>
        <w:ind w:left="720"/>
        <w:jc w:val="both"/>
        <w:rPr>
          <w:rFonts w:ascii="Arial" w:hAnsi="Arial" w:cs="Arial"/>
          <w:sz w:val="16"/>
          <w:szCs w:val="16"/>
          <w:lang w:val="es-ES_tradnl"/>
        </w:rPr>
      </w:pPr>
    </w:p>
    <w:p w:rsidR="00DB00FC" w:rsidRPr="00DB00FC" w:rsidRDefault="00DB00FC" w:rsidP="00DB00FC">
      <w:pPr>
        <w:numPr>
          <w:ilvl w:val="2"/>
          <w:numId w:val="32"/>
        </w:numPr>
        <w:jc w:val="both"/>
        <w:rPr>
          <w:rFonts w:ascii="Arial" w:hAnsi="Arial" w:cs="Arial"/>
          <w:lang w:val="es-ES_tradnl"/>
        </w:rPr>
      </w:pPr>
      <w:r w:rsidRPr="00DB00FC">
        <w:rPr>
          <w:rFonts w:ascii="Arial" w:hAnsi="Arial" w:cs="Arial"/>
          <w:lang w:val="es-ES_tradnl"/>
        </w:rPr>
        <w:t xml:space="preserve">Hacer extensiva la ampliación del plazo a las otras instancias consultadas con la finalidad de que también tengan oportunidad de hacer sus aportes si así lo necesitan </w:t>
      </w:r>
    </w:p>
    <w:p w:rsidR="00DB00FC" w:rsidRPr="00DB00FC" w:rsidRDefault="00DB00FC" w:rsidP="00DB00FC">
      <w:pPr>
        <w:jc w:val="both"/>
        <w:rPr>
          <w:rFonts w:ascii="Arial" w:hAnsi="Arial" w:cs="Arial"/>
          <w:sz w:val="20"/>
          <w:szCs w:val="20"/>
          <w:lang w:val="es-ES_tradnl"/>
        </w:rPr>
      </w:pPr>
    </w:p>
    <w:p w:rsidR="00DB00FC" w:rsidRPr="00DB00FC" w:rsidRDefault="00DB00FC" w:rsidP="00DB00FC">
      <w:pPr>
        <w:ind w:left="-284"/>
        <w:jc w:val="both"/>
        <w:rPr>
          <w:rFonts w:ascii="Arial" w:hAnsi="Arial" w:cs="Arial"/>
          <w:b/>
          <w:lang w:val="es-CR"/>
        </w:rPr>
      </w:pPr>
      <w:r>
        <w:rPr>
          <w:rFonts w:ascii="Arial" w:hAnsi="Arial" w:cs="Arial"/>
          <w:b/>
          <w:lang w:val="es-CR"/>
        </w:rPr>
        <w:t>SE ACUERDA</w:t>
      </w:r>
      <w:r w:rsidRPr="00DB00FC">
        <w:rPr>
          <w:rFonts w:ascii="Arial" w:hAnsi="Arial" w:cs="Arial"/>
          <w:b/>
          <w:lang w:val="es-CR"/>
        </w:rPr>
        <w:t>:</w:t>
      </w:r>
    </w:p>
    <w:p w:rsidR="00DB00FC" w:rsidRPr="00DB00FC" w:rsidRDefault="00DB00FC" w:rsidP="00DB00FC">
      <w:pPr>
        <w:jc w:val="both"/>
        <w:rPr>
          <w:rFonts w:ascii="Arial" w:hAnsi="Arial" w:cs="Arial"/>
          <w:sz w:val="20"/>
          <w:szCs w:val="20"/>
        </w:rPr>
      </w:pPr>
    </w:p>
    <w:p w:rsidR="00DB00FC" w:rsidRPr="00DB00FC" w:rsidRDefault="00DB00FC" w:rsidP="00DB00FC">
      <w:pPr>
        <w:numPr>
          <w:ilvl w:val="0"/>
          <w:numId w:val="31"/>
        </w:numPr>
        <w:autoSpaceDE w:val="0"/>
        <w:autoSpaceDN w:val="0"/>
        <w:adjustRightInd w:val="0"/>
        <w:ind w:left="142" w:right="-518"/>
        <w:jc w:val="both"/>
        <w:rPr>
          <w:rFonts w:ascii="Arial" w:hAnsi="Arial" w:cs="Arial"/>
          <w:lang w:val="es-CR"/>
        </w:rPr>
      </w:pPr>
      <w:r w:rsidRPr="00DB00FC">
        <w:rPr>
          <w:rFonts w:ascii="Arial" w:hAnsi="Arial" w:cs="Arial"/>
          <w:lang w:val="es-CR"/>
        </w:rPr>
        <w:t>Ampliar el plazo de la consulta establecida en el acuerdo de la Sesión Ordinaria No. 3028, Artículo 12, del 21 de junio de 2017, hasta el 30 de agosto de 2017, a la Rectoría, Vicerrectoría de Administración, Oficina de Planificación Institucional, al Depto.  Financiero Contable y a la Asociación de Funcionarios del ITCR (AFITEC)”.</w:t>
      </w:r>
    </w:p>
    <w:p w:rsidR="00A20EA7" w:rsidRPr="00772438" w:rsidRDefault="00A20EA7" w:rsidP="00DB00FC">
      <w:pPr>
        <w:ind w:right="-91"/>
        <w:jc w:val="both"/>
        <w:rPr>
          <w:rFonts w:ascii="Arial" w:hAnsi="Arial" w:cs="Arial"/>
        </w:rPr>
      </w:pPr>
    </w:p>
    <w:p w:rsidR="00772438" w:rsidRPr="00DB00FC" w:rsidRDefault="00772438" w:rsidP="00DB00FC">
      <w:pPr>
        <w:numPr>
          <w:ilvl w:val="0"/>
          <w:numId w:val="31"/>
        </w:numPr>
        <w:autoSpaceDE w:val="0"/>
        <w:autoSpaceDN w:val="0"/>
        <w:adjustRightInd w:val="0"/>
        <w:ind w:left="142" w:right="-518"/>
        <w:jc w:val="both"/>
        <w:rPr>
          <w:rFonts w:ascii="Arial" w:eastAsia="Cambria" w:hAnsi="Arial" w:cs="Arial"/>
          <w:lang w:val="es-CR" w:eastAsia="en-US"/>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 </w:t>
      </w:r>
    </w:p>
    <w:p w:rsidR="00DB00FC" w:rsidRPr="00A20EA7" w:rsidRDefault="00DB00FC" w:rsidP="00DB00FC">
      <w:pPr>
        <w:jc w:val="both"/>
        <w:rPr>
          <w:rFonts w:ascii="Arial" w:eastAsia="Cambria" w:hAnsi="Arial" w:cs="Arial"/>
          <w:lang w:val="es-CR" w:eastAsia="en-US"/>
        </w:rPr>
      </w:pPr>
    </w:p>
    <w:p w:rsidR="00DB00FC" w:rsidRPr="00DB00FC" w:rsidRDefault="00DB00FC" w:rsidP="00DB00FC">
      <w:pPr>
        <w:ind w:right="-91"/>
        <w:jc w:val="both"/>
        <w:rPr>
          <w:rFonts w:ascii="Arial" w:hAnsi="Arial" w:cs="Arial"/>
          <w:b/>
          <w:sz w:val="22"/>
          <w:szCs w:val="22"/>
        </w:rPr>
      </w:pPr>
      <w:r w:rsidRPr="00DB00FC">
        <w:rPr>
          <w:rFonts w:ascii="Arial" w:hAnsi="Arial" w:cs="Arial"/>
          <w:b/>
          <w:sz w:val="22"/>
          <w:szCs w:val="22"/>
        </w:rPr>
        <w:t xml:space="preserve">Palabras clave:   Prórroga – Sesión No. 3011 – Financiero Contable </w:t>
      </w:r>
      <w:proofErr w:type="gramStart"/>
      <w:r w:rsidRPr="00DB00FC">
        <w:rPr>
          <w:rFonts w:ascii="Arial" w:hAnsi="Arial" w:cs="Arial"/>
          <w:b/>
          <w:sz w:val="22"/>
          <w:szCs w:val="22"/>
        </w:rPr>
        <w:t>-  Reestructuración</w:t>
      </w:r>
      <w:proofErr w:type="gramEnd"/>
      <w:r w:rsidRPr="00DB00FC">
        <w:rPr>
          <w:rFonts w:ascii="Arial" w:hAnsi="Arial" w:cs="Arial"/>
          <w:b/>
          <w:sz w:val="22"/>
          <w:szCs w:val="22"/>
        </w:rPr>
        <w:t xml:space="preserve"> OPI  </w:t>
      </w:r>
    </w:p>
    <w:p w:rsidR="00A20EA7" w:rsidRPr="00DB00FC" w:rsidRDefault="00A20EA7" w:rsidP="00A20EA7">
      <w:pPr>
        <w:pStyle w:val="Prrafodelista"/>
        <w:rPr>
          <w:rFonts w:ascii="Arial" w:eastAsia="Cambria" w:hAnsi="Arial" w:cs="Arial"/>
          <w:lang w:eastAsia="en-US"/>
        </w:rPr>
      </w:pPr>
    </w:p>
    <w:p w:rsidR="00772438" w:rsidRPr="00772438" w:rsidRDefault="00772438" w:rsidP="00772438">
      <w:pPr>
        <w:ind w:left="360" w:right="-91"/>
        <w:jc w:val="both"/>
        <w:rPr>
          <w:rFonts w:ascii="Arial" w:hAnsi="Arial" w:cs="Arial"/>
        </w:rPr>
      </w:pPr>
    </w:p>
    <w:p w:rsidR="00772438" w:rsidRPr="00A20EA7" w:rsidRDefault="00772438" w:rsidP="00772438">
      <w:pPr>
        <w:ind w:left="-567" w:firstLine="567"/>
        <w:jc w:val="both"/>
        <w:rPr>
          <w:rFonts w:ascii="Arial" w:eastAsia="Cambria" w:hAnsi="Arial" w:cs="Arial"/>
          <w:b/>
          <w:sz w:val="16"/>
          <w:szCs w:val="16"/>
          <w:lang w:val="es-CR" w:eastAsia="en-US"/>
        </w:rPr>
      </w:pPr>
    </w:p>
    <w:tbl>
      <w:tblPr>
        <w:tblpPr w:leftFromText="142" w:rightFromText="142" w:vertAnchor="text" w:horzAnchor="margin" w:tblpY="1"/>
        <w:tblOverlap w:val="never"/>
        <w:tblW w:w="23478" w:type="dxa"/>
        <w:tblLook w:val="04A0" w:firstRow="1" w:lastRow="0" w:firstColumn="1" w:lastColumn="0" w:noHBand="0" w:noVBand="1"/>
      </w:tblPr>
      <w:tblGrid>
        <w:gridCol w:w="22763"/>
        <w:gridCol w:w="222"/>
        <w:gridCol w:w="222"/>
        <w:gridCol w:w="222"/>
        <w:gridCol w:w="47"/>
        <w:gridCol w:w="175"/>
        <w:gridCol w:w="222"/>
        <w:gridCol w:w="222"/>
        <w:gridCol w:w="222"/>
      </w:tblGrid>
      <w:tr w:rsidR="00DB00FC" w:rsidTr="00FF595A">
        <w:trPr>
          <w:gridAfter w:val="3"/>
          <w:wAfter w:w="931" w:type="dxa"/>
          <w:trHeight w:val="183"/>
        </w:trPr>
        <w:tc>
          <w:tcPr>
            <w:tcW w:w="4361" w:type="dxa"/>
          </w:tcPr>
          <w:p w:rsidR="00DB00FC" w:rsidRDefault="00DB00FC" w:rsidP="00FF595A">
            <w:pPr>
              <w:rPr>
                <w:rFonts w:ascii="Arial" w:eastAsia="Cambria" w:hAnsi="Arial" w:cs="Arial"/>
                <w:b/>
                <w:sz w:val="16"/>
                <w:szCs w:val="16"/>
                <w:lang w:val="es-ES_tradnl" w:eastAsia="en-US"/>
              </w:rPr>
            </w:pPr>
          </w:p>
        </w:tc>
        <w:tc>
          <w:tcPr>
            <w:tcW w:w="4361" w:type="dxa"/>
          </w:tcPr>
          <w:p w:rsidR="00DB00FC" w:rsidRDefault="00DB00FC" w:rsidP="00FF595A">
            <w:pPr>
              <w:jc w:val="both"/>
              <w:rPr>
                <w:rFonts w:ascii="Arial" w:eastAsia="Cambria" w:hAnsi="Arial" w:cs="Arial"/>
                <w:b/>
                <w:sz w:val="16"/>
                <w:szCs w:val="16"/>
                <w:lang w:val="es-ES_tradnl" w:eastAsia="en-US"/>
              </w:rPr>
            </w:pPr>
          </w:p>
        </w:tc>
        <w:tc>
          <w:tcPr>
            <w:tcW w:w="4361" w:type="dxa"/>
          </w:tcPr>
          <w:p w:rsidR="00DB00FC" w:rsidRDefault="00DB00FC" w:rsidP="00FF595A">
            <w:pPr>
              <w:jc w:val="both"/>
              <w:rPr>
                <w:rFonts w:ascii="Arial" w:eastAsia="Cambria" w:hAnsi="Arial" w:cs="Arial"/>
                <w:b/>
                <w:sz w:val="16"/>
                <w:szCs w:val="16"/>
                <w:lang w:val="es-ES_tradnl" w:eastAsia="en-US"/>
              </w:rPr>
            </w:pPr>
          </w:p>
        </w:tc>
        <w:tc>
          <w:tcPr>
            <w:tcW w:w="4361" w:type="dxa"/>
          </w:tcPr>
          <w:p w:rsidR="00DB00FC" w:rsidRDefault="00DB00FC" w:rsidP="00FF595A">
            <w:pPr>
              <w:jc w:val="both"/>
              <w:rPr>
                <w:rFonts w:ascii="Arial" w:eastAsia="Cambria" w:hAnsi="Arial" w:cs="Arial"/>
                <w:b/>
                <w:sz w:val="16"/>
                <w:szCs w:val="16"/>
                <w:lang w:val="es-ES_tradnl" w:eastAsia="en-US"/>
              </w:rPr>
            </w:pPr>
          </w:p>
        </w:tc>
        <w:tc>
          <w:tcPr>
            <w:tcW w:w="5103" w:type="dxa"/>
            <w:gridSpan w:val="2"/>
          </w:tcPr>
          <w:p w:rsidR="00DB00FC" w:rsidRDefault="00DB00FC" w:rsidP="00FF595A">
            <w:pPr>
              <w:jc w:val="both"/>
              <w:rPr>
                <w:rFonts w:ascii="Arial" w:eastAsia="Cambria" w:hAnsi="Arial" w:cs="Arial"/>
                <w:b/>
                <w:sz w:val="16"/>
                <w:szCs w:val="16"/>
                <w:lang w:val="es-ES_tradnl" w:eastAsia="en-US"/>
              </w:rPr>
            </w:pPr>
          </w:p>
        </w:tc>
      </w:tr>
      <w:tr w:rsidR="00DB00FC" w:rsidTr="00FF595A">
        <w:trPr>
          <w:gridAfter w:val="4"/>
          <w:wAfter w:w="5292" w:type="dxa"/>
          <w:trHeight w:val="183"/>
        </w:trPr>
        <w:tc>
          <w:tcPr>
            <w:tcW w:w="4361" w:type="dxa"/>
          </w:tcPr>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DB00FC" w:rsidTr="00FF595A">
              <w:trPr>
                <w:trHeight w:val="183"/>
              </w:trPr>
              <w:tc>
                <w:tcPr>
                  <w:tcW w:w="4361" w:type="dxa"/>
                </w:tcPr>
                <w:p w:rsidR="00DB00FC" w:rsidRDefault="00DB00FC" w:rsidP="00FF595A">
                  <w:pPr>
                    <w:jc w:val="both"/>
                    <w:rPr>
                      <w:rFonts w:ascii="Arial" w:eastAsia="Cambria" w:hAnsi="Arial" w:cs="Arial"/>
                      <w:b/>
                      <w:sz w:val="16"/>
                      <w:szCs w:val="16"/>
                      <w:lang w:val="es-ES_tradnl" w:eastAsia="en-US"/>
                    </w:rPr>
                  </w:pPr>
                </w:p>
              </w:tc>
              <w:tc>
                <w:tcPr>
                  <w:tcW w:w="4361" w:type="dxa"/>
                </w:tcPr>
                <w:p w:rsidR="00DB00FC" w:rsidRDefault="00DB00FC" w:rsidP="00FF595A">
                  <w:pPr>
                    <w:jc w:val="both"/>
                    <w:rPr>
                      <w:rFonts w:ascii="Arial" w:eastAsia="Cambria" w:hAnsi="Arial" w:cs="Arial"/>
                      <w:b/>
                      <w:sz w:val="16"/>
                      <w:szCs w:val="16"/>
                      <w:lang w:val="es-ES_tradnl" w:eastAsia="en-US"/>
                    </w:rPr>
                  </w:pPr>
                </w:p>
              </w:tc>
              <w:tc>
                <w:tcPr>
                  <w:tcW w:w="4361" w:type="dxa"/>
                </w:tcPr>
                <w:p w:rsidR="00DB00FC" w:rsidRDefault="00DB00FC" w:rsidP="00FF595A">
                  <w:pPr>
                    <w:jc w:val="both"/>
                    <w:rPr>
                      <w:rFonts w:ascii="Arial" w:eastAsia="Cambria" w:hAnsi="Arial" w:cs="Arial"/>
                      <w:b/>
                      <w:sz w:val="16"/>
                      <w:szCs w:val="16"/>
                      <w:lang w:val="es-ES_tradnl" w:eastAsia="en-US"/>
                    </w:rPr>
                  </w:pPr>
                </w:p>
              </w:tc>
              <w:tc>
                <w:tcPr>
                  <w:tcW w:w="4361" w:type="dxa"/>
                </w:tcPr>
                <w:p w:rsidR="00DB00FC" w:rsidRDefault="00DB00FC" w:rsidP="00FF595A">
                  <w:pPr>
                    <w:jc w:val="both"/>
                    <w:rPr>
                      <w:rFonts w:ascii="Arial" w:eastAsia="Cambria" w:hAnsi="Arial" w:cs="Arial"/>
                      <w:b/>
                      <w:sz w:val="16"/>
                      <w:szCs w:val="16"/>
                      <w:lang w:val="es-ES_tradnl" w:eastAsia="en-US"/>
                    </w:rPr>
                  </w:pPr>
                </w:p>
              </w:tc>
              <w:tc>
                <w:tcPr>
                  <w:tcW w:w="5103" w:type="dxa"/>
                  <w:gridSpan w:val="2"/>
                </w:tcPr>
                <w:p w:rsidR="00DB00FC" w:rsidRDefault="00DB00FC" w:rsidP="00FF595A">
                  <w:pPr>
                    <w:jc w:val="both"/>
                    <w:rPr>
                      <w:rFonts w:ascii="Arial" w:eastAsia="Cambria" w:hAnsi="Arial" w:cs="Arial"/>
                      <w:b/>
                      <w:sz w:val="16"/>
                      <w:szCs w:val="16"/>
                      <w:lang w:val="es-ES_tradnl" w:eastAsia="en-US"/>
                    </w:rPr>
                  </w:pPr>
                </w:p>
              </w:tc>
            </w:tr>
            <w:tr w:rsidR="00DB00FC" w:rsidTr="00FF595A">
              <w:trPr>
                <w:gridAfter w:val="1"/>
                <w:wAfter w:w="4361" w:type="dxa"/>
                <w:trHeight w:val="183"/>
              </w:trPr>
              <w:tc>
                <w:tcPr>
                  <w:tcW w:w="4361" w:type="dxa"/>
                </w:tcPr>
                <w:p w:rsidR="00DB00FC" w:rsidRDefault="00DB00FC"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DB00FC" w:rsidRDefault="00DB00FC"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DB00FC" w:rsidRDefault="00DB00FC"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DB00FC" w:rsidRDefault="00DB00FC"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DB00FC" w:rsidRDefault="00DB00FC"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DB00FC" w:rsidRDefault="00DB00FC"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DB00FC" w:rsidRDefault="00DB00FC"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DB00FC" w:rsidRDefault="00DB00FC"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DB00FC" w:rsidRDefault="00DB00FC" w:rsidP="00FF595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tc>
              <w:tc>
                <w:tcPr>
                  <w:tcW w:w="4361" w:type="dxa"/>
                </w:tcPr>
                <w:p w:rsidR="00DB00FC" w:rsidRDefault="00DB00FC" w:rsidP="00FF595A">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DB00FC" w:rsidRDefault="00DB00FC" w:rsidP="00FF595A">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p>
                <w:p w:rsidR="00DB00FC" w:rsidRDefault="00DB00FC" w:rsidP="00FF595A">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DB00FC" w:rsidRDefault="00DB00FC" w:rsidP="00FF595A">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DB00FC" w:rsidRDefault="00DB00FC" w:rsidP="00FF595A">
                  <w:pPr>
                    <w:rPr>
                      <w:rFonts w:ascii="Arial" w:eastAsia="Cambria" w:hAnsi="Arial" w:cs="Arial"/>
                      <w:b/>
                      <w:sz w:val="16"/>
                      <w:szCs w:val="16"/>
                      <w:lang w:val="es-CR" w:eastAsia="en-US"/>
                    </w:rPr>
                  </w:pPr>
                  <w:r>
                    <w:rPr>
                      <w:rFonts w:ascii="Arial" w:eastAsia="Cambria" w:hAnsi="Arial" w:cs="Arial"/>
                      <w:b/>
                      <w:sz w:val="16"/>
                      <w:szCs w:val="16"/>
                      <w:lang w:val="es-CR" w:eastAsia="en-US"/>
                    </w:rPr>
                    <w:t>FEITEC</w:t>
                  </w:r>
                </w:p>
                <w:p w:rsidR="00DB00FC" w:rsidRDefault="00DB00FC" w:rsidP="00FF595A">
                  <w:pPr>
                    <w:jc w:val="both"/>
                    <w:rPr>
                      <w:rFonts w:ascii="Arial" w:eastAsia="Cambria" w:hAnsi="Arial" w:cs="Arial"/>
                      <w:b/>
                      <w:sz w:val="16"/>
                      <w:szCs w:val="16"/>
                      <w:lang w:val="es-ES_tradnl" w:eastAsia="en-US"/>
                    </w:rPr>
                  </w:pPr>
                </w:p>
                <w:p w:rsidR="00DB00FC" w:rsidRDefault="00DB00FC" w:rsidP="00FF595A">
                  <w:pPr>
                    <w:rPr>
                      <w:rFonts w:ascii="Arial" w:eastAsia="Cambria" w:hAnsi="Arial" w:cs="Arial"/>
                      <w:b/>
                      <w:sz w:val="16"/>
                      <w:szCs w:val="16"/>
                      <w:lang w:val="es-CR" w:eastAsia="en-US"/>
                    </w:rPr>
                  </w:pPr>
                </w:p>
              </w:tc>
              <w:tc>
                <w:tcPr>
                  <w:tcW w:w="4361" w:type="dxa"/>
                </w:tcPr>
                <w:p w:rsidR="00DB00FC" w:rsidRDefault="00DB00FC" w:rsidP="00FF595A">
                  <w:pPr>
                    <w:jc w:val="both"/>
                    <w:rPr>
                      <w:rFonts w:ascii="Arial" w:eastAsia="Cambria" w:hAnsi="Arial" w:cs="Arial"/>
                      <w:b/>
                      <w:sz w:val="16"/>
                      <w:szCs w:val="16"/>
                      <w:lang w:val="es-ES_tradnl" w:eastAsia="en-US"/>
                    </w:rPr>
                  </w:pPr>
                </w:p>
              </w:tc>
              <w:tc>
                <w:tcPr>
                  <w:tcW w:w="5103" w:type="dxa"/>
                  <w:gridSpan w:val="2"/>
                </w:tcPr>
                <w:p w:rsidR="00DB00FC" w:rsidRDefault="00DB00FC" w:rsidP="00FF595A">
                  <w:pPr>
                    <w:jc w:val="both"/>
                    <w:rPr>
                      <w:rFonts w:ascii="Arial" w:eastAsia="Cambria" w:hAnsi="Arial" w:cs="Arial"/>
                      <w:b/>
                      <w:sz w:val="16"/>
                      <w:szCs w:val="16"/>
                      <w:lang w:val="es-ES_tradnl" w:eastAsia="en-US"/>
                    </w:rPr>
                  </w:pPr>
                </w:p>
              </w:tc>
            </w:tr>
          </w:tbl>
          <w:p w:rsidR="00DB00FC" w:rsidRDefault="00DB00FC" w:rsidP="00FF595A">
            <w:pPr>
              <w:rPr>
                <w:rFonts w:ascii="Arial" w:eastAsia="Cambria" w:hAnsi="Arial" w:cs="Arial"/>
                <w:b/>
                <w:sz w:val="16"/>
                <w:szCs w:val="16"/>
                <w:lang w:val="es-CR" w:eastAsia="en-US"/>
              </w:rPr>
            </w:pPr>
          </w:p>
        </w:tc>
        <w:tc>
          <w:tcPr>
            <w:tcW w:w="4361" w:type="dxa"/>
          </w:tcPr>
          <w:p w:rsidR="00DB00FC" w:rsidRDefault="00DB00FC" w:rsidP="00FF595A">
            <w:pPr>
              <w:rPr>
                <w:rFonts w:ascii="Arial" w:eastAsia="Cambria" w:hAnsi="Arial" w:cs="Arial"/>
                <w:b/>
                <w:sz w:val="16"/>
                <w:szCs w:val="16"/>
                <w:lang w:val="es-CR" w:eastAsia="en-US"/>
              </w:rPr>
            </w:pPr>
          </w:p>
        </w:tc>
        <w:tc>
          <w:tcPr>
            <w:tcW w:w="4361" w:type="dxa"/>
          </w:tcPr>
          <w:p w:rsidR="00DB00FC" w:rsidRDefault="00DB00FC" w:rsidP="00FF595A">
            <w:pPr>
              <w:jc w:val="both"/>
              <w:rPr>
                <w:rFonts w:ascii="Arial" w:eastAsia="Cambria" w:hAnsi="Arial" w:cs="Arial"/>
                <w:b/>
                <w:sz w:val="16"/>
                <w:szCs w:val="16"/>
                <w:lang w:val="es-ES_tradnl" w:eastAsia="en-US"/>
              </w:rPr>
            </w:pPr>
          </w:p>
        </w:tc>
        <w:tc>
          <w:tcPr>
            <w:tcW w:w="5103" w:type="dxa"/>
            <w:gridSpan w:val="2"/>
          </w:tcPr>
          <w:p w:rsidR="00DB00FC" w:rsidRDefault="00DB00FC" w:rsidP="00FF595A">
            <w:pPr>
              <w:jc w:val="both"/>
              <w:rPr>
                <w:rFonts w:ascii="Arial" w:eastAsia="Cambria" w:hAnsi="Arial" w:cs="Arial"/>
                <w:b/>
                <w:sz w:val="16"/>
                <w:szCs w:val="16"/>
                <w:lang w:val="es-ES_tradnl" w:eastAsia="en-US"/>
              </w:rPr>
            </w:pPr>
          </w:p>
        </w:tc>
      </w:tr>
      <w:tr w:rsidR="00DB00FC" w:rsidRPr="00474B22" w:rsidTr="00FF595A">
        <w:trPr>
          <w:trHeight w:val="183"/>
        </w:trPr>
        <w:tc>
          <w:tcPr>
            <w:tcW w:w="22763" w:type="dxa"/>
            <w:gridSpan w:val="6"/>
          </w:tcPr>
          <w:p w:rsidR="00DB00FC" w:rsidRPr="00474B22" w:rsidRDefault="00DB00FC" w:rsidP="00FF595A">
            <w:pPr>
              <w:ind w:left="-567" w:firstLine="567"/>
              <w:jc w:val="both"/>
              <w:rPr>
                <w:rFonts w:ascii="Arial" w:eastAsia="Cambria" w:hAnsi="Arial" w:cs="Arial"/>
                <w:b/>
                <w:sz w:val="16"/>
                <w:szCs w:val="16"/>
                <w:lang w:val="es-ES_tradnl" w:eastAsia="en-US"/>
              </w:rPr>
            </w:pPr>
          </w:p>
        </w:tc>
        <w:tc>
          <w:tcPr>
            <w:tcW w:w="222" w:type="dxa"/>
          </w:tcPr>
          <w:p w:rsidR="00DB00FC" w:rsidRPr="00474B22" w:rsidRDefault="00DB00FC" w:rsidP="00FF595A">
            <w:pPr>
              <w:rPr>
                <w:rFonts w:ascii="Arial" w:eastAsia="Cambria" w:hAnsi="Arial" w:cs="Arial"/>
                <w:b/>
                <w:sz w:val="16"/>
                <w:szCs w:val="16"/>
                <w:lang w:val="es-CR" w:eastAsia="en-US"/>
              </w:rPr>
            </w:pPr>
          </w:p>
        </w:tc>
        <w:tc>
          <w:tcPr>
            <w:tcW w:w="222" w:type="dxa"/>
          </w:tcPr>
          <w:p w:rsidR="00DB00FC" w:rsidRPr="00474B22" w:rsidRDefault="00DB00FC" w:rsidP="00FF595A">
            <w:pPr>
              <w:jc w:val="both"/>
              <w:rPr>
                <w:rFonts w:ascii="Arial" w:eastAsia="Cambria" w:hAnsi="Arial" w:cs="Arial"/>
                <w:b/>
                <w:sz w:val="16"/>
                <w:szCs w:val="16"/>
                <w:lang w:val="es-ES_tradnl" w:eastAsia="en-US"/>
              </w:rPr>
            </w:pPr>
          </w:p>
        </w:tc>
        <w:tc>
          <w:tcPr>
            <w:tcW w:w="271" w:type="dxa"/>
          </w:tcPr>
          <w:p w:rsidR="00DB00FC" w:rsidRPr="00474B22" w:rsidRDefault="00DB00FC" w:rsidP="00FF595A">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581" w:rsidRDefault="00473581">
      <w:r>
        <w:separator/>
      </w:r>
    </w:p>
  </w:endnote>
  <w:endnote w:type="continuationSeparator" w:id="0">
    <w:p w:rsidR="00473581" w:rsidRDefault="0047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581" w:rsidRDefault="00473581">
      <w:r>
        <w:separator/>
      </w:r>
    </w:p>
  </w:footnote>
  <w:footnote w:type="continuationSeparator" w:id="0">
    <w:p w:rsidR="00473581" w:rsidRDefault="0047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32AAB">
      <w:rPr>
        <w:rFonts w:ascii="Arial" w:eastAsia="Cambria" w:hAnsi="Arial" w:cs="Arial"/>
        <w:i/>
        <w:sz w:val="18"/>
        <w:szCs w:val="18"/>
        <w:lang w:val="es-ES_tradnl" w:eastAsia="x-none"/>
      </w:rPr>
      <w:t>3</w:t>
    </w:r>
    <w:r w:rsidR="006B1232">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6B1232">
      <w:rPr>
        <w:rFonts w:ascii="Arial" w:eastAsia="Cambria" w:hAnsi="Arial" w:cs="Arial"/>
        <w:i/>
        <w:sz w:val="18"/>
        <w:szCs w:val="18"/>
        <w:lang w:val="es-ES_tradnl" w:eastAsia="x-none"/>
      </w:rPr>
      <w:t>9</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B1232">
      <w:rPr>
        <w:rFonts w:ascii="Arial" w:eastAsia="Cambria" w:hAnsi="Arial" w:cs="Arial"/>
        <w:i/>
        <w:sz w:val="18"/>
        <w:szCs w:val="18"/>
        <w:lang w:val="es-ES_tradnl" w:eastAsia="x-none"/>
      </w:rPr>
      <w:t>03</w:t>
    </w:r>
    <w:r w:rsidR="006442DF">
      <w:rPr>
        <w:rFonts w:ascii="Arial" w:eastAsia="Cambria" w:hAnsi="Arial" w:cs="Arial"/>
        <w:i/>
        <w:sz w:val="18"/>
        <w:szCs w:val="18"/>
        <w:lang w:val="es-ES_tradnl" w:eastAsia="x-none"/>
      </w:rPr>
      <w:t xml:space="preserve"> de </w:t>
    </w:r>
    <w:r w:rsidR="006B1232">
      <w:rPr>
        <w:rFonts w:ascii="Arial" w:eastAsia="Cambria" w:hAnsi="Arial" w:cs="Arial"/>
        <w:i/>
        <w:sz w:val="18"/>
        <w:szCs w:val="18"/>
        <w:lang w:val="es-ES_tradnl" w:eastAsia="x-none"/>
      </w:rPr>
      <w:t>agosto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23DD4">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227B4E"/>
    <w:multiLevelType w:val="hybridMultilevel"/>
    <w:tmpl w:val="66DA58B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6EC0D81"/>
    <w:multiLevelType w:val="hybridMultilevel"/>
    <w:tmpl w:val="A4164A0E"/>
    <w:lvl w:ilvl="0" w:tplc="7070E608">
      <w:start w:val="1"/>
      <w:numFmt w:val="decimal"/>
      <w:lvlText w:val="%1."/>
      <w:lvlJc w:val="left"/>
      <w:pPr>
        <w:ind w:left="720" w:hanging="360"/>
      </w:pPr>
      <w:rPr>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631FDC"/>
    <w:multiLevelType w:val="multilevel"/>
    <w:tmpl w:val="B44EC33E"/>
    <w:lvl w:ilvl="0">
      <w:start w:val="1"/>
      <w:numFmt w:val="decimal"/>
      <w:lvlText w:val="%1)"/>
      <w:lvlJc w:val="left"/>
      <w:pPr>
        <w:ind w:left="360" w:hanging="360"/>
      </w:pPr>
      <w:rPr>
        <w:rFonts w:hint="default"/>
      </w:rPr>
    </w:lvl>
    <w:lvl w:ilvl="1">
      <w:start w:val="1"/>
      <w:numFmt w:val="upperRoman"/>
      <w:lvlText w:val="%2."/>
      <w:lvlJc w:val="righ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C4392D"/>
    <w:multiLevelType w:val="hybridMultilevel"/>
    <w:tmpl w:val="B90EE708"/>
    <w:lvl w:ilvl="0" w:tplc="03EE3954">
      <w:start w:val="1"/>
      <w:numFmt w:val="low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B734C35"/>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22B534BF"/>
    <w:multiLevelType w:val="hybridMultilevel"/>
    <w:tmpl w:val="CA187D80"/>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D2700B"/>
    <w:multiLevelType w:val="hybridMultilevel"/>
    <w:tmpl w:val="FF5AC99A"/>
    <w:lvl w:ilvl="0" w:tplc="A578783E">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E0353D7"/>
    <w:multiLevelType w:val="hybridMultilevel"/>
    <w:tmpl w:val="2026D462"/>
    <w:lvl w:ilvl="0" w:tplc="7236E97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34A4D5A"/>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BE7ED4"/>
    <w:multiLevelType w:val="hybridMultilevel"/>
    <w:tmpl w:val="172A20AE"/>
    <w:lvl w:ilvl="0" w:tplc="0F8CB148">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E26103"/>
    <w:multiLevelType w:val="hybridMultilevel"/>
    <w:tmpl w:val="AB2C696C"/>
    <w:lvl w:ilvl="0" w:tplc="AE70AE64">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BB00756"/>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15B14ED"/>
    <w:multiLevelType w:val="hybridMultilevel"/>
    <w:tmpl w:val="54ACB4EE"/>
    <w:lvl w:ilvl="0" w:tplc="9E64DF44">
      <w:start w:val="1"/>
      <w:numFmt w:val="decimal"/>
      <w:lvlText w:val="%1."/>
      <w:lvlJc w:val="left"/>
      <w:pPr>
        <w:tabs>
          <w:tab w:val="num" w:pos="720"/>
        </w:tabs>
        <w:ind w:left="720" w:hanging="360"/>
      </w:pPr>
      <w:rPr>
        <w:rFonts w:ascii="Arial" w:hAnsi="Arial" w:cs="Arial" w:hint="default"/>
        <w:b/>
        <w:i w:val="0"/>
        <w:color w:val="auto"/>
        <w:sz w:val="24"/>
        <w:szCs w:val="24"/>
      </w:rPr>
    </w:lvl>
    <w:lvl w:ilvl="1" w:tplc="D1240750">
      <w:start w:val="2"/>
      <w:numFmt w:val="lowerLetter"/>
      <w:lvlText w:val="%2."/>
      <w:lvlJc w:val="left"/>
      <w:pPr>
        <w:tabs>
          <w:tab w:val="num" w:pos="1440"/>
        </w:tabs>
        <w:ind w:left="1440" w:hanging="360"/>
      </w:pPr>
      <w:rPr>
        <w:rFonts w:hint="default"/>
      </w:rPr>
    </w:lvl>
    <w:lvl w:ilvl="2" w:tplc="46904F88">
      <w:start w:val="1"/>
      <w:numFmt w:val="lowerLetter"/>
      <w:lvlText w:val="%3)"/>
      <w:lvlJc w:val="left"/>
      <w:pPr>
        <w:ind w:left="1980" w:firstLine="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3B53C64"/>
    <w:multiLevelType w:val="multilevel"/>
    <w:tmpl w:val="1BECB1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9951499"/>
    <w:multiLevelType w:val="hybridMultilevel"/>
    <w:tmpl w:val="7C728520"/>
    <w:lvl w:ilvl="0" w:tplc="B1E2DCD4">
      <w:start w:val="1"/>
      <w:numFmt w:val="decimal"/>
      <w:lvlText w:val="%1."/>
      <w:lvlJc w:val="left"/>
      <w:pPr>
        <w:tabs>
          <w:tab w:val="num" w:pos="720"/>
        </w:tabs>
        <w:ind w:left="720" w:hanging="360"/>
      </w:pPr>
      <w:rPr>
        <w:rFonts w:ascii="Arial" w:hAnsi="Arial" w:cs="Arial" w:hint="default"/>
        <w:b/>
        <w:i w:val="0"/>
        <w:color w:val="000000"/>
        <w:sz w:val="24"/>
        <w:szCs w:val="24"/>
      </w:rPr>
    </w:lvl>
    <w:lvl w:ilvl="1" w:tplc="78B06F26">
      <w:start w:val="18"/>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32F0845"/>
    <w:multiLevelType w:val="hybridMultilevel"/>
    <w:tmpl w:val="AC80272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79C383E"/>
    <w:multiLevelType w:val="multilevel"/>
    <w:tmpl w:val="DC4A9B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8C72396"/>
    <w:multiLevelType w:val="hybridMultilevel"/>
    <w:tmpl w:val="144883FC"/>
    <w:lvl w:ilvl="0" w:tplc="FA8A05CA">
      <w:start w:val="1"/>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3" w15:restartNumberingAfterBreak="0">
    <w:nsid w:val="62396970"/>
    <w:multiLevelType w:val="hybridMultilevel"/>
    <w:tmpl w:val="60A28068"/>
    <w:lvl w:ilvl="0" w:tplc="140A0001">
      <w:start w:val="1"/>
      <w:numFmt w:val="bullet"/>
      <w:lvlText w:val=""/>
      <w:lvlJc w:val="left"/>
      <w:pPr>
        <w:ind w:left="1713" w:hanging="360"/>
      </w:pPr>
      <w:rPr>
        <w:rFonts w:ascii="Symbol" w:hAnsi="Symbol" w:hint="default"/>
      </w:rPr>
    </w:lvl>
    <w:lvl w:ilvl="1" w:tplc="140A0003" w:tentative="1">
      <w:start w:val="1"/>
      <w:numFmt w:val="bullet"/>
      <w:lvlText w:val="o"/>
      <w:lvlJc w:val="left"/>
      <w:pPr>
        <w:ind w:left="2433" w:hanging="360"/>
      </w:pPr>
      <w:rPr>
        <w:rFonts w:ascii="Courier New" w:hAnsi="Courier New" w:cs="Courier New"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24" w15:restartNumberingAfterBreak="0">
    <w:nsid w:val="6C024BDA"/>
    <w:multiLevelType w:val="hybridMultilevel"/>
    <w:tmpl w:val="4EC65B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CEC5D64"/>
    <w:multiLevelType w:val="hybridMultilevel"/>
    <w:tmpl w:val="D318E652"/>
    <w:lvl w:ilvl="0" w:tplc="60B21C56">
      <w:start w:val="1"/>
      <w:numFmt w:val="lowerLetter"/>
      <w:lvlText w:val="%1."/>
      <w:lvlJc w:val="left"/>
      <w:pPr>
        <w:ind w:left="5606" w:hanging="360"/>
      </w:pPr>
      <w:rPr>
        <w:b/>
        <w:strike w:val="0"/>
        <w:sz w:val="24"/>
        <w:szCs w:val="24"/>
      </w:rPr>
    </w:lvl>
    <w:lvl w:ilvl="1" w:tplc="140A0019">
      <w:start w:val="1"/>
      <w:numFmt w:val="lowerLetter"/>
      <w:lvlText w:val="%2."/>
      <w:lvlJc w:val="left"/>
      <w:pPr>
        <w:ind w:left="6326" w:hanging="360"/>
      </w:pPr>
    </w:lvl>
    <w:lvl w:ilvl="2" w:tplc="140A001B" w:tentative="1">
      <w:start w:val="1"/>
      <w:numFmt w:val="lowerRoman"/>
      <w:lvlText w:val="%3."/>
      <w:lvlJc w:val="right"/>
      <w:pPr>
        <w:ind w:left="7046" w:hanging="180"/>
      </w:pPr>
    </w:lvl>
    <w:lvl w:ilvl="3" w:tplc="140A000F" w:tentative="1">
      <w:start w:val="1"/>
      <w:numFmt w:val="decimal"/>
      <w:lvlText w:val="%4."/>
      <w:lvlJc w:val="left"/>
      <w:pPr>
        <w:ind w:left="7766" w:hanging="360"/>
      </w:pPr>
    </w:lvl>
    <w:lvl w:ilvl="4" w:tplc="140A0019" w:tentative="1">
      <w:start w:val="1"/>
      <w:numFmt w:val="lowerLetter"/>
      <w:lvlText w:val="%5."/>
      <w:lvlJc w:val="left"/>
      <w:pPr>
        <w:ind w:left="8486" w:hanging="360"/>
      </w:pPr>
    </w:lvl>
    <w:lvl w:ilvl="5" w:tplc="140A001B" w:tentative="1">
      <w:start w:val="1"/>
      <w:numFmt w:val="lowerRoman"/>
      <w:lvlText w:val="%6."/>
      <w:lvlJc w:val="right"/>
      <w:pPr>
        <w:ind w:left="9206" w:hanging="180"/>
      </w:pPr>
    </w:lvl>
    <w:lvl w:ilvl="6" w:tplc="140A000F" w:tentative="1">
      <w:start w:val="1"/>
      <w:numFmt w:val="decimal"/>
      <w:lvlText w:val="%7."/>
      <w:lvlJc w:val="left"/>
      <w:pPr>
        <w:ind w:left="9926" w:hanging="360"/>
      </w:pPr>
    </w:lvl>
    <w:lvl w:ilvl="7" w:tplc="140A0019" w:tentative="1">
      <w:start w:val="1"/>
      <w:numFmt w:val="lowerLetter"/>
      <w:lvlText w:val="%8."/>
      <w:lvlJc w:val="left"/>
      <w:pPr>
        <w:ind w:left="10646" w:hanging="360"/>
      </w:pPr>
    </w:lvl>
    <w:lvl w:ilvl="8" w:tplc="140A001B" w:tentative="1">
      <w:start w:val="1"/>
      <w:numFmt w:val="lowerRoman"/>
      <w:lvlText w:val="%9."/>
      <w:lvlJc w:val="right"/>
      <w:pPr>
        <w:ind w:left="11366" w:hanging="180"/>
      </w:pPr>
    </w:lvl>
  </w:abstractNum>
  <w:abstractNum w:abstractNumId="26" w15:restartNumberingAfterBreak="0">
    <w:nsid w:val="6F060AE7"/>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7" w15:restartNumberingAfterBreak="0">
    <w:nsid w:val="702F1053"/>
    <w:multiLevelType w:val="multilevel"/>
    <w:tmpl w:val="F40026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266035E"/>
    <w:multiLevelType w:val="hybridMultilevel"/>
    <w:tmpl w:val="EA5EC5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3530BB4"/>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30" w15:restartNumberingAfterBreak="0">
    <w:nsid w:val="751D28A6"/>
    <w:multiLevelType w:val="hybridMultilevel"/>
    <w:tmpl w:val="79E0F2AE"/>
    <w:lvl w:ilvl="0" w:tplc="6A329154">
      <w:start w:val="1"/>
      <w:numFmt w:val="lowerLetter"/>
      <w:lvlText w:val="%1."/>
      <w:lvlJc w:val="left"/>
      <w:pPr>
        <w:tabs>
          <w:tab w:val="num" w:pos="360"/>
        </w:tabs>
        <w:ind w:left="360" w:hanging="360"/>
      </w:pPr>
      <w:rPr>
        <w:rFonts w:ascii="Arial" w:hAnsi="Arial" w:hint="default"/>
        <w:b/>
        <w:i w:val="0"/>
        <w:sz w:val="24"/>
        <w:szCs w:val="24"/>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EB2D67"/>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num w:numId="1">
    <w:abstractNumId w:val="0"/>
  </w:num>
  <w:num w:numId="2">
    <w:abstractNumId w:val="2"/>
  </w:num>
  <w:num w:numId="3">
    <w:abstractNumId w:val="12"/>
  </w:num>
  <w:num w:numId="4">
    <w:abstractNumId w:val="22"/>
  </w:num>
  <w:num w:numId="5">
    <w:abstractNumId w:val="25"/>
  </w:num>
  <w:num w:numId="6">
    <w:abstractNumId w:val="20"/>
  </w:num>
  <w:num w:numId="7">
    <w:abstractNumId w:val="1"/>
  </w:num>
  <w:num w:numId="8">
    <w:abstractNumId w:val="6"/>
  </w:num>
  <w:num w:numId="9">
    <w:abstractNumId w:val="31"/>
  </w:num>
  <w:num w:numId="10">
    <w:abstractNumId w:val="24"/>
  </w:num>
  <w:num w:numId="11">
    <w:abstractNumId w:val="28"/>
  </w:num>
  <w:num w:numId="12">
    <w:abstractNumId w:val="29"/>
  </w:num>
  <w:num w:numId="13">
    <w:abstractNumId w:val="23"/>
  </w:num>
  <w:num w:numId="14">
    <w:abstractNumId w:val="26"/>
  </w:num>
  <w:num w:numId="15">
    <w:abstractNumId w:val="13"/>
  </w:num>
  <w:num w:numId="16">
    <w:abstractNumId w:val="3"/>
  </w:num>
  <w:num w:numId="17">
    <w:abstractNumId w:val="16"/>
  </w:num>
  <w:num w:numId="18">
    <w:abstractNumId w:val="15"/>
  </w:num>
  <w:num w:numId="19">
    <w:abstractNumId w:val="14"/>
  </w:num>
  <w:num w:numId="20">
    <w:abstractNumId w:val="10"/>
  </w:num>
  <w:num w:numId="21">
    <w:abstractNumId w:val="5"/>
  </w:num>
  <w:num w:numId="22">
    <w:abstractNumId w:val="19"/>
  </w:num>
  <w:num w:numId="23">
    <w:abstractNumId w:val="30"/>
  </w:num>
  <w:num w:numId="24">
    <w:abstractNumId w:val="27"/>
  </w:num>
  <w:num w:numId="25">
    <w:abstractNumId w:val="21"/>
  </w:num>
  <w:num w:numId="26">
    <w:abstractNumId w:val="18"/>
  </w:num>
  <w:num w:numId="27">
    <w:abstractNumId w:val="9"/>
  </w:num>
  <w:num w:numId="28">
    <w:abstractNumId w:val="7"/>
  </w:num>
  <w:num w:numId="29">
    <w:abstractNumId w:val="8"/>
  </w:num>
  <w:num w:numId="30">
    <w:abstractNumId w:val="17"/>
  </w:num>
  <w:num w:numId="31">
    <w:abstractNumId w:val="11"/>
  </w:num>
  <w:num w:numId="3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2459"/>
    <w:rsid w:val="001644B1"/>
    <w:rsid w:val="00165556"/>
    <w:rsid w:val="00165902"/>
    <w:rsid w:val="00165B51"/>
    <w:rsid w:val="00165C83"/>
    <w:rsid w:val="00165F34"/>
    <w:rsid w:val="00166375"/>
    <w:rsid w:val="00171AC3"/>
    <w:rsid w:val="001746E5"/>
    <w:rsid w:val="0018030A"/>
    <w:rsid w:val="001806C4"/>
    <w:rsid w:val="00182124"/>
    <w:rsid w:val="00184CD7"/>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3DD4"/>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5E89"/>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581"/>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05F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D4642"/>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0EA9"/>
    <w:rsid w:val="0068346A"/>
    <w:rsid w:val="006842AD"/>
    <w:rsid w:val="006851C8"/>
    <w:rsid w:val="0068595E"/>
    <w:rsid w:val="006862AA"/>
    <w:rsid w:val="006871B3"/>
    <w:rsid w:val="00691130"/>
    <w:rsid w:val="006938F4"/>
    <w:rsid w:val="006976E0"/>
    <w:rsid w:val="006A0355"/>
    <w:rsid w:val="006A0409"/>
    <w:rsid w:val="006A0667"/>
    <w:rsid w:val="006A2A49"/>
    <w:rsid w:val="006A2B99"/>
    <w:rsid w:val="006A362E"/>
    <w:rsid w:val="006A4A3E"/>
    <w:rsid w:val="006B0A68"/>
    <w:rsid w:val="006B0D38"/>
    <w:rsid w:val="006B1232"/>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2AAB"/>
    <w:rsid w:val="00733178"/>
    <w:rsid w:val="00734993"/>
    <w:rsid w:val="007369BA"/>
    <w:rsid w:val="00740752"/>
    <w:rsid w:val="0074284B"/>
    <w:rsid w:val="00744C74"/>
    <w:rsid w:val="0075179A"/>
    <w:rsid w:val="00751AB1"/>
    <w:rsid w:val="007553D4"/>
    <w:rsid w:val="00760AD1"/>
    <w:rsid w:val="00761133"/>
    <w:rsid w:val="007619FB"/>
    <w:rsid w:val="00763AF2"/>
    <w:rsid w:val="00772438"/>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698"/>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3F94"/>
    <w:rsid w:val="00865845"/>
    <w:rsid w:val="008765DF"/>
    <w:rsid w:val="00876EC4"/>
    <w:rsid w:val="00877453"/>
    <w:rsid w:val="0088064F"/>
    <w:rsid w:val="008833CD"/>
    <w:rsid w:val="008859A4"/>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473"/>
    <w:rsid w:val="00914F38"/>
    <w:rsid w:val="00917F97"/>
    <w:rsid w:val="00924AA2"/>
    <w:rsid w:val="009258C6"/>
    <w:rsid w:val="00930A02"/>
    <w:rsid w:val="00931FBC"/>
    <w:rsid w:val="009401C7"/>
    <w:rsid w:val="00941FEE"/>
    <w:rsid w:val="00944027"/>
    <w:rsid w:val="009526A4"/>
    <w:rsid w:val="00953CA5"/>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4238"/>
    <w:rsid w:val="00A1609F"/>
    <w:rsid w:val="00A20EA7"/>
    <w:rsid w:val="00A22594"/>
    <w:rsid w:val="00A22FC1"/>
    <w:rsid w:val="00A2484D"/>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97FD5"/>
    <w:rsid w:val="00AA4A78"/>
    <w:rsid w:val="00AA5259"/>
    <w:rsid w:val="00AA7CF3"/>
    <w:rsid w:val="00AB0454"/>
    <w:rsid w:val="00AB1A4B"/>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2D5F"/>
    <w:rsid w:val="00B40B55"/>
    <w:rsid w:val="00B415F0"/>
    <w:rsid w:val="00B4627C"/>
    <w:rsid w:val="00B47959"/>
    <w:rsid w:val="00B500C3"/>
    <w:rsid w:val="00B50C53"/>
    <w:rsid w:val="00B544F0"/>
    <w:rsid w:val="00B545A7"/>
    <w:rsid w:val="00B60382"/>
    <w:rsid w:val="00B6158F"/>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64"/>
    <w:rsid w:val="00BD64C2"/>
    <w:rsid w:val="00BD72A1"/>
    <w:rsid w:val="00BE11A5"/>
    <w:rsid w:val="00BE546A"/>
    <w:rsid w:val="00BE5D68"/>
    <w:rsid w:val="00BF7038"/>
    <w:rsid w:val="00BF7AAD"/>
    <w:rsid w:val="00C0001A"/>
    <w:rsid w:val="00C00074"/>
    <w:rsid w:val="00C0578A"/>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A7F9E"/>
    <w:rsid w:val="00CB0CB0"/>
    <w:rsid w:val="00CB0ED4"/>
    <w:rsid w:val="00CB1EFF"/>
    <w:rsid w:val="00CB4C4E"/>
    <w:rsid w:val="00CB5DCD"/>
    <w:rsid w:val="00CB682F"/>
    <w:rsid w:val="00CB7A61"/>
    <w:rsid w:val="00CC363D"/>
    <w:rsid w:val="00CC41FF"/>
    <w:rsid w:val="00CC64CA"/>
    <w:rsid w:val="00CC68BB"/>
    <w:rsid w:val="00CD4387"/>
    <w:rsid w:val="00CE0215"/>
    <w:rsid w:val="00CE6A7A"/>
    <w:rsid w:val="00CF025B"/>
    <w:rsid w:val="00CF034C"/>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A7DB4"/>
    <w:rsid w:val="00DB00FC"/>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1250"/>
    <w:rsid w:val="00E03D24"/>
    <w:rsid w:val="00E05701"/>
    <w:rsid w:val="00E0753C"/>
    <w:rsid w:val="00E11488"/>
    <w:rsid w:val="00E12B5E"/>
    <w:rsid w:val="00E16F62"/>
    <w:rsid w:val="00E22D17"/>
    <w:rsid w:val="00E26992"/>
    <w:rsid w:val="00E30502"/>
    <w:rsid w:val="00E359B9"/>
    <w:rsid w:val="00E37B8A"/>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BED7D-A304-47FE-A8A7-303CFF34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Pages>
  <Words>667</Words>
  <Characters>3895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asistentesci</cp:lastModifiedBy>
  <cp:revision>121</cp:revision>
  <cp:lastPrinted>2017-08-03T17:48:00Z</cp:lastPrinted>
  <dcterms:created xsi:type="dcterms:W3CDTF">2016-10-05T20:00:00Z</dcterms:created>
  <dcterms:modified xsi:type="dcterms:W3CDTF">2017-08-03T21:38:00Z</dcterms:modified>
</cp:coreProperties>
</file>