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E41A3">
        <w:rPr>
          <w:rFonts w:ascii="Arial" w:hAnsi="Arial" w:cs="Arial"/>
          <w:b/>
          <w:bCs/>
          <w:iCs/>
          <w:sz w:val="26"/>
          <w:szCs w:val="22"/>
          <w:lang w:val="es-CR"/>
        </w:rPr>
        <w:t>5</w:t>
      </w:r>
      <w:r w:rsidR="00982435">
        <w:rPr>
          <w:rFonts w:ascii="Arial" w:hAnsi="Arial" w:cs="Arial"/>
          <w:b/>
          <w:bCs/>
          <w:iCs/>
          <w:sz w:val="26"/>
          <w:szCs w:val="22"/>
          <w:lang w:val="es-CR"/>
        </w:rPr>
        <w:t>82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39478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0D6061" w:rsidRDefault="0020429C" w:rsidP="000D606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0D6061">
              <w:rPr>
                <w:rFonts w:ascii="Arial" w:eastAsia="Cambria" w:hAnsi="Arial" w:cs="Arial"/>
                <w:sz w:val="22"/>
                <w:szCs w:val="22"/>
                <w:lang w:val="es-ES_tradnl" w:eastAsia="en-US"/>
              </w:rPr>
              <w:t>Dr. Roberto Pereira, Director Centro Académico de Alajuela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0D6061" w:rsidRPr="000D6061" w:rsidRDefault="00982435"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Ericka Quirós</w:t>
            </w:r>
            <w:r w:rsidR="000D6061" w:rsidRPr="000D6061">
              <w:rPr>
                <w:rFonts w:ascii="Arial" w:eastAsia="Cambria" w:hAnsi="Arial" w:cs="Arial"/>
                <w:sz w:val="22"/>
                <w:szCs w:val="22"/>
                <w:lang w:val="es-ES_tradnl" w:eastAsia="en-US"/>
              </w:rPr>
              <w:t xml:space="preserve">, Directora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w:t>
            </w:r>
            <w:r w:rsidR="000D6061" w:rsidRPr="000D6061">
              <w:rPr>
                <w:rFonts w:ascii="Arial" w:eastAsia="Cambria" w:hAnsi="Arial" w:cs="Arial"/>
                <w:sz w:val="22"/>
                <w:szCs w:val="22"/>
                <w:lang w:val="es-ES_tradnl" w:eastAsia="en-US"/>
              </w:rPr>
              <w:t>Oficina de Planificación Institucional</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D6061">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Silvia Watson</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D6061">
              <w:rPr>
                <w:rFonts w:ascii="Arial" w:eastAsia="Cambria" w:hAnsi="Arial" w:cs="Arial"/>
                <w:sz w:val="22"/>
                <w:szCs w:val="22"/>
                <w:lang w:val="es-ES_tradnl" w:eastAsia="en-US"/>
              </w:rPr>
              <w:t xml:space="preserve"> Departamento Financiero Contable</w:t>
            </w:r>
          </w:p>
          <w:p w:rsidR="000D6061" w:rsidRPr="002D6978" w:rsidRDefault="000D6061" w:rsidP="00982435">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8243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Default="007742A1" w:rsidP="00982435">
            <w:pPr>
              <w:ind w:left="67"/>
              <w:jc w:val="both"/>
              <w:rPr>
                <w:rFonts w:ascii="Arial" w:hAnsi="Arial" w:cs="Arial"/>
                <w:b/>
                <w:bCs/>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982435">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982435">
              <w:rPr>
                <w:rFonts w:ascii="Arial" w:eastAsia="Calibri" w:hAnsi="Arial" w:cs="Arial"/>
                <w:b/>
                <w:sz w:val="22"/>
                <w:szCs w:val="22"/>
              </w:rPr>
              <w:t>12</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982435">
              <w:rPr>
                <w:rFonts w:ascii="Arial" w:eastAsia="Calibri" w:hAnsi="Arial" w:cs="Arial"/>
                <w:b/>
                <w:sz w:val="22"/>
                <w:szCs w:val="22"/>
              </w:rPr>
              <w:t>06</w:t>
            </w:r>
            <w:r w:rsidRPr="00267FAF">
              <w:rPr>
                <w:rFonts w:ascii="Arial" w:eastAsia="Calibri" w:hAnsi="Arial" w:cs="Arial"/>
                <w:b/>
                <w:sz w:val="22"/>
                <w:szCs w:val="22"/>
              </w:rPr>
              <w:t xml:space="preserve"> de </w:t>
            </w:r>
            <w:r w:rsidR="00982435">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982435" w:rsidRPr="00982435">
              <w:rPr>
                <w:rFonts w:ascii="Arial" w:hAnsi="Arial" w:cs="Arial"/>
                <w:b/>
                <w:bCs/>
                <w:sz w:val="22"/>
                <w:szCs w:val="22"/>
                <w:lang w:val="es-CR"/>
              </w:rPr>
              <w:t>Autorización para el uso de las reservas 2017 para cubrir gasto operativo para el 2017</w:t>
            </w:r>
          </w:p>
          <w:p w:rsidR="00982435" w:rsidRPr="00982435" w:rsidRDefault="00982435" w:rsidP="00982435">
            <w:pPr>
              <w:ind w:left="67"/>
              <w:jc w:val="both"/>
              <w:rPr>
                <w:rFonts w:ascii="Arial" w:hAnsi="Arial" w:cs="Arial"/>
                <w:b/>
                <w:bCs/>
                <w:sz w:val="22"/>
                <w:szCs w:val="22"/>
                <w:lang w:val="es-CR"/>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82435" w:rsidRDefault="00982435" w:rsidP="007742A1">
      <w:pPr>
        <w:jc w:val="both"/>
        <w:rPr>
          <w:rFonts w:ascii="Arial" w:eastAsia="Cambria" w:hAnsi="Arial" w:cs="Arial"/>
          <w:lang w:val="es-ES_tradnl" w:eastAsia="en-US"/>
        </w:rPr>
      </w:pPr>
    </w:p>
    <w:p w:rsidR="00982435" w:rsidRDefault="00982435" w:rsidP="007742A1">
      <w:pPr>
        <w:jc w:val="both"/>
        <w:rPr>
          <w:rFonts w:ascii="Arial" w:eastAsia="Cambria" w:hAnsi="Arial" w:cs="Arial"/>
          <w:lang w:val="es-ES_tradnl" w:eastAsia="en-US"/>
        </w:rPr>
      </w:pPr>
    </w:p>
    <w:p w:rsidR="00982435" w:rsidRPr="00982435" w:rsidRDefault="00982435" w:rsidP="00982435">
      <w:pPr>
        <w:ind w:left="1418" w:hanging="1418"/>
        <w:jc w:val="both"/>
        <w:rPr>
          <w:rFonts w:ascii="Arial" w:hAnsi="Arial" w:cs="Arial"/>
          <w:b/>
          <w:bCs/>
          <w:lang w:val="es-CR"/>
        </w:rPr>
      </w:pPr>
      <w:r w:rsidRPr="00982435">
        <w:rPr>
          <w:rFonts w:ascii="Arial" w:hAnsi="Arial" w:cs="Arial"/>
          <w:b/>
          <w:bCs/>
          <w:lang w:val="es-CR"/>
        </w:rPr>
        <w:t>RESULTANDO QUE:</w:t>
      </w:r>
    </w:p>
    <w:p w:rsidR="00982435" w:rsidRPr="00982435" w:rsidRDefault="00982435" w:rsidP="00982435">
      <w:pPr>
        <w:ind w:left="1418" w:hanging="1418"/>
        <w:jc w:val="both"/>
        <w:rPr>
          <w:rFonts w:ascii="Arial" w:hAnsi="Arial" w:cs="Arial"/>
          <w:b/>
          <w:bCs/>
          <w:lang w:val="es-CR"/>
        </w:rPr>
      </w:pPr>
    </w:p>
    <w:p w:rsidR="00982435" w:rsidRPr="00982435" w:rsidRDefault="00982435" w:rsidP="00982435">
      <w:pPr>
        <w:numPr>
          <w:ilvl w:val="0"/>
          <w:numId w:val="20"/>
        </w:numPr>
        <w:ind w:left="284"/>
        <w:jc w:val="both"/>
        <w:rPr>
          <w:rFonts w:ascii="Arial" w:hAnsi="Arial" w:cs="Arial"/>
          <w:lang w:val="es-CR"/>
        </w:rPr>
      </w:pPr>
      <w:r w:rsidRPr="00982435">
        <w:rPr>
          <w:rFonts w:ascii="Arial" w:hAnsi="Arial" w:cs="Arial"/>
          <w:lang w:val="es-CR"/>
        </w:rPr>
        <w:t>El Estatuto Orgánico del Instituto Tecnológico de Costa Rica, en su Artículo 18, establece lo siguiente:</w:t>
      </w:r>
    </w:p>
    <w:p w:rsidR="00982435" w:rsidRPr="00982435" w:rsidRDefault="00982435" w:rsidP="00982435">
      <w:pPr>
        <w:ind w:left="360"/>
        <w:jc w:val="both"/>
        <w:rPr>
          <w:rFonts w:ascii="Arial" w:hAnsi="Arial" w:cs="Arial"/>
          <w:lang w:val="es-CR"/>
        </w:rPr>
      </w:pPr>
    </w:p>
    <w:p w:rsidR="00982435" w:rsidRPr="00982435" w:rsidRDefault="00982435" w:rsidP="00982435">
      <w:pPr>
        <w:ind w:left="720" w:right="689"/>
        <w:jc w:val="both"/>
        <w:rPr>
          <w:rFonts w:ascii="Arial" w:hAnsi="Arial" w:cs="Arial"/>
          <w:i/>
          <w:lang w:val="es-CR"/>
        </w:rPr>
      </w:pPr>
      <w:r w:rsidRPr="00982435">
        <w:rPr>
          <w:rFonts w:ascii="Arial" w:hAnsi="Arial" w:cs="Arial"/>
          <w:i/>
          <w:lang w:val="es-CR"/>
        </w:rPr>
        <w:t>“Artículo 18:   Son funciones del Consejo Institucional</w:t>
      </w:r>
    </w:p>
    <w:p w:rsidR="00982435" w:rsidRPr="00982435" w:rsidRDefault="00982435" w:rsidP="00982435">
      <w:pPr>
        <w:ind w:left="720" w:right="689"/>
        <w:jc w:val="both"/>
        <w:rPr>
          <w:rFonts w:ascii="Arial" w:hAnsi="Arial" w:cs="Arial"/>
          <w:i/>
          <w:lang w:val="es-CR"/>
        </w:rPr>
      </w:pPr>
      <w:r w:rsidRPr="00982435">
        <w:rPr>
          <w:rFonts w:ascii="Arial" w:hAnsi="Arial" w:cs="Arial"/>
          <w:i/>
          <w:lang w:val="es-CR"/>
        </w:rPr>
        <w:t>…</w:t>
      </w:r>
    </w:p>
    <w:p w:rsidR="00982435" w:rsidRPr="00982435" w:rsidRDefault="00982435" w:rsidP="00982435">
      <w:pPr>
        <w:ind w:left="993" w:right="476" w:hanging="273"/>
        <w:jc w:val="both"/>
        <w:rPr>
          <w:rFonts w:ascii="Arial" w:hAnsi="Arial" w:cs="Arial"/>
          <w:i/>
          <w:lang w:val="es-CR"/>
        </w:rPr>
      </w:pPr>
      <w:r w:rsidRPr="00982435">
        <w:rPr>
          <w:rFonts w:ascii="Arial" w:hAnsi="Arial" w:cs="Arial"/>
          <w:i/>
          <w:lang w:val="es-CR"/>
        </w:rPr>
        <w:t>b. Aprobar el Plan estratégico institucional y los Planes anuales operativos, el presupuesto del Instituto, y los indicadores de gestión, de acuerdo con lo establecido en el Estatuto Orgánico y en la reglamentación respectiva”.</w:t>
      </w:r>
    </w:p>
    <w:p w:rsidR="00982435" w:rsidRPr="00982435" w:rsidRDefault="00982435" w:rsidP="00982435">
      <w:pPr>
        <w:jc w:val="both"/>
        <w:outlineLvl w:val="0"/>
        <w:rPr>
          <w:rFonts w:ascii="Arial" w:hAnsi="Arial" w:cs="Arial"/>
          <w:b/>
          <w:lang w:val="es-CR"/>
        </w:rPr>
      </w:pPr>
    </w:p>
    <w:p w:rsidR="00982435" w:rsidRPr="00982435" w:rsidRDefault="00982435" w:rsidP="00982435">
      <w:pPr>
        <w:jc w:val="both"/>
        <w:outlineLvl w:val="0"/>
        <w:rPr>
          <w:rFonts w:ascii="Arial" w:hAnsi="Arial" w:cs="Arial"/>
          <w:b/>
          <w:lang w:val="es-CR"/>
        </w:rPr>
      </w:pPr>
      <w:r w:rsidRPr="00982435">
        <w:rPr>
          <w:rFonts w:ascii="Arial" w:hAnsi="Arial" w:cs="Arial"/>
          <w:b/>
          <w:lang w:val="es-CR"/>
        </w:rPr>
        <w:t>CONSIDERANDO QUE:</w:t>
      </w:r>
    </w:p>
    <w:p w:rsidR="00982435" w:rsidRPr="00982435" w:rsidRDefault="00982435" w:rsidP="00982435">
      <w:pPr>
        <w:jc w:val="both"/>
        <w:outlineLvl w:val="0"/>
        <w:rPr>
          <w:rFonts w:ascii="Arial" w:hAnsi="Arial" w:cs="Arial"/>
          <w:b/>
          <w:lang w:val="es-CR"/>
        </w:rPr>
      </w:pPr>
    </w:p>
    <w:p w:rsidR="00982435" w:rsidRPr="00982435" w:rsidRDefault="00982435" w:rsidP="00982435">
      <w:pPr>
        <w:numPr>
          <w:ilvl w:val="0"/>
          <w:numId w:val="17"/>
        </w:numPr>
        <w:tabs>
          <w:tab w:val="left" w:pos="426"/>
        </w:tabs>
        <w:ind w:left="426"/>
        <w:contextualSpacing/>
        <w:jc w:val="both"/>
        <w:rPr>
          <w:rFonts w:ascii="Arial" w:hAnsi="Arial" w:cs="Arial"/>
        </w:rPr>
      </w:pPr>
      <w:r w:rsidRPr="00982435">
        <w:rPr>
          <w:rFonts w:ascii="Arial" w:hAnsi="Arial" w:cs="Arial"/>
          <w:lang w:val="es-CR" w:eastAsia="es-CR"/>
        </w:rPr>
        <w:t xml:space="preserve">La Secretaría del Consejo Institucional, recibe oficio R-952-2017, con fecha de recibido el 14 de agosto de 2017, suscrito por el Dr. Julio Calvo Alvarado, Rector dirigido al Consejo Institucional, en el cual remite la Propuesta de “Autorización utilización </w:t>
      </w:r>
      <w:r w:rsidRPr="00982435">
        <w:rPr>
          <w:rFonts w:ascii="Arial" w:hAnsi="Arial" w:cs="Arial"/>
        </w:rPr>
        <w:t xml:space="preserve">Solicitud de uso de reservas para cubrir gasto operativo para </w:t>
      </w:r>
      <w:r w:rsidRPr="00982435">
        <w:rPr>
          <w:rFonts w:ascii="Arial" w:hAnsi="Arial" w:cs="Arial"/>
          <w:lang w:val="es-CR" w:eastAsia="es-CR"/>
        </w:rPr>
        <w:t>el 2017”.  Dicho documento fue conocido y avalado por el Consejo de Rectoría, en la Sesión No. 24-2017, Artículo 2, del 14 de agosto de 2017, y proponen la siguiente asignación de las reservas:</w:t>
      </w:r>
    </w:p>
    <w:p w:rsidR="00982435" w:rsidRPr="00982435" w:rsidRDefault="00982435" w:rsidP="00982435">
      <w:pPr>
        <w:tabs>
          <w:tab w:val="left" w:pos="426"/>
        </w:tabs>
        <w:ind w:left="426"/>
        <w:contextualSpacing/>
        <w:jc w:val="both"/>
        <w:rPr>
          <w:rFonts w:ascii="Arial" w:hAnsi="Arial" w:cs="Arial"/>
          <w:lang w:val="es-CR" w:eastAsia="es-CR"/>
        </w:rPr>
      </w:pPr>
    </w:p>
    <w:p w:rsidR="00982435" w:rsidRPr="00982435" w:rsidRDefault="00982435" w:rsidP="00982435">
      <w:pPr>
        <w:tabs>
          <w:tab w:val="left" w:pos="426"/>
        </w:tabs>
        <w:ind w:left="426"/>
        <w:contextualSpacing/>
        <w:jc w:val="center"/>
        <w:rPr>
          <w:rFonts w:ascii="Arial" w:hAnsi="Arial" w:cs="Arial"/>
          <w:lang w:val="es-CR" w:eastAsia="es-CR"/>
        </w:rPr>
      </w:pPr>
      <w:r w:rsidRPr="00982435">
        <w:rPr>
          <w:rFonts w:ascii="Arial" w:hAnsi="Arial" w:cs="Arial"/>
          <w:noProof/>
          <w:sz w:val="20"/>
          <w:szCs w:val="20"/>
          <w:lang w:val="es-CR" w:eastAsia="es-CR"/>
        </w:rPr>
        <w:lastRenderedPageBreak/>
        <w:drawing>
          <wp:inline distT="0" distB="0" distL="0" distR="0" wp14:anchorId="02C76753" wp14:editId="36D38843">
            <wp:extent cx="5071872" cy="1957081"/>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7027" cy="1962929"/>
                    </a:xfrm>
                    <a:prstGeom prst="rect">
                      <a:avLst/>
                    </a:prstGeom>
                    <a:noFill/>
                    <a:ln>
                      <a:noFill/>
                    </a:ln>
                  </pic:spPr>
                </pic:pic>
              </a:graphicData>
            </a:graphic>
          </wp:inline>
        </w:drawing>
      </w:r>
    </w:p>
    <w:p w:rsidR="00982435" w:rsidRPr="00982435" w:rsidRDefault="00982435" w:rsidP="00982435">
      <w:pPr>
        <w:tabs>
          <w:tab w:val="left" w:pos="426"/>
        </w:tabs>
        <w:ind w:left="426"/>
        <w:contextualSpacing/>
        <w:jc w:val="both"/>
        <w:rPr>
          <w:rFonts w:ascii="Arial" w:hAnsi="Arial" w:cs="Arial"/>
        </w:rPr>
      </w:pPr>
    </w:p>
    <w:p w:rsidR="00982435" w:rsidRPr="00982435" w:rsidRDefault="00982435" w:rsidP="00982435">
      <w:pPr>
        <w:numPr>
          <w:ilvl w:val="0"/>
          <w:numId w:val="17"/>
        </w:numPr>
        <w:tabs>
          <w:tab w:val="left" w:pos="426"/>
        </w:tabs>
        <w:ind w:left="426"/>
        <w:contextualSpacing/>
        <w:jc w:val="both"/>
        <w:rPr>
          <w:rFonts w:ascii="Arial" w:hAnsi="Arial" w:cs="Arial"/>
          <w:lang w:val="es-CR"/>
        </w:rPr>
      </w:pPr>
      <w:r w:rsidRPr="00982435">
        <w:rPr>
          <w:rFonts w:ascii="Arial" w:hAnsi="Arial" w:cs="Arial"/>
          <w:lang w:val="es-CR"/>
        </w:rPr>
        <w:t xml:space="preserve">La Comisión de Planificación y Administración en reunión No. 736-2017, realizada el 31 de </w:t>
      </w:r>
      <w:r w:rsidRPr="00982435">
        <w:rPr>
          <w:rFonts w:ascii="Arial" w:hAnsi="Arial" w:cs="Arial"/>
          <w:lang w:val="es-CR" w:eastAsia="es-CR"/>
        </w:rPr>
        <w:t>agosto</w:t>
      </w:r>
      <w:r w:rsidRPr="00982435">
        <w:rPr>
          <w:rFonts w:ascii="Arial" w:hAnsi="Arial" w:cs="Arial"/>
          <w:lang w:val="es-CR"/>
        </w:rPr>
        <w:t xml:space="preserve"> de 2017, recibe </w:t>
      </w:r>
      <w:proofErr w:type="gramStart"/>
      <w:r w:rsidRPr="00982435">
        <w:rPr>
          <w:rFonts w:ascii="Arial" w:hAnsi="Arial" w:cs="Arial"/>
          <w:lang w:val="es-CR"/>
        </w:rPr>
        <w:t>al  Dr</w:t>
      </w:r>
      <w:proofErr w:type="gramEnd"/>
      <w:r w:rsidRPr="00982435">
        <w:rPr>
          <w:rFonts w:ascii="Arial" w:hAnsi="Arial" w:cs="Arial"/>
          <w:lang w:val="es-CR"/>
        </w:rPr>
        <w:t>. Humberto Villalta Solano, Vicerrector de Administración, para la revisión de la propuesta y se discute ampliamente. Los integrantes de la Comisión realizan las observaciones respectivas y el Dr. Humberto Villalta Solano se compromete a enviar nuevamente la información con los cambios integrados para el análisis de la Comisión de Planificación y Administración.</w:t>
      </w:r>
    </w:p>
    <w:p w:rsidR="00982435" w:rsidRPr="00982435" w:rsidRDefault="00982435" w:rsidP="00982435">
      <w:pPr>
        <w:ind w:left="708"/>
        <w:rPr>
          <w:rFonts w:ascii="Arial" w:hAnsi="Arial" w:cs="Arial"/>
          <w:lang w:val="es-CR"/>
        </w:rPr>
      </w:pPr>
    </w:p>
    <w:p w:rsidR="00982435" w:rsidRPr="00982435" w:rsidRDefault="00982435" w:rsidP="00982435">
      <w:pPr>
        <w:numPr>
          <w:ilvl w:val="0"/>
          <w:numId w:val="17"/>
        </w:numPr>
        <w:tabs>
          <w:tab w:val="left" w:pos="426"/>
        </w:tabs>
        <w:ind w:left="426"/>
        <w:contextualSpacing/>
        <w:jc w:val="both"/>
        <w:rPr>
          <w:rFonts w:ascii="Arial" w:hAnsi="Arial" w:cs="Arial"/>
        </w:rPr>
      </w:pPr>
      <w:r w:rsidRPr="00982435">
        <w:rPr>
          <w:rFonts w:ascii="Arial" w:hAnsi="Arial" w:cs="Arial"/>
          <w:lang w:val="es-CR" w:eastAsia="es-CR"/>
        </w:rPr>
        <w:t xml:space="preserve">La Secretaría del Consejo Institucional, recibe oficio R-1053-2017, con fecha de recibido el 04 de setiembre de 2017, suscrito por el Dr. Julio Calvo Alvarado, Rector dirigido al Consejo </w:t>
      </w:r>
      <w:r w:rsidRPr="00982435">
        <w:rPr>
          <w:rFonts w:ascii="Arial" w:hAnsi="Arial" w:cs="Arial"/>
          <w:lang w:val="es-CR"/>
        </w:rPr>
        <w:t>Institucional</w:t>
      </w:r>
      <w:r w:rsidRPr="00982435">
        <w:rPr>
          <w:rFonts w:ascii="Arial" w:hAnsi="Arial" w:cs="Arial"/>
          <w:lang w:val="es-CR" w:eastAsia="es-CR"/>
        </w:rPr>
        <w:t xml:space="preserve">, en el cual remite la Propuesta de “Autorización utilización </w:t>
      </w:r>
      <w:r w:rsidRPr="00982435">
        <w:rPr>
          <w:rFonts w:ascii="Arial" w:hAnsi="Arial" w:cs="Arial"/>
        </w:rPr>
        <w:t xml:space="preserve">Solicitud de uso de </w:t>
      </w:r>
      <w:r w:rsidRPr="00982435">
        <w:rPr>
          <w:rFonts w:ascii="Arial" w:hAnsi="Arial" w:cs="Arial"/>
          <w:lang w:val="es-CR" w:eastAsia="es-CR"/>
        </w:rPr>
        <w:t>reservas para cubrir gasto operativo para el 2017”.  Dicho documento fue conocido y avalado por el Consejo de Rectoría, en la Sesión Nº 27-2017 Artículo 5 del 4 de setiembre del 2017, que a continuación se describe:</w:t>
      </w:r>
    </w:p>
    <w:p w:rsidR="00982435" w:rsidRPr="00982435" w:rsidRDefault="00982435" w:rsidP="00982435"/>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 xml:space="preserve">La Contraloría General de la </w:t>
      </w:r>
      <w:proofErr w:type="gramStart"/>
      <w:r w:rsidRPr="00982435">
        <w:rPr>
          <w:rFonts w:ascii="Arial" w:hAnsi="Arial" w:cs="Arial"/>
          <w:i/>
          <w:sz w:val="22"/>
          <w:szCs w:val="22"/>
          <w:lang w:val="es-CR"/>
        </w:rPr>
        <w:t>República  improbó</w:t>
      </w:r>
      <w:proofErr w:type="gramEnd"/>
      <w:r w:rsidRPr="00982435">
        <w:rPr>
          <w:rFonts w:ascii="Arial" w:hAnsi="Arial" w:cs="Arial"/>
          <w:i/>
          <w:sz w:val="22"/>
          <w:szCs w:val="22"/>
          <w:lang w:val="es-CR"/>
        </w:rPr>
        <w:t xml:space="preserve"> la suma de 1,451 millones de colones en el Presupuesto Ordinario 2017, que afectó directamente el gasto operativo y la Administración debió hacer un esfuerzo para reasignar recursos y no perjudicar fuertemente a los diferentes programas afectados.</w:t>
      </w: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 xml:space="preserve">  Esta afectación se dio fundamentalmente en proyectos financiados con superávit específico.</w:t>
      </w: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El primer Presupuesto Extraordinario 2017 incorporó estos recursos en inversión, dado que se convirtió en superávit libre.</w:t>
      </w: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A continuación se muestra la respectiva tabla de valores de los presupuestos antes y después de la aprobación por parte de la Contraloría General de la República:</w:t>
      </w:r>
    </w:p>
    <w:p w:rsidR="00982435" w:rsidRPr="00982435" w:rsidRDefault="00982435" w:rsidP="00982435">
      <w:pPr>
        <w:ind w:left="851" w:right="306"/>
        <w:jc w:val="both"/>
        <w:rPr>
          <w:rFonts w:ascii="Arial" w:hAnsi="Arial" w:cs="Arial"/>
          <w:i/>
          <w:sz w:val="22"/>
          <w:szCs w:val="22"/>
          <w:lang w:val="es-CR"/>
        </w:rPr>
      </w:pPr>
    </w:p>
    <w:p w:rsidR="00982435" w:rsidRPr="00982435" w:rsidRDefault="00982435" w:rsidP="00982435">
      <w:pPr>
        <w:ind w:left="851" w:right="306"/>
        <w:jc w:val="center"/>
        <w:rPr>
          <w:rFonts w:ascii="Arial" w:hAnsi="Arial" w:cs="Arial"/>
          <w:i/>
          <w:sz w:val="22"/>
          <w:szCs w:val="22"/>
          <w:lang w:val="es-CR"/>
        </w:rPr>
      </w:pPr>
      <w:r w:rsidRPr="00982435">
        <w:rPr>
          <w:rFonts w:ascii="Arial" w:hAnsi="Arial" w:cs="Arial"/>
          <w:i/>
          <w:noProof/>
          <w:sz w:val="22"/>
          <w:szCs w:val="22"/>
          <w:lang w:val="es-CR" w:eastAsia="es-CR"/>
        </w:rPr>
        <w:lastRenderedPageBreak/>
        <w:drawing>
          <wp:inline distT="0" distB="0" distL="0" distR="0" wp14:anchorId="6C1F3327" wp14:editId="03FA5496">
            <wp:extent cx="4559808" cy="206587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8353" cy="2069743"/>
                    </a:xfrm>
                    <a:prstGeom prst="rect">
                      <a:avLst/>
                    </a:prstGeom>
                    <a:noFill/>
                    <a:ln>
                      <a:noFill/>
                    </a:ln>
                  </pic:spPr>
                </pic:pic>
              </a:graphicData>
            </a:graphic>
          </wp:inline>
        </w:drawing>
      </w:r>
    </w:p>
    <w:p w:rsidR="00982435" w:rsidRPr="00982435" w:rsidRDefault="00982435" w:rsidP="00982435">
      <w:pPr>
        <w:ind w:left="851" w:right="306"/>
        <w:jc w:val="both"/>
        <w:rPr>
          <w:rFonts w:ascii="Arial" w:hAnsi="Arial" w:cs="Arial"/>
          <w:i/>
          <w:sz w:val="22"/>
          <w:szCs w:val="22"/>
          <w:lang w:val="es-CR"/>
        </w:rPr>
      </w:pP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 xml:space="preserve">Posteriormente la Administración debió ajustar sus presupuestos he incluir en el extraordinario fondos para inversión que correspondían </w:t>
      </w:r>
      <w:proofErr w:type="gramStart"/>
      <w:r w:rsidRPr="00982435">
        <w:rPr>
          <w:rFonts w:ascii="Arial" w:hAnsi="Arial" w:cs="Arial"/>
          <w:i/>
          <w:sz w:val="22"/>
          <w:szCs w:val="22"/>
          <w:lang w:val="es-CR"/>
        </w:rPr>
        <w:t>a  operación</w:t>
      </w:r>
      <w:proofErr w:type="gramEnd"/>
      <w:r w:rsidRPr="00982435">
        <w:rPr>
          <w:rFonts w:ascii="Arial" w:hAnsi="Arial" w:cs="Arial"/>
          <w:i/>
          <w:sz w:val="22"/>
          <w:szCs w:val="22"/>
          <w:lang w:val="es-CR"/>
        </w:rPr>
        <w:t xml:space="preserve"> regular y nos generó un faltante en fondos de operación que a la fecha tenemos compromisos que cubrir y se requiere dar contenido presupuestario. </w:t>
      </w: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 xml:space="preserve">A la fecha varias reservas asignadas en la formulación 2017, por diferentes razones tienen muy poca ejecución o del todo tienen cero ejecución.  </w:t>
      </w: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De acuerdo a un análisis previo, la Administración considera que esas reservas por lo que resta del año no van a ser usadas para lo cual fueron creadas.</w:t>
      </w: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 xml:space="preserve">Las reservas que del todo no se van a usar son:  </w:t>
      </w:r>
    </w:p>
    <w:p w:rsidR="00982435" w:rsidRPr="00982435" w:rsidRDefault="00982435" w:rsidP="00982435">
      <w:pPr>
        <w:ind w:left="851" w:right="306"/>
        <w:rPr>
          <w:rFonts w:ascii="Arial" w:hAnsi="Arial" w:cs="Arial"/>
          <w:i/>
          <w:sz w:val="22"/>
          <w:szCs w:val="22"/>
          <w:lang w:val="es-CR"/>
        </w:rPr>
      </w:pPr>
    </w:p>
    <w:p w:rsidR="00982435" w:rsidRPr="00982435" w:rsidRDefault="00982435" w:rsidP="00982435">
      <w:pPr>
        <w:numPr>
          <w:ilvl w:val="1"/>
          <w:numId w:val="18"/>
        </w:numPr>
        <w:ind w:left="1276" w:right="589"/>
        <w:contextualSpacing/>
        <w:jc w:val="both"/>
        <w:rPr>
          <w:rFonts w:ascii="Arial" w:eastAsia="Calibri" w:hAnsi="Arial" w:cs="Arial"/>
          <w:i/>
          <w:noProof/>
          <w:sz w:val="22"/>
          <w:szCs w:val="22"/>
          <w:lang w:val="es-CR"/>
        </w:rPr>
      </w:pPr>
      <w:r w:rsidRPr="00982435">
        <w:rPr>
          <w:rFonts w:ascii="Arial" w:eastAsia="Calibri" w:hAnsi="Arial" w:cs="Arial"/>
          <w:i/>
          <w:noProof/>
          <w:sz w:val="22"/>
          <w:szCs w:val="22"/>
          <w:lang w:val="es-CR"/>
        </w:rPr>
        <w:t>El presupuesto deberá de incorporar un 0,2% del FEES para fondos de contrapartida en la atracción de recursos externos en dinero en efectivo. Dichos fondos podrán ser presupuestados mediante financiamiento externo.</w:t>
      </w:r>
    </w:p>
    <w:p w:rsidR="00982435" w:rsidRPr="00982435" w:rsidRDefault="00982435" w:rsidP="00982435">
      <w:pPr>
        <w:numPr>
          <w:ilvl w:val="1"/>
          <w:numId w:val="18"/>
        </w:numPr>
        <w:ind w:left="1276" w:right="589"/>
        <w:contextualSpacing/>
        <w:jc w:val="both"/>
        <w:rPr>
          <w:rFonts w:ascii="Arial" w:eastAsia="Calibri" w:hAnsi="Arial" w:cs="Arial"/>
          <w:i/>
          <w:noProof/>
          <w:sz w:val="22"/>
          <w:szCs w:val="22"/>
          <w:lang w:val="es-CR"/>
        </w:rPr>
      </w:pPr>
      <w:r w:rsidRPr="00982435">
        <w:rPr>
          <w:rFonts w:ascii="Arial" w:eastAsia="Calibri" w:hAnsi="Arial" w:cs="Arial"/>
          <w:i/>
          <w:noProof/>
          <w:sz w:val="22"/>
          <w:szCs w:val="22"/>
          <w:lang w:val="es-CR"/>
        </w:rPr>
        <w:t>El presupuesto deberá incorporar un fondo de contrapartida, no menor a 1,5% del FEES, para proyectos de investigación y extensión que contengan un componente de aporte externo en efectivo, los cuales serán incorporados mediante financiamiento externo. Estos recursos serán administrados por la VIE.</w:t>
      </w:r>
      <w:r w:rsidRPr="00982435">
        <w:rPr>
          <w:i/>
          <w:sz w:val="22"/>
          <w:szCs w:val="22"/>
          <w:lang w:val="es-CR"/>
        </w:rPr>
        <w:t xml:space="preserve"> </w:t>
      </w:r>
    </w:p>
    <w:p w:rsidR="00982435" w:rsidRPr="00982435" w:rsidRDefault="00982435" w:rsidP="00982435">
      <w:pPr>
        <w:ind w:left="1276" w:right="589"/>
        <w:contextualSpacing/>
        <w:jc w:val="both"/>
        <w:rPr>
          <w:rFonts w:ascii="Arial" w:eastAsia="Calibri" w:hAnsi="Arial" w:cs="Arial"/>
          <w:i/>
          <w:noProof/>
          <w:sz w:val="22"/>
          <w:szCs w:val="22"/>
          <w:lang w:val="es-CR"/>
        </w:rPr>
      </w:pPr>
    </w:p>
    <w:p w:rsidR="00982435" w:rsidRPr="00982435" w:rsidRDefault="00982435" w:rsidP="00982435">
      <w:pPr>
        <w:numPr>
          <w:ilvl w:val="1"/>
          <w:numId w:val="18"/>
        </w:numPr>
        <w:ind w:left="1276" w:right="589"/>
        <w:contextualSpacing/>
        <w:jc w:val="both"/>
        <w:rPr>
          <w:rFonts w:ascii="Arial" w:eastAsia="Calibri" w:hAnsi="Arial" w:cs="Arial"/>
          <w:i/>
          <w:noProof/>
          <w:sz w:val="22"/>
          <w:szCs w:val="22"/>
          <w:lang w:val="es-CR"/>
        </w:rPr>
      </w:pPr>
      <w:r w:rsidRPr="00982435">
        <w:rPr>
          <w:rFonts w:ascii="Arial" w:eastAsia="Calibri" w:hAnsi="Arial" w:cs="Arial"/>
          <w:i/>
          <w:noProof/>
          <w:sz w:val="22"/>
          <w:szCs w:val="22"/>
          <w:lang w:val="es-CR"/>
        </w:rPr>
        <w:t>El presupuesto deberá de incorporar al menos un 0,2% del FEES para fondos para hacer pre-inversión para la atracción de recursos externos en dinero en efectivo. Estos recursos serán administrados por la VIE.</w:t>
      </w:r>
    </w:p>
    <w:p w:rsidR="00982435" w:rsidRPr="00982435" w:rsidRDefault="00982435" w:rsidP="00982435">
      <w:pPr>
        <w:ind w:left="851" w:right="306"/>
        <w:jc w:val="both"/>
        <w:rPr>
          <w:rFonts w:ascii="Arial" w:hAnsi="Arial" w:cs="Arial"/>
          <w:i/>
          <w:sz w:val="22"/>
          <w:szCs w:val="22"/>
          <w:lang w:val="es-CR"/>
        </w:rPr>
      </w:pP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Reservas que van a quedar con una ejecución muy baja son:</w:t>
      </w:r>
    </w:p>
    <w:p w:rsidR="00982435" w:rsidRPr="00982435" w:rsidRDefault="00982435" w:rsidP="00982435">
      <w:pPr>
        <w:ind w:left="491" w:right="306"/>
        <w:jc w:val="both"/>
        <w:rPr>
          <w:rFonts w:ascii="Arial" w:hAnsi="Arial" w:cs="Arial"/>
          <w:i/>
          <w:sz w:val="22"/>
          <w:szCs w:val="22"/>
          <w:lang w:val="es-CR"/>
        </w:rPr>
      </w:pPr>
    </w:p>
    <w:p w:rsidR="00982435" w:rsidRPr="00982435" w:rsidRDefault="00982435" w:rsidP="00982435">
      <w:pPr>
        <w:numPr>
          <w:ilvl w:val="1"/>
          <w:numId w:val="18"/>
        </w:numPr>
        <w:ind w:left="1276" w:right="306"/>
        <w:jc w:val="both"/>
        <w:rPr>
          <w:rFonts w:ascii="Arial" w:hAnsi="Arial" w:cs="Arial"/>
          <w:i/>
          <w:sz w:val="22"/>
          <w:szCs w:val="22"/>
          <w:lang w:val="es-CR"/>
        </w:rPr>
      </w:pPr>
      <w:r w:rsidRPr="00982435">
        <w:rPr>
          <w:rFonts w:ascii="Arial" w:hAnsi="Arial" w:cs="Arial"/>
          <w:i/>
          <w:sz w:val="22"/>
          <w:szCs w:val="22"/>
          <w:lang w:val="es-CR"/>
        </w:rPr>
        <w:t xml:space="preserve">El presupuesto deberá incorporar una previsión equivalente al 1 % de los recursos transferidos por el </w:t>
      </w:r>
      <w:proofErr w:type="spellStart"/>
      <w:r w:rsidRPr="00982435">
        <w:rPr>
          <w:rFonts w:ascii="Arial" w:hAnsi="Arial" w:cs="Arial"/>
          <w:i/>
          <w:sz w:val="22"/>
          <w:szCs w:val="22"/>
          <w:lang w:val="es-CR"/>
        </w:rPr>
        <w:t>FEES</w:t>
      </w:r>
      <w:proofErr w:type="spellEnd"/>
      <w:r w:rsidRPr="00982435">
        <w:rPr>
          <w:rFonts w:ascii="Arial" w:hAnsi="Arial" w:cs="Arial"/>
          <w:i/>
          <w:sz w:val="22"/>
          <w:szCs w:val="22"/>
          <w:lang w:val="es-CR"/>
        </w:rPr>
        <w:t xml:space="preserve">, la misma cifra del </w:t>
      </w:r>
      <w:proofErr w:type="spellStart"/>
      <w:r w:rsidRPr="00982435">
        <w:rPr>
          <w:rFonts w:ascii="Arial" w:hAnsi="Arial" w:cs="Arial"/>
          <w:i/>
          <w:sz w:val="22"/>
          <w:szCs w:val="22"/>
          <w:lang w:val="es-CR"/>
        </w:rPr>
        <w:t>FEES</w:t>
      </w:r>
      <w:proofErr w:type="spellEnd"/>
      <w:r w:rsidRPr="00982435">
        <w:rPr>
          <w:rFonts w:ascii="Arial" w:hAnsi="Arial" w:cs="Arial"/>
          <w:i/>
          <w:sz w:val="22"/>
          <w:szCs w:val="22"/>
          <w:lang w:val="es-CR"/>
        </w:rPr>
        <w:t xml:space="preserve"> utilizada en la relación Masa Salarial/</w:t>
      </w:r>
      <w:proofErr w:type="spellStart"/>
      <w:r w:rsidRPr="00982435">
        <w:rPr>
          <w:rFonts w:ascii="Arial" w:hAnsi="Arial" w:cs="Arial"/>
          <w:i/>
          <w:sz w:val="22"/>
          <w:szCs w:val="22"/>
          <w:lang w:val="es-CR"/>
        </w:rPr>
        <w:t>FEES</w:t>
      </w:r>
      <w:proofErr w:type="spellEnd"/>
      <w:r w:rsidRPr="00982435">
        <w:rPr>
          <w:rFonts w:ascii="Arial" w:hAnsi="Arial" w:cs="Arial"/>
          <w:i/>
          <w:sz w:val="22"/>
          <w:szCs w:val="22"/>
          <w:lang w:val="es-CR"/>
        </w:rPr>
        <w:t xml:space="preserve"> mencionada anteriormente, para financiar la implementación del modelo de excelencia.</w:t>
      </w:r>
    </w:p>
    <w:p w:rsidR="00982435" w:rsidRPr="00982435" w:rsidRDefault="00982435" w:rsidP="00982435">
      <w:pPr>
        <w:numPr>
          <w:ilvl w:val="1"/>
          <w:numId w:val="18"/>
        </w:numPr>
        <w:ind w:left="1276" w:right="306"/>
        <w:jc w:val="both"/>
        <w:rPr>
          <w:rFonts w:ascii="Arial" w:hAnsi="Arial" w:cs="Arial"/>
          <w:i/>
          <w:sz w:val="22"/>
          <w:szCs w:val="22"/>
          <w:lang w:val="es-CR"/>
        </w:rPr>
      </w:pPr>
      <w:r w:rsidRPr="00982435">
        <w:rPr>
          <w:rFonts w:ascii="Arial" w:hAnsi="Arial" w:cs="Arial"/>
          <w:i/>
          <w:sz w:val="22"/>
          <w:szCs w:val="22"/>
          <w:lang w:val="es-CR"/>
        </w:rPr>
        <w:t>Reserva del fondo para emergencias.</w:t>
      </w:r>
    </w:p>
    <w:p w:rsidR="00982435" w:rsidRPr="00982435" w:rsidRDefault="00982435" w:rsidP="00982435">
      <w:pPr>
        <w:ind w:left="851" w:right="306"/>
        <w:jc w:val="both"/>
        <w:rPr>
          <w:rFonts w:ascii="Arial" w:hAnsi="Arial" w:cs="Arial"/>
          <w:i/>
          <w:sz w:val="22"/>
          <w:szCs w:val="22"/>
          <w:lang w:val="es-CR"/>
        </w:rPr>
      </w:pPr>
    </w:p>
    <w:p w:rsidR="00982435" w:rsidRPr="00982435" w:rsidRDefault="00982435" w:rsidP="00982435">
      <w:pPr>
        <w:numPr>
          <w:ilvl w:val="0"/>
          <w:numId w:val="18"/>
        </w:numPr>
        <w:ind w:left="851" w:right="306"/>
        <w:jc w:val="both"/>
        <w:rPr>
          <w:rFonts w:ascii="Arial" w:hAnsi="Arial" w:cs="Arial"/>
          <w:i/>
          <w:sz w:val="22"/>
          <w:szCs w:val="22"/>
          <w:lang w:val="es-CR"/>
        </w:rPr>
      </w:pPr>
      <w:r w:rsidRPr="00982435">
        <w:rPr>
          <w:rFonts w:ascii="Arial" w:hAnsi="Arial" w:cs="Arial"/>
          <w:i/>
          <w:sz w:val="22"/>
          <w:szCs w:val="22"/>
          <w:lang w:val="es-CR"/>
        </w:rPr>
        <w:t>Detalle de las diferentes reservas y su respectivo disponible al 30 de agosto del 2017:</w:t>
      </w:r>
    </w:p>
    <w:p w:rsidR="00982435" w:rsidRPr="00982435" w:rsidRDefault="00982435" w:rsidP="00982435">
      <w:pPr>
        <w:ind w:left="851" w:right="306"/>
        <w:jc w:val="both"/>
        <w:rPr>
          <w:rFonts w:ascii="Arial" w:hAnsi="Arial" w:cs="Arial"/>
          <w:i/>
          <w:sz w:val="22"/>
          <w:szCs w:val="22"/>
          <w:lang w:val="es-CR"/>
        </w:rPr>
      </w:pPr>
    </w:p>
    <w:p w:rsidR="00982435" w:rsidRPr="00982435" w:rsidRDefault="00982435" w:rsidP="00982435">
      <w:pPr>
        <w:ind w:left="851" w:right="306"/>
        <w:jc w:val="center"/>
        <w:rPr>
          <w:rFonts w:ascii="Arial" w:hAnsi="Arial" w:cs="Arial"/>
          <w:i/>
          <w:sz w:val="22"/>
          <w:szCs w:val="22"/>
          <w:lang w:val="es-CR"/>
        </w:rPr>
      </w:pPr>
      <w:r w:rsidRPr="00982435">
        <w:rPr>
          <w:rFonts w:ascii="Arial" w:hAnsi="Arial" w:cs="Arial"/>
          <w:i/>
          <w:noProof/>
          <w:sz w:val="22"/>
          <w:szCs w:val="22"/>
          <w:lang w:val="es-CR" w:eastAsia="es-CR"/>
        </w:rPr>
        <w:lastRenderedPageBreak/>
        <w:drawing>
          <wp:inline distT="0" distB="0" distL="0" distR="0" wp14:anchorId="358BA3E2" wp14:editId="491AE114">
            <wp:extent cx="4291584" cy="23816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6646" cy="2384434"/>
                    </a:xfrm>
                    <a:prstGeom prst="rect">
                      <a:avLst/>
                    </a:prstGeom>
                    <a:noFill/>
                    <a:ln>
                      <a:noFill/>
                    </a:ln>
                  </pic:spPr>
                </pic:pic>
              </a:graphicData>
            </a:graphic>
          </wp:inline>
        </w:drawing>
      </w:r>
    </w:p>
    <w:p w:rsidR="00982435" w:rsidRPr="00982435" w:rsidRDefault="00982435" w:rsidP="00982435">
      <w:pPr>
        <w:ind w:left="851" w:right="306"/>
        <w:jc w:val="both"/>
        <w:rPr>
          <w:rFonts w:ascii="Arial" w:hAnsi="Arial" w:cs="Arial"/>
          <w:i/>
          <w:sz w:val="22"/>
          <w:szCs w:val="22"/>
          <w:lang w:val="es-CR"/>
        </w:rPr>
      </w:pPr>
    </w:p>
    <w:p w:rsidR="00982435" w:rsidRPr="00982435" w:rsidRDefault="00982435" w:rsidP="00982435">
      <w:pPr>
        <w:ind w:left="851" w:right="306"/>
        <w:jc w:val="both"/>
        <w:rPr>
          <w:rFonts w:ascii="Arial" w:hAnsi="Arial" w:cs="Arial"/>
          <w:i/>
          <w:sz w:val="22"/>
          <w:szCs w:val="22"/>
          <w:lang w:val="es-CR"/>
        </w:rPr>
      </w:pPr>
      <w:r w:rsidRPr="00982435">
        <w:rPr>
          <w:rFonts w:ascii="Arial" w:hAnsi="Arial" w:cs="Arial"/>
          <w:i/>
          <w:sz w:val="22"/>
          <w:szCs w:val="22"/>
          <w:lang w:val="es-CR"/>
        </w:rPr>
        <w:t>Se propone:</w:t>
      </w:r>
    </w:p>
    <w:p w:rsidR="00982435" w:rsidRPr="00982435" w:rsidRDefault="00982435" w:rsidP="00982435">
      <w:pPr>
        <w:ind w:left="851" w:right="306"/>
        <w:jc w:val="both"/>
        <w:rPr>
          <w:rFonts w:ascii="Arial" w:hAnsi="Arial" w:cs="Arial"/>
          <w:i/>
          <w:sz w:val="22"/>
          <w:szCs w:val="22"/>
          <w:lang w:val="es-CR"/>
        </w:rPr>
      </w:pPr>
    </w:p>
    <w:p w:rsidR="00982435" w:rsidRPr="00982435" w:rsidRDefault="00982435" w:rsidP="00982435">
      <w:pPr>
        <w:numPr>
          <w:ilvl w:val="0"/>
          <w:numId w:val="19"/>
        </w:numPr>
        <w:ind w:left="851" w:right="306"/>
        <w:jc w:val="both"/>
        <w:rPr>
          <w:rFonts w:ascii="Arial" w:hAnsi="Arial" w:cs="Arial"/>
          <w:i/>
          <w:sz w:val="22"/>
          <w:szCs w:val="22"/>
          <w:lang w:val="es-CR"/>
        </w:rPr>
      </w:pPr>
      <w:r w:rsidRPr="00982435">
        <w:rPr>
          <w:rFonts w:ascii="Arial" w:hAnsi="Arial" w:cs="Arial"/>
          <w:i/>
          <w:sz w:val="22"/>
          <w:szCs w:val="22"/>
          <w:lang w:val="es-CR"/>
        </w:rPr>
        <w:t>Dado los antecedentes anteriores, se solicita hacer uso de disponibles de las reservas por un monto de 640 millones de colones para inyectarlo a la corriente ordinaria de la Institución para cubrir los gastos operativos y otras necesidades de la Institución.</w:t>
      </w:r>
    </w:p>
    <w:p w:rsidR="00982435" w:rsidRPr="00982435" w:rsidRDefault="00982435" w:rsidP="00982435">
      <w:pPr>
        <w:numPr>
          <w:ilvl w:val="0"/>
          <w:numId w:val="19"/>
        </w:numPr>
        <w:ind w:left="851" w:right="306"/>
        <w:jc w:val="both"/>
        <w:rPr>
          <w:rFonts w:ascii="Arial" w:hAnsi="Arial" w:cs="Arial"/>
          <w:i/>
          <w:sz w:val="22"/>
          <w:szCs w:val="22"/>
          <w:lang w:val="es-CR"/>
        </w:rPr>
      </w:pPr>
      <w:r w:rsidRPr="00982435">
        <w:rPr>
          <w:rFonts w:ascii="Arial" w:hAnsi="Arial" w:cs="Arial"/>
          <w:i/>
          <w:sz w:val="22"/>
          <w:szCs w:val="22"/>
          <w:lang w:val="es-CR"/>
        </w:rPr>
        <w:t>Se solicita autorizar a la Administración usar 640 millones de colones de las reservas para cubrir los requerimientos de presupuesto de las diferentes unidades ejecutoras para terminar el periodo 2017, producto de disminuciones presupuestarias por la no aprobación de la Contraloría General de la Republica en el presupuesto ordinario 2017 y nuevas necesidades presupuestarias producto de la ejecución normal a la fecha.</w:t>
      </w:r>
    </w:p>
    <w:p w:rsidR="00982435" w:rsidRPr="00982435" w:rsidRDefault="00982435" w:rsidP="00982435">
      <w:pPr>
        <w:numPr>
          <w:ilvl w:val="0"/>
          <w:numId w:val="19"/>
        </w:numPr>
        <w:ind w:left="851" w:right="306"/>
        <w:jc w:val="both"/>
        <w:rPr>
          <w:rFonts w:ascii="Arial" w:hAnsi="Arial" w:cs="Arial"/>
          <w:i/>
          <w:sz w:val="22"/>
          <w:szCs w:val="22"/>
          <w:lang w:val="es-CR"/>
        </w:rPr>
      </w:pPr>
      <w:r w:rsidRPr="00982435">
        <w:rPr>
          <w:rFonts w:ascii="Arial" w:hAnsi="Arial" w:cs="Arial"/>
          <w:i/>
          <w:sz w:val="22"/>
          <w:szCs w:val="22"/>
          <w:lang w:val="es-CR"/>
        </w:rPr>
        <w:t>La distribución de uso será de acuerdo a la siguiente distribución:</w:t>
      </w:r>
    </w:p>
    <w:p w:rsidR="00982435" w:rsidRPr="00982435" w:rsidRDefault="00982435" w:rsidP="00982435">
      <w:pPr>
        <w:jc w:val="both"/>
        <w:rPr>
          <w:rFonts w:ascii="Arial" w:hAnsi="Arial" w:cs="Arial"/>
          <w:sz w:val="20"/>
          <w:szCs w:val="20"/>
          <w:lang w:val="es-CR"/>
        </w:rPr>
      </w:pPr>
    </w:p>
    <w:p w:rsidR="00982435" w:rsidRPr="00982435" w:rsidRDefault="00982435" w:rsidP="00982435">
      <w:pPr>
        <w:ind w:left="851"/>
        <w:jc w:val="both"/>
        <w:rPr>
          <w:rFonts w:ascii="Arial" w:hAnsi="Arial" w:cs="Arial"/>
          <w:sz w:val="20"/>
          <w:szCs w:val="20"/>
          <w:lang w:val="es-CR"/>
        </w:rPr>
      </w:pPr>
      <w:r w:rsidRPr="00982435">
        <w:rPr>
          <w:rFonts w:ascii="Arial" w:hAnsi="Arial" w:cs="Arial"/>
          <w:noProof/>
          <w:sz w:val="20"/>
          <w:szCs w:val="20"/>
          <w:lang w:val="es-CR" w:eastAsia="es-CR"/>
        </w:rPr>
        <w:drawing>
          <wp:inline distT="0" distB="0" distL="0" distR="0" wp14:anchorId="27399D26" wp14:editId="684E8F52">
            <wp:extent cx="5334000" cy="15509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921" cy="1556129"/>
                    </a:xfrm>
                    <a:prstGeom prst="rect">
                      <a:avLst/>
                    </a:prstGeom>
                    <a:noFill/>
                    <a:ln>
                      <a:noFill/>
                    </a:ln>
                  </pic:spPr>
                </pic:pic>
              </a:graphicData>
            </a:graphic>
          </wp:inline>
        </w:drawing>
      </w:r>
    </w:p>
    <w:p w:rsidR="00982435" w:rsidRPr="00982435" w:rsidRDefault="00982435" w:rsidP="00982435">
      <w:pPr>
        <w:ind w:left="1418" w:hanging="1418"/>
        <w:jc w:val="both"/>
        <w:rPr>
          <w:rFonts w:ascii="Arial" w:hAnsi="Arial" w:cs="Arial"/>
          <w:sz w:val="16"/>
          <w:szCs w:val="16"/>
          <w:lang w:val="es-CR"/>
        </w:rPr>
      </w:pPr>
    </w:p>
    <w:p w:rsidR="00982435" w:rsidRPr="00982435" w:rsidRDefault="00982435" w:rsidP="00982435">
      <w:pPr>
        <w:ind w:left="1418" w:hanging="1418"/>
        <w:jc w:val="both"/>
        <w:rPr>
          <w:rFonts w:ascii="Arial" w:hAnsi="Arial" w:cs="Arial"/>
          <w:sz w:val="20"/>
          <w:szCs w:val="20"/>
          <w:lang w:val="es-CR"/>
        </w:rPr>
      </w:pPr>
    </w:p>
    <w:p w:rsidR="00982435" w:rsidRPr="00982435" w:rsidRDefault="00982435" w:rsidP="00982435">
      <w:pPr>
        <w:numPr>
          <w:ilvl w:val="0"/>
          <w:numId w:val="19"/>
        </w:numPr>
        <w:ind w:left="851" w:right="306"/>
        <w:jc w:val="both"/>
        <w:rPr>
          <w:rFonts w:ascii="Arial" w:hAnsi="Arial" w:cs="Arial"/>
          <w:i/>
          <w:sz w:val="22"/>
          <w:szCs w:val="22"/>
          <w:lang w:val="es-CR"/>
        </w:rPr>
      </w:pPr>
      <w:r w:rsidRPr="00982435">
        <w:rPr>
          <w:rFonts w:ascii="Arial" w:hAnsi="Arial" w:cs="Arial"/>
          <w:i/>
          <w:sz w:val="22"/>
          <w:szCs w:val="22"/>
          <w:lang w:val="es-CR"/>
        </w:rPr>
        <w:t>La propuesta inicial de reasignación de fondos sería como se indica a continuación:</w:t>
      </w:r>
    </w:p>
    <w:p w:rsidR="00982435" w:rsidRPr="00982435" w:rsidRDefault="00982435" w:rsidP="00982435">
      <w:pPr>
        <w:ind w:left="720"/>
        <w:jc w:val="both"/>
        <w:rPr>
          <w:rFonts w:ascii="Arial" w:hAnsi="Arial" w:cs="Arial"/>
          <w:sz w:val="20"/>
          <w:szCs w:val="20"/>
          <w:lang w:val="es-CR"/>
        </w:rPr>
      </w:pPr>
    </w:p>
    <w:p w:rsidR="00982435" w:rsidRPr="00982435" w:rsidRDefault="00982435" w:rsidP="00982435">
      <w:pPr>
        <w:ind w:left="1418" w:hanging="1418"/>
        <w:jc w:val="center"/>
        <w:rPr>
          <w:rFonts w:ascii="Arial" w:hAnsi="Arial" w:cs="Arial"/>
          <w:sz w:val="16"/>
          <w:szCs w:val="16"/>
          <w:lang w:val="es-CR"/>
        </w:rPr>
      </w:pPr>
      <w:r w:rsidRPr="00982435">
        <w:rPr>
          <w:rFonts w:ascii="Arial" w:hAnsi="Arial" w:cs="Arial"/>
          <w:noProof/>
          <w:sz w:val="16"/>
          <w:szCs w:val="16"/>
          <w:lang w:val="es-CR" w:eastAsia="es-CR"/>
        </w:rPr>
        <w:drawing>
          <wp:inline distT="0" distB="0" distL="0" distR="0" wp14:anchorId="28DD38CC" wp14:editId="49D8B530">
            <wp:extent cx="4309872" cy="1711977"/>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2471" cy="1716982"/>
                    </a:xfrm>
                    <a:prstGeom prst="rect">
                      <a:avLst/>
                    </a:prstGeom>
                    <a:noFill/>
                    <a:ln>
                      <a:noFill/>
                    </a:ln>
                  </pic:spPr>
                </pic:pic>
              </a:graphicData>
            </a:graphic>
          </wp:inline>
        </w:drawing>
      </w:r>
    </w:p>
    <w:p w:rsidR="00982435" w:rsidRPr="00982435" w:rsidRDefault="00982435" w:rsidP="00982435">
      <w:pPr>
        <w:ind w:left="1418" w:hanging="1418"/>
        <w:jc w:val="both"/>
        <w:rPr>
          <w:rFonts w:ascii="Arial" w:hAnsi="Arial" w:cs="Arial"/>
          <w:sz w:val="16"/>
          <w:szCs w:val="16"/>
          <w:lang w:val="es-CR"/>
        </w:rPr>
      </w:pPr>
    </w:p>
    <w:p w:rsidR="00982435" w:rsidRPr="00982435" w:rsidRDefault="00982435" w:rsidP="00982435">
      <w:pPr>
        <w:numPr>
          <w:ilvl w:val="0"/>
          <w:numId w:val="19"/>
        </w:numPr>
        <w:ind w:left="851" w:right="306"/>
        <w:jc w:val="both"/>
        <w:rPr>
          <w:rFonts w:ascii="Arial" w:hAnsi="Arial" w:cs="Arial"/>
          <w:i/>
          <w:sz w:val="22"/>
          <w:szCs w:val="22"/>
          <w:lang w:val="es-CR"/>
        </w:rPr>
      </w:pPr>
      <w:r w:rsidRPr="00982435">
        <w:rPr>
          <w:rFonts w:ascii="Arial" w:hAnsi="Arial" w:cs="Arial"/>
          <w:i/>
          <w:sz w:val="22"/>
          <w:szCs w:val="22"/>
          <w:lang w:val="es-CR"/>
        </w:rPr>
        <w:t>Autorizar a la Administración a poder cambiar el uso de esos recursos aprobados, de acuerdo a prioridades Institucionales y a nuevas necesidades producto de la operación diaria de la Institución.</w:t>
      </w:r>
    </w:p>
    <w:p w:rsidR="00982435" w:rsidRPr="00982435" w:rsidRDefault="00982435" w:rsidP="00982435">
      <w:pPr>
        <w:numPr>
          <w:ilvl w:val="0"/>
          <w:numId w:val="19"/>
        </w:numPr>
        <w:ind w:left="851" w:right="306"/>
        <w:jc w:val="both"/>
        <w:rPr>
          <w:rFonts w:ascii="Arial" w:hAnsi="Arial" w:cs="Arial"/>
          <w:i/>
          <w:sz w:val="22"/>
          <w:szCs w:val="22"/>
          <w:lang w:val="es-CR"/>
        </w:rPr>
      </w:pPr>
      <w:r w:rsidRPr="00982435">
        <w:rPr>
          <w:rFonts w:ascii="Arial" w:hAnsi="Arial" w:cs="Arial"/>
          <w:i/>
          <w:sz w:val="22"/>
          <w:szCs w:val="22"/>
          <w:lang w:val="es-CR"/>
        </w:rPr>
        <w:t>Solicitar a la Administración que los recursos no ejecutados en estas reservas sean trasladados como superávit especifico en cada reserva en el Presupuesto Ordinario 2018.</w:t>
      </w:r>
    </w:p>
    <w:p w:rsidR="00982435" w:rsidRPr="00982435" w:rsidRDefault="00982435" w:rsidP="00982435">
      <w:pPr>
        <w:ind w:left="851" w:right="306"/>
        <w:jc w:val="both"/>
        <w:rPr>
          <w:rFonts w:ascii="Arial" w:hAnsi="Arial" w:cs="Arial"/>
          <w:i/>
          <w:sz w:val="22"/>
          <w:szCs w:val="22"/>
          <w:lang w:val="es-CR"/>
        </w:rPr>
      </w:pPr>
    </w:p>
    <w:p w:rsidR="00982435" w:rsidRPr="00982435" w:rsidRDefault="00982435" w:rsidP="00982435">
      <w:pPr>
        <w:numPr>
          <w:ilvl w:val="0"/>
          <w:numId w:val="17"/>
        </w:numPr>
        <w:tabs>
          <w:tab w:val="left" w:pos="426"/>
        </w:tabs>
        <w:ind w:left="426"/>
        <w:contextualSpacing/>
        <w:jc w:val="both"/>
        <w:rPr>
          <w:rFonts w:ascii="Arial" w:eastAsia="Calibri" w:hAnsi="Arial" w:cs="Arial"/>
          <w:lang w:val="es-CR" w:eastAsia="es-CR"/>
        </w:rPr>
      </w:pPr>
      <w:r w:rsidRPr="00982435">
        <w:rPr>
          <w:rFonts w:ascii="Arial" w:eastAsia="Calibri" w:hAnsi="Arial" w:cs="Arial"/>
          <w:lang w:val="es-CR" w:eastAsia="es-CR"/>
        </w:rPr>
        <w:t>La utilización de fondos restringidos para la operación se sustenta en el Artículo 6 de la Ley de la Administración Financiera y Presupuestos Públicos a las partidas de inversión y a las medidas de “Contingencia Fiscal”, mediante Decreto 40540-H, del 1 de agosto de 2017, artículo 6 el cual indica “se autoriza a las instituciones que reciben transferencias del Presupuesto Nacional”.  Esto sería para que en lo que resta del 2017 puedan financiar gastos operativos con recursos de superávit libre.</w:t>
      </w:r>
    </w:p>
    <w:p w:rsidR="00982435" w:rsidRPr="00982435" w:rsidRDefault="00982435" w:rsidP="00982435">
      <w:pPr>
        <w:tabs>
          <w:tab w:val="left" w:pos="426"/>
        </w:tabs>
        <w:contextualSpacing/>
        <w:jc w:val="both"/>
        <w:rPr>
          <w:rFonts w:ascii="Arial" w:hAnsi="Arial" w:cs="Arial"/>
          <w:i/>
          <w:sz w:val="22"/>
          <w:szCs w:val="22"/>
          <w:lang w:val="es-CR"/>
        </w:rPr>
      </w:pPr>
    </w:p>
    <w:p w:rsidR="00982435" w:rsidRPr="00982435" w:rsidRDefault="00982435" w:rsidP="00982435">
      <w:pPr>
        <w:numPr>
          <w:ilvl w:val="0"/>
          <w:numId w:val="17"/>
        </w:numPr>
        <w:tabs>
          <w:tab w:val="left" w:pos="426"/>
        </w:tabs>
        <w:ind w:left="426"/>
        <w:contextualSpacing/>
        <w:jc w:val="both"/>
        <w:rPr>
          <w:rFonts w:ascii="Arial" w:eastAsia="ヒラギノ角ゴ Pro W3" w:hAnsi="Arial" w:cs="Arial"/>
          <w:lang w:val="es-CR" w:eastAsia="es-CR"/>
        </w:rPr>
      </w:pPr>
      <w:r w:rsidRPr="00982435">
        <w:rPr>
          <w:rFonts w:ascii="Arial" w:eastAsia="ヒラギノ角ゴ Pro W3" w:hAnsi="Arial" w:cs="Arial"/>
          <w:lang w:val="es-CR" w:eastAsia="es-CR"/>
        </w:rPr>
        <w:t xml:space="preserve">De acuerdo a lo anterior, </w:t>
      </w:r>
      <w:proofErr w:type="gramStart"/>
      <w:r w:rsidRPr="00982435">
        <w:rPr>
          <w:rFonts w:ascii="Arial" w:eastAsia="ヒラギノ角ゴ Pro W3" w:hAnsi="Arial" w:cs="Arial"/>
          <w:lang w:val="es-CR" w:eastAsia="es-CR"/>
        </w:rPr>
        <w:t>la  Comisión</w:t>
      </w:r>
      <w:proofErr w:type="gramEnd"/>
      <w:r w:rsidRPr="00982435">
        <w:rPr>
          <w:rFonts w:ascii="Arial" w:eastAsia="ヒラギノ角ゴ Pro W3" w:hAnsi="Arial" w:cs="Arial"/>
          <w:lang w:val="es-CR" w:eastAsia="es-CR"/>
        </w:rPr>
        <w:t xml:space="preserve"> de Planificación y Administración dispone elevar una propuesta al Consejo Institucional.</w:t>
      </w:r>
    </w:p>
    <w:p w:rsidR="00982435" w:rsidRPr="00982435" w:rsidRDefault="00982435" w:rsidP="00982435">
      <w:pPr>
        <w:jc w:val="both"/>
        <w:rPr>
          <w:rFonts w:ascii="Arial" w:eastAsia="ヒラギノ角ゴ Pro W3" w:hAnsi="Arial" w:cs="Arial"/>
          <w:b/>
          <w:sz w:val="22"/>
          <w:szCs w:val="22"/>
          <w:lang w:val="es-CR" w:eastAsia="es-CR"/>
        </w:rPr>
      </w:pPr>
    </w:p>
    <w:p w:rsidR="00982435" w:rsidRPr="00982435" w:rsidRDefault="00982435" w:rsidP="00982435">
      <w:pPr>
        <w:jc w:val="both"/>
        <w:rPr>
          <w:rFonts w:ascii="Arial" w:eastAsia="ヒラギノ角ゴ Pro W3" w:hAnsi="Arial" w:cs="Arial"/>
          <w:b/>
          <w:lang w:val="es-CR" w:eastAsia="es-CR"/>
        </w:rPr>
      </w:pPr>
      <w:r w:rsidRPr="00982435">
        <w:rPr>
          <w:rFonts w:ascii="Arial" w:eastAsia="ヒラギノ角ゴ Pro W3" w:hAnsi="Arial" w:cs="Arial"/>
          <w:b/>
          <w:lang w:val="es-CR" w:eastAsia="es-CR"/>
        </w:rPr>
        <w:t xml:space="preserve">SE </w:t>
      </w:r>
      <w:r>
        <w:rPr>
          <w:rFonts w:ascii="Arial" w:eastAsia="ヒラギノ角ゴ Pro W3" w:hAnsi="Arial" w:cs="Arial"/>
          <w:b/>
          <w:lang w:val="es-CR" w:eastAsia="es-CR"/>
        </w:rPr>
        <w:t>ACUERDA</w:t>
      </w:r>
      <w:r w:rsidRPr="00982435">
        <w:rPr>
          <w:rFonts w:ascii="Arial" w:eastAsia="ヒラギノ角ゴ Pro W3" w:hAnsi="Arial" w:cs="Arial"/>
          <w:b/>
          <w:lang w:val="es-CR" w:eastAsia="es-CR"/>
        </w:rPr>
        <w:t>:</w:t>
      </w:r>
    </w:p>
    <w:p w:rsidR="00982435" w:rsidRPr="00982435" w:rsidRDefault="00982435" w:rsidP="00982435">
      <w:pPr>
        <w:jc w:val="both"/>
        <w:rPr>
          <w:rFonts w:ascii="Arial" w:hAnsi="Arial" w:cs="Arial"/>
        </w:rPr>
      </w:pPr>
    </w:p>
    <w:p w:rsidR="00982435" w:rsidRPr="00982435" w:rsidRDefault="00982435" w:rsidP="00982435">
      <w:pPr>
        <w:numPr>
          <w:ilvl w:val="0"/>
          <w:numId w:val="16"/>
        </w:numPr>
        <w:ind w:left="426" w:hanging="426"/>
        <w:jc w:val="both"/>
        <w:rPr>
          <w:rFonts w:ascii="Arial" w:hAnsi="Arial" w:cs="Arial"/>
        </w:rPr>
      </w:pPr>
      <w:r w:rsidRPr="00982435">
        <w:rPr>
          <w:rFonts w:ascii="Arial" w:hAnsi="Arial" w:cs="Arial"/>
        </w:rPr>
        <w:t>Autorizar a la Administración a usar 640 millones de colones de las reservas mencionadas en el considerando 3 para cubrir los requerimientos de presupuesto operativo de las diferentes unidades ejecutoras para terminar el periodo 2017, para cubrir los recortes implementados producto de las disminuciones presupuestarias por la no aprobación de la Contraloría General de la Republica en el presupuesto ordinario 2017 y nuevas necesidades presupuestarias producto de la ejecución normal a la fecha, de acuerdo con el siguiente detalle de disminución de reservas y aplicación de recursos:</w:t>
      </w:r>
    </w:p>
    <w:p w:rsidR="00982435" w:rsidRPr="00982435" w:rsidRDefault="00982435" w:rsidP="00982435">
      <w:pPr>
        <w:jc w:val="both"/>
        <w:rPr>
          <w:rFonts w:ascii="Arial" w:hAnsi="Arial" w:cs="Arial"/>
        </w:rPr>
      </w:pPr>
    </w:p>
    <w:p w:rsidR="00982435" w:rsidRPr="00982435" w:rsidRDefault="00982435" w:rsidP="00982435">
      <w:pPr>
        <w:numPr>
          <w:ilvl w:val="0"/>
          <w:numId w:val="21"/>
        </w:numPr>
        <w:jc w:val="both"/>
        <w:rPr>
          <w:rFonts w:ascii="Arial" w:hAnsi="Arial" w:cs="Arial"/>
        </w:rPr>
      </w:pPr>
      <w:r w:rsidRPr="00982435">
        <w:rPr>
          <w:rFonts w:ascii="Arial" w:hAnsi="Arial" w:cs="Arial"/>
        </w:rPr>
        <w:t>Disminución de reservas autorizada</w:t>
      </w:r>
    </w:p>
    <w:p w:rsidR="00982435" w:rsidRPr="00982435" w:rsidRDefault="00982435" w:rsidP="00982435">
      <w:pPr>
        <w:ind w:left="786"/>
        <w:jc w:val="both"/>
        <w:rPr>
          <w:rFonts w:ascii="Arial" w:hAnsi="Arial" w:cs="Arial"/>
        </w:rPr>
      </w:pPr>
    </w:p>
    <w:p w:rsidR="00982435" w:rsidRPr="00982435" w:rsidRDefault="00982435" w:rsidP="00982435">
      <w:pPr>
        <w:ind w:left="709"/>
        <w:jc w:val="both"/>
        <w:rPr>
          <w:rFonts w:ascii="Arial" w:hAnsi="Arial" w:cs="Arial"/>
        </w:rPr>
      </w:pPr>
      <w:r w:rsidRPr="00982435">
        <w:rPr>
          <w:rFonts w:ascii="Arial" w:hAnsi="Arial" w:cs="Arial"/>
          <w:noProof/>
          <w:lang w:val="es-CR" w:eastAsia="es-CR"/>
        </w:rPr>
        <w:drawing>
          <wp:inline distT="0" distB="0" distL="0" distR="0" wp14:anchorId="19ABCC6E" wp14:editId="6ECE5134">
            <wp:extent cx="5485873" cy="2148840"/>
            <wp:effectExtent l="0" t="0" r="635"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792" cy="2178578"/>
                    </a:xfrm>
                    <a:prstGeom prst="rect">
                      <a:avLst/>
                    </a:prstGeom>
                    <a:noFill/>
                    <a:ln>
                      <a:noFill/>
                    </a:ln>
                  </pic:spPr>
                </pic:pic>
              </a:graphicData>
            </a:graphic>
          </wp:inline>
        </w:drawing>
      </w:r>
    </w:p>
    <w:p w:rsidR="00982435" w:rsidRPr="00982435" w:rsidRDefault="00982435" w:rsidP="00982435">
      <w:pPr>
        <w:ind w:left="360"/>
        <w:jc w:val="both"/>
        <w:rPr>
          <w:rFonts w:ascii="Arial" w:hAnsi="Arial" w:cs="Arial"/>
        </w:rPr>
      </w:pPr>
    </w:p>
    <w:p w:rsidR="00982435" w:rsidRPr="00982435" w:rsidRDefault="00982435" w:rsidP="00982435">
      <w:pPr>
        <w:ind w:left="360"/>
        <w:jc w:val="both"/>
        <w:rPr>
          <w:rFonts w:ascii="Arial" w:hAnsi="Arial" w:cs="Arial"/>
        </w:rPr>
      </w:pPr>
    </w:p>
    <w:p w:rsidR="00982435" w:rsidRPr="00982435" w:rsidRDefault="00982435" w:rsidP="00982435">
      <w:pPr>
        <w:numPr>
          <w:ilvl w:val="0"/>
          <w:numId w:val="21"/>
        </w:numPr>
        <w:jc w:val="both"/>
        <w:rPr>
          <w:rFonts w:ascii="Arial" w:hAnsi="Arial" w:cs="Arial"/>
        </w:rPr>
      </w:pPr>
      <w:r w:rsidRPr="00982435">
        <w:rPr>
          <w:rFonts w:ascii="Arial" w:hAnsi="Arial" w:cs="Arial"/>
        </w:rPr>
        <w:t>Partidas a reforzar y montos autorizados</w:t>
      </w:r>
    </w:p>
    <w:p w:rsidR="00982435" w:rsidRPr="00982435" w:rsidRDefault="00982435" w:rsidP="00982435">
      <w:pPr>
        <w:ind w:left="360"/>
        <w:jc w:val="both"/>
        <w:rPr>
          <w:rFonts w:ascii="Arial" w:hAnsi="Arial" w:cs="Arial"/>
        </w:rPr>
      </w:pPr>
    </w:p>
    <w:p w:rsidR="00982435" w:rsidRPr="00982435" w:rsidRDefault="00982435" w:rsidP="00982435">
      <w:pPr>
        <w:ind w:left="1418" w:hanging="567"/>
        <w:jc w:val="both"/>
        <w:rPr>
          <w:rFonts w:ascii="Arial" w:hAnsi="Arial" w:cs="Arial"/>
          <w:sz w:val="16"/>
          <w:szCs w:val="16"/>
        </w:rPr>
      </w:pPr>
      <w:r w:rsidRPr="00982435">
        <w:rPr>
          <w:rFonts w:ascii="Arial" w:hAnsi="Arial" w:cs="Arial"/>
          <w:noProof/>
          <w:sz w:val="16"/>
          <w:szCs w:val="16"/>
          <w:lang w:val="es-CR" w:eastAsia="es-CR"/>
        </w:rPr>
        <w:lastRenderedPageBreak/>
        <w:drawing>
          <wp:inline distT="0" distB="0" distL="0" distR="0" wp14:anchorId="7C0E2F66" wp14:editId="473D5178">
            <wp:extent cx="4960469" cy="220218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8696" cy="2214711"/>
                    </a:xfrm>
                    <a:prstGeom prst="rect">
                      <a:avLst/>
                    </a:prstGeom>
                    <a:noFill/>
                    <a:ln>
                      <a:noFill/>
                    </a:ln>
                  </pic:spPr>
                </pic:pic>
              </a:graphicData>
            </a:graphic>
          </wp:inline>
        </w:drawing>
      </w:r>
    </w:p>
    <w:p w:rsidR="00982435" w:rsidRPr="00982435" w:rsidRDefault="00982435" w:rsidP="00982435">
      <w:pPr>
        <w:ind w:left="1778" w:hanging="1418"/>
        <w:jc w:val="both"/>
        <w:rPr>
          <w:rFonts w:ascii="Arial" w:hAnsi="Arial" w:cs="Arial"/>
          <w:sz w:val="16"/>
          <w:szCs w:val="16"/>
        </w:rPr>
      </w:pPr>
    </w:p>
    <w:p w:rsidR="00982435" w:rsidRPr="00982435" w:rsidRDefault="00982435" w:rsidP="00982435">
      <w:pPr>
        <w:ind w:left="1778" w:hanging="1418"/>
        <w:jc w:val="both"/>
        <w:rPr>
          <w:rFonts w:ascii="Arial" w:hAnsi="Arial" w:cs="Arial"/>
          <w:sz w:val="16"/>
          <w:szCs w:val="16"/>
        </w:rPr>
      </w:pPr>
    </w:p>
    <w:p w:rsidR="00982435" w:rsidRPr="00982435" w:rsidRDefault="00982435" w:rsidP="00982435">
      <w:pPr>
        <w:jc w:val="both"/>
        <w:rPr>
          <w:rFonts w:ascii="Arial" w:hAnsi="Arial" w:cs="Arial"/>
          <w:b/>
          <w:i/>
          <w:sz w:val="16"/>
          <w:szCs w:val="16"/>
        </w:rPr>
      </w:pPr>
    </w:p>
    <w:p w:rsidR="00982435" w:rsidRPr="00982435" w:rsidRDefault="00982435" w:rsidP="00982435">
      <w:pPr>
        <w:numPr>
          <w:ilvl w:val="0"/>
          <w:numId w:val="16"/>
        </w:numPr>
        <w:ind w:left="426" w:hanging="426"/>
        <w:jc w:val="both"/>
        <w:rPr>
          <w:rFonts w:ascii="Arial" w:hAnsi="Arial" w:cs="Arial"/>
        </w:rPr>
      </w:pPr>
      <w:r w:rsidRPr="00982435">
        <w:rPr>
          <w:rFonts w:ascii="Arial" w:hAnsi="Arial" w:cs="Arial"/>
        </w:rPr>
        <w:t>Solicitar a la Administración que los recursos no ejecutados en estas reservas sean trasladados como superávit y considerado como fondo restringido para el presupuesto extraordinario del año 2018.</w:t>
      </w:r>
    </w:p>
    <w:p w:rsidR="00982435" w:rsidRPr="00982435" w:rsidRDefault="00982435" w:rsidP="00982435">
      <w:pPr>
        <w:ind w:left="567"/>
        <w:contextualSpacing/>
        <w:jc w:val="both"/>
        <w:rPr>
          <w:rFonts w:ascii="Arial" w:hAnsi="Arial" w:cs="Arial"/>
          <w:lang w:val="es-CR"/>
        </w:rPr>
      </w:pPr>
    </w:p>
    <w:p w:rsidR="00982435" w:rsidRPr="00982435" w:rsidRDefault="00982435" w:rsidP="00982435">
      <w:pPr>
        <w:numPr>
          <w:ilvl w:val="0"/>
          <w:numId w:val="16"/>
        </w:numPr>
        <w:ind w:left="426" w:hanging="426"/>
        <w:jc w:val="both"/>
        <w:rPr>
          <w:rFonts w:ascii="Arial" w:eastAsia="Calibri" w:hAnsi="Arial" w:cs="Arial"/>
        </w:rPr>
      </w:pPr>
      <w:r w:rsidRPr="00982435">
        <w:rPr>
          <w:rFonts w:ascii="Arial" w:eastAsia="Calibri" w:hAnsi="Arial" w:cs="Arial"/>
        </w:rPr>
        <w:t xml:space="preserve">Solicitar a la Administración que la aplicación de los fondos restringidos en gastos de operación, se haga en atención a lo dispuesto en el </w:t>
      </w:r>
      <w:r w:rsidR="00B26C2D">
        <w:rPr>
          <w:rFonts w:ascii="Arial" w:eastAsia="Calibri" w:hAnsi="Arial" w:cs="Arial"/>
        </w:rPr>
        <w:t>D</w:t>
      </w:r>
      <w:r w:rsidRPr="00982435">
        <w:rPr>
          <w:rFonts w:ascii="Arial" w:eastAsia="Calibri" w:hAnsi="Arial" w:cs="Arial"/>
        </w:rPr>
        <w:t xml:space="preserve">ecreto </w:t>
      </w:r>
      <w:r w:rsidRPr="00982435">
        <w:rPr>
          <w:rFonts w:ascii="Arial" w:eastAsia="Calibri" w:hAnsi="Arial" w:cs="Arial"/>
          <w:lang w:val="es-CR" w:eastAsia="es-CR"/>
        </w:rPr>
        <w:t>40540-H,</w:t>
      </w:r>
      <w:r>
        <w:rPr>
          <w:rFonts w:ascii="Arial" w:eastAsia="Calibri" w:hAnsi="Arial" w:cs="Arial"/>
          <w:lang w:val="es-CR" w:eastAsia="es-CR"/>
        </w:rPr>
        <w:t xml:space="preserve"> </w:t>
      </w:r>
      <w:r w:rsidR="00B26C2D">
        <w:rPr>
          <w:rFonts w:ascii="Arial" w:eastAsia="Calibri" w:hAnsi="Arial" w:cs="Arial"/>
          <w:lang w:val="es-CR" w:eastAsia="es-CR"/>
        </w:rPr>
        <w:t xml:space="preserve">Artículo 6, </w:t>
      </w:r>
      <w:bookmarkStart w:id="0" w:name="_GoBack"/>
      <w:bookmarkEnd w:id="0"/>
      <w:r>
        <w:rPr>
          <w:rFonts w:ascii="Arial" w:eastAsia="Calibri" w:hAnsi="Arial" w:cs="Arial"/>
          <w:lang w:val="es-CR" w:eastAsia="es-CR"/>
        </w:rPr>
        <w:t>del 0</w:t>
      </w:r>
      <w:r w:rsidR="00B26C2D">
        <w:rPr>
          <w:rFonts w:ascii="Arial" w:eastAsia="Calibri" w:hAnsi="Arial" w:cs="Arial"/>
          <w:lang w:val="es-CR" w:eastAsia="es-CR"/>
        </w:rPr>
        <w:t>1</w:t>
      </w:r>
      <w:r>
        <w:rPr>
          <w:rFonts w:ascii="Arial" w:eastAsia="Calibri" w:hAnsi="Arial" w:cs="Arial"/>
          <w:lang w:val="es-CR" w:eastAsia="es-CR"/>
        </w:rPr>
        <w:t xml:space="preserve"> de agosto de 2017.</w:t>
      </w:r>
    </w:p>
    <w:p w:rsidR="00982435" w:rsidRPr="00982435" w:rsidRDefault="00982435" w:rsidP="00982435">
      <w:pPr>
        <w:rPr>
          <w:sz w:val="20"/>
          <w:szCs w:val="20"/>
          <w:lang w:val="es-CR"/>
        </w:rPr>
      </w:pPr>
    </w:p>
    <w:p w:rsidR="000D220C" w:rsidRPr="00982435" w:rsidRDefault="000D220C" w:rsidP="007742A1">
      <w:pPr>
        <w:jc w:val="both"/>
        <w:rPr>
          <w:rFonts w:ascii="Arial" w:eastAsia="Cambria" w:hAnsi="Arial" w:cs="Arial"/>
          <w:lang w:val="es-CR" w:eastAsia="en-US"/>
        </w:rPr>
      </w:pPr>
    </w:p>
    <w:p w:rsidR="00BD426A" w:rsidRPr="00BD426A" w:rsidRDefault="00BD426A" w:rsidP="00982435">
      <w:pPr>
        <w:numPr>
          <w:ilvl w:val="0"/>
          <w:numId w:val="16"/>
        </w:numPr>
        <w:ind w:left="426" w:hanging="426"/>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E00132" w:rsidRPr="00E00132" w:rsidRDefault="00E00132" w:rsidP="00E00132">
      <w:pPr>
        <w:ind w:left="360"/>
        <w:jc w:val="both"/>
        <w:rPr>
          <w:rFonts w:ascii="Arial" w:eastAsia="Cambria" w:hAnsi="Arial" w:cs="Arial"/>
          <w:b/>
          <w:lang w:val="es-ES_tradnl" w:eastAsia="en-US"/>
        </w:rPr>
      </w:pP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00060" w:rsidRDefault="00800060" w:rsidP="00800060">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13"/>
      <w:footerReference w:type="default" r:id="rId14"/>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09" w:rsidRDefault="00215C09">
      <w:r>
        <w:separator/>
      </w:r>
    </w:p>
  </w:endnote>
  <w:endnote w:type="continuationSeparator" w:id="0">
    <w:p w:rsidR="00215C09" w:rsidRDefault="0021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09" w:rsidRDefault="00215C09">
      <w:r>
        <w:separator/>
      </w:r>
    </w:p>
  </w:footnote>
  <w:footnote w:type="continuationSeparator" w:id="0">
    <w:p w:rsidR="00215C09" w:rsidRDefault="0021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044242">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982435">
      <w:rPr>
        <w:rFonts w:ascii="Arial" w:eastAsia="Cambria" w:hAnsi="Arial" w:cs="Arial"/>
        <w:i/>
        <w:sz w:val="18"/>
        <w:szCs w:val="18"/>
        <w:lang w:val="es-ES_tradnl" w:eastAsia="x-none"/>
      </w:rPr>
      <w:t>12</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82435">
      <w:rPr>
        <w:rFonts w:ascii="Arial" w:eastAsia="Cambria" w:hAnsi="Arial" w:cs="Arial"/>
        <w:i/>
        <w:sz w:val="18"/>
        <w:szCs w:val="18"/>
        <w:lang w:val="es-ES_tradnl" w:eastAsia="x-none"/>
      </w:rPr>
      <w:t>06</w:t>
    </w:r>
    <w:r w:rsidR="006442DF">
      <w:rPr>
        <w:rFonts w:ascii="Arial" w:eastAsia="Cambria" w:hAnsi="Arial" w:cs="Arial"/>
        <w:i/>
        <w:sz w:val="18"/>
        <w:szCs w:val="18"/>
        <w:lang w:val="es-ES_tradnl" w:eastAsia="x-none"/>
      </w:rPr>
      <w:t xml:space="preserve"> de </w:t>
    </w:r>
    <w:r w:rsidR="00982435">
      <w:rPr>
        <w:rFonts w:ascii="Arial" w:eastAsia="Cambria" w:hAnsi="Arial" w:cs="Arial"/>
        <w:i/>
        <w:sz w:val="18"/>
        <w:szCs w:val="18"/>
        <w:lang w:val="es-ES_tradnl" w:eastAsia="x-none"/>
      </w:rPr>
      <w:t xml:space="preserve">setiembre </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26C2D">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21116F"/>
    <w:multiLevelType w:val="hybridMultilevel"/>
    <w:tmpl w:val="882A36D0"/>
    <w:lvl w:ilvl="0" w:tplc="89482666">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BD1754B"/>
    <w:multiLevelType w:val="hybridMultilevel"/>
    <w:tmpl w:val="6D2A8188"/>
    <w:lvl w:ilvl="0" w:tplc="140A001B">
      <w:start w:val="1"/>
      <w:numFmt w:val="lowerRoman"/>
      <w:lvlText w:val="%1."/>
      <w:lvlJc w:val="righ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2" w15:restartNumberingAfterBreak="0">
    <w:nsid w:val="3C321450"/>
    <w:multiLevelType w:val="hybridMultilevel"/>
    <w:tmpl w:val="6A082F6C"/>
    <w:lvl w:ilvl="0" w:tplc="CADE26CC">
      <w:start w:val="4"/>
      <w:numFmt w:val="decimal"/>
      <w:lvlText w:val="%1"/>
      <w:lvlJc w:val="left"/>
      <w:pPr>
        <w:ind w:left="786" w:hanging="360"/>
      </w:pPr>
      <w:rPr>
        <w:b/>
      </w:r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3"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04023BB"/>
    <w:multiLevelType w:val="hybridMultilevel"/>
    <w:tmpl w:val="184673A6"/>
    <w:lvl w:ilvl="0" w:tplc="E0C8F6C2">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6"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0"/>
  </w:num>
  <w:num w:numId="4">
    <w:abstractNumId w:val="20"/>
  </w:num>
  <w:num w:numId="5">
    <w:abstractNumId w:val="16"/>
  </w:num>
  <w:num w:numId="6">
    <w:abstractNumId w:val="4"/>
  </w:num>
  <w:num w:numId="7">
    <w:abstractNumId w:val="6"/>
  </w:num>
  <w:num w:numId="8">
    <w:abstractNumId w:val="7"/>
  </w:num>
  <w:num w:numId="9">
    <w:abstractNumId w:val="16"/>
  </w:num>
  <w:num w:numId="10">
    <w:abstractNumId w:val="5"/>
  </w:num>
  <w:num w:numId="11">
    <w:abstractNumId w:val="17"/>
  </w:num>
  <w:num w:numId="12">
    <w:abstractNumId w:val="13"/>
  </w:num>
  <w:num w:numId="13">
    <w:abstractNumId w:val="0"/>
  </w:num>
  <w:num w:numId="14">
    <w:abstractNumId w:val="8"/>
  </w:num>
  <w:num w:numId="15">
    <w:abstractNumId w:val="19"/>
  </w:num>
  <w:num w:numId="16">
    <w:abstractNumId w:val="15"/>
  </w:num>
  <w:num w:numId="17">
    <w:abstractNumId w:val="18"/>
  </w:num>
  <w:num w:numId="18">
    <w:abstractNumId w:val="14"/>
  </w:num>
  <w:num w:numId="19">
    <w:abstractNumId w:val="2"/>
  </w:num>
  <w:num w:numId="20">
    <w:abstractNumId w:val="9"/>
  </w:num>
  <w:num w:numId="21">
    <w:abstractNumId w:val="11"/>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5C0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4787"/>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2435"/>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C2D"/>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6F77"/>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DC2F-D725-447E-A13F-175070C1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142</cp:revision>
  <cp:lastPrinted>2017-08-30T22:31:00Z</cp:lastPrinted>
  <dcterms:created xsi:type="dcterms:W3CDTF">2016-10-05T20:00:00Z</dcterms:created>
  <dcterms:modified xsi:type="dcterms:W3CDTF">2017-09-07T15:57:00Z</dcterms:modified>
</cp:coreProperties>
</file>