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BE41A3">
        <w:rPr>
          <w:rFonts w:ascii="Arial" w:hAnsi="Arial" w:cs="Arial"/>
          <w:b/>
          <w:bCs/>
          <w:iCs/>
          <w:sz w:val="26"/>
          <w:szCs w:val="22"/>
          <w:lang w:val="es-CR"/>
        </w:rPr>
        <w:t>5</w:t>
      </w:r>
      <w:r w:rsidR="00E86086">
        <w:rPr>
          <w:rFonts w:ascii="Arial" w:hAnsi="Arial" w:cs="Arial"/>
          <w:b/>
          <w:bCs/>
          <w:iCs/>
          <w:sz w:val="26"/>
          <w:szCs w:val="22"/>
          <w:lang w:val="es-CR"/>
        </w:rPr>
        <w:t>83</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E86086"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Dr. Julio Calvo Alvarado</w:t>
            </w:r>
            <w:bookmarkStart w:id="0" w:name="_GoBack"/>
            <w:bookmarkEnd w:id="0"/>
            <w:r w:rsidR="0090700F" w:rsidRPr="00267FAF">
              <w:rPr>
                <w:rFonts w:ascii="Arial" w:eastAsia="Cambria" w:hAnsi="Arial" w:cs="Arial"/>
                <w:sz w:val="22"/>
                <w:szCs w:val="22"/>
                <w:lang w:val="es-ES_tradnl" w:eastAsia="en-US"/>
              </w:rPr>
              <w:t>, Rector</w:t>
            </w:r>
            <w:r w:rsidR="00FA361C" w:rsidRPr="00267FAF">
              <w:rPr>
                <w:rFonts w:ascii="Arial" w:eastAsia="Cambria" w:hAnsi="Arial" w:cs="Arial"/>
                <w:sz w:val="22"/>
                <w:szCs w:val="22"/>
                <w:lang w:val="es-ES_tradnl" w:eastAsia="en-US"/>
              </w:rPr>
              <w:t xml:space="preserve"> </w:t>
            </w:r>
            <w:r w:rsidR="00337455" w:rsidRPr="00267FAF">
              <w:rPr>
                <w:rFonts w:ascii="Arial" w:eastAsia="Cambria" w:hAnsi="Arial" w:cs="Arial"/>
                <w:sz w:val="22"/>
                <w:szCs w:val="22"/>
                <w:lang w:val="es-ES_tradnl" w:eastAsia="en-US"/>
              </w:rPr>
              <w:t xml:space="preserve"> </w:t>
            </w:r>
          </w:p>
          <w:p w:rsidR="000D6061" w:rsidRPr="000D6061" w:rsidRDefault="000D6061" w:rsidP="000D60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Pr="000D6061">
              <w:rPr>
                <w:rFonts w:ascii="Arial" w:eastAsia="Cambria" w:hAnsi="Arial" w:cs="Arial"/>
                <w:sz w:val="22"/>
                <w:szCs w:val="22"/>
                <w:lang w:val="es-ES_tradnl" w:eastAsia="en-US"/>
              </w:rPr>
              <w:t>. Humberto Villalta, Vicerrector de Administración</w:t>
            </w:r>
          </w:p>
          <w:p w:rsidR="000D6061" w:rsidRPr="000D6061" w:rsidRDefault="000D6061" w:rsidP="000D606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Ing. Luis Paulino Méndez, Vicerrector de Docencia</w:t>
            </w:r>
          </w:p>
          <w:p w:rsidR="000D6061" w:rsidRPr="000D6061" w:rsidRDefault="000D6061" w:rsidP="000D606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 xml:space="preserve">Dra. Paola Vega, Vicerrectora de Investigación y Extensión </w:t>
            </w:r>
          </w:p>
          <w:p w:rsidR="000D6061" w:rsidRPr="000D6061" w:rsidRDefault="000D6061" w:rsidP="000D606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 xml:space="preserve">Dra. Claudia Madrizova, Vicerrectora de Vida Estudiantil y Servicios Académicos </w:t>
            </w:r>
          </w:p>
          <w:p w:rsidR="000D6061" w:rsidRPr="000D6061" w:rsidRDefault="000D6061" w:rsidP="000D60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Pr="000D6061">
              <w:rPr>
                <w:rFonts w:ascii="Arial" w:eastAsia="Cambria" w:hAnsi="Arial" w:cs="Arial"/>
                <w:sz w:val="22"/>
                <w:szCs w:val="22"/>
                <w:lang w:val="es-ES_tradnl" w:eastAsia="en-US"/>
              </w:rPr>
              <w:t>. Edgardo Vargas, Director Sede Regional San Carlos</w:t>
            </w:r>
          </w:p>
          <w:p w:rsidR="000D6061" w:rsidRPr="000D6061" w:rsidRDefault="000D6061" w:rsidP="000D606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Arq. Marlene Ilama, Directora Centro Académico San José</w:t>
            </w:r>
          </w:p>
          <w:p w:rsidR="000D6061" w:rsidRDefault="0020429C" w:rsidP="000D6061">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r w:rsidR="000D6061">
              <w:rPr>
                <w:rFonts w:ascii="Arial" w:eastAsia="Cambria" w:hAnsi="Arial" w:cs="Arial"/>
                <w:sz w:val="22"/>
                <w:szCs w:val="22"/>
                <w:lang w:val="es-ES_tradnl" w:eastAsia="en-US"/>
              </w:rPr>
              <w:t>Dr. Roberto Pereira, Director Centro Académico de Alajuela</w:t>
            </w:r>
          </w:p>
          <w:p w:rsidR="000D6061" w:rsidRPr="000D6061" w:rsidRDefault="000D6061" w:rsidP="000D606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Máster Roxana Jiménez, Directora Centro Académico de Limón</w:t>
            </w:r>
          </w:p>
          <w:p w:rsidR="000D6061" w:rsidRPr="000D6061" w:rsidRDefault="00E86086" w:rsidP="000D6061">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Licda. Ericka Quirós</w:t>
            </w:r>
            <w:r w:rsidR="000D6061" w:rsidRPr="000D6061">
              <w:rPr>
                <w:rFonts w:ascii="Arial" w:eastAsia="Cambria" w:hAnsi="Arial" w:cs="Arial"/>
                <w:sz w:val="22"/>
                <w:szCs w:val="22"/>
                <w:lang w:val="es-ES_tradnl" w:eastAsia="en-US"/>
              </w:rPr>
              <w:t xml:space="preserve">, Directora </w:t>
            </w:r>
            <w:proofErr w:type="spellStart"/>
            <w:r>
              <w:rPr>
                <w:rFonts w:ascii="Arial" w:eastAsia="Cambria" w:hAnsi="Arial" w:cs="Arial"/>
                <w:sz w:val="22"/>
                <w:szCs w:val="22"/>
                <w:lang w:val="es-ES_tradnl" w:eastAsia="en-US"/>
              </w:rPr>
              <w:t>a.i.</w:t>
            </w:r>
            <w:proofErr w:type="spellEnd"/>
            <w:r>
              <w:rPr>
                <w:rFonts w:ascii="Arial" w:eastAsia="Cambria" w:hAnsi="Arial" w:cs="Arial"/>
                <w:sz w:val="22"/>
                <w:szCs w:val="22"/>
                <w:lang w:val="es-ES_tradnl" w:eastAsia="en-US"/>
              </w:rPr>
              <w:t xml:space="preserve"> </w:t>
            </w:r>
            <w:r w:rsidR="000D6061" w:rsidRPr="000D6061">
              <w:rPr>
                <w:rFonts w:ascii="Arial" w:eastAsia="Cambria" w:hAnsi="Arial" w:cs="Arial"/>
                <w:sz w:val="22"/>
                <w:szCs w:val="22"/>
                <w:lang w:val="es-ES_tradnl" w:eastAsia="en-US"/>
              </w:rPr>
              <w:t>Oficina de Planificación Institucional</w:t>
            </w:r>
          </w:p>
          <w:p w:rsidR="000D6061" w:rsidRPr="000D6061" w:rsidRDefault="000D6061" w:rsidP="000D6061">
            <w:pPr>
              <w:ind w:left="45"/>
              <w:jc w:val="both"/>
              <w:rPr>
                <w:rFonts w:ascii="Arial" w:eastAsia="Cambria" w:hAnsi="Arial" w:cs="Arial"/>
                <w:sz w:val="22"/>
                <w:szCs w:val="22"/>
                <w:lang w:val="es-ES_tradnl" w:eastAsia="en-US"/>
              </w:rPr>
            </w:pPr>
            <w:r w:rsidRPr="000D6061">
              <w:rPr>
                <w:rFonts w:ascii="Arial" w:eastAsia="Cambria" w:hAnsi="Arial" w:cs="Arial"/>
                <w:sz w:val="22"/>
                <w:szCs w:val="22"/>
                <w:lang w:val="es-ES_tradnl" w:eastAsia="en-US"/>
              </w:rPr>
              <w:t>Lic</w:t>
            </w:r>
            <w:r>
              <w:rPr>
                <w:rFonts w:ascii="Arial" w:eastAsia="Cambria" w:hAnsi="Arial" w:cs="Arial"/>
                <w:sz w:val="22"/>
                <w:szCs w:val="22"/>
                <w:lang w:val="es-ES_tradnl" w:eastAsia="en-US"/>
              </w:rPr>
              <w:t>da</w:t>
            </w:r>
            <w:r w:rsidRPr="000D6061">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Silvia Watson</w:t>
            </w:r>
            <w:r w:rsidRPr="000D6061">
              <w:rPr>
                <w:rFonts w:ascii="Arial" w:eastAsia="Cambria" w:hAnsi="Arial" w:cs="Arial"/>
                <w:sz w:val="22"/>
                <w:szCs w:val="22"/>
                <w:lang w:val="es-ES_tradnl" w:eastAsia="en-US"/>
              </w:rPr>
              <w:t>, Director</w:t>
            </w:r>
            <w:r>
              <w:rPr>
                <w:rFonts w:ascii="Arial" w:eastAsia="Cambria" w:hAnsi="Arial" w:cs="Arial"/>
                <w:sz w:val="22"/>
                <w:szCs w:val="22"/>
                <w:lang w:val="es-ES_tradnl" w:eastAsia="en-US"/>
              </w:rPr>
              <w:t>a</w:t>
            </w:r>
            <w:r w:rsidRPr="000D6061">
              <w:rPr>
                <w:rFonts w:ascii="Arial" w:eastAsia="Cambria" w:hAnsi="Arial" w:cs="Arial"/>
                <w:sz w:val="22"/>
                <w:szCs w:val="22"/>
                <w:lang w:val="es-ES_tradnl" w:eastAsia="en-US"/>
              </w:rPr>
              <w:t xml:space="preserve"> Departamento Financiero Contable</w:t>
            </w:r>
          </w:p>
          <w:p w:rsidR="000D6061" w:rsidRPr="002D6978" w:rsidRDefault="000D6061" w:rsidP="00E86086">
            <w:pPr>
              <w:jc w:val="both"/>
              <w:rPr>
                <w:rFonts w:ascii="Arial" w:eastAsia="Cambria" w:hAnsi="Arial" w:cs="Arial"/>
                <w:sz w:val="22"/>
                <w:szCs w:val="22"/>
                <w:lang w:val="es-ES_tradnl" w:eastAsia="en-US"/>
              </w:rPr>
            </w:pP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Licda. </w:t>
            </w:r>
            <w:proofErr w:type="spellStart"/>
            <w:r w:rsidRPr="00267FAF">
              <w:rPr>
                <w:rFonts w:ascii="Arial" w:eastAsia="Cambria" w:hAnsi="Arial" w:cs="Arial"/>
                <w:sz w:val="22"/>
                <w:szCs w:val="22"/>
                <w:lang w:val="es-ES_tradnl" w:eastAsia="en-US"/>
              </w:rPr>
              <w:t>Bertalía</w:t>
            </w:r>
            <w:proofErr w:type="spellEnd"/>
            <w:r w:rsidRPr="00267FAF">
              <w:rPr>
                <w:rFonts w:ascii="Arial" w:eastAsia="Cambria" w:hAnsi="Arial" w:cs="Arial"/>
                <w:sz w:val="22"/>
                <w:szCs w:val="22"/>
                <w:lang w:val="es-ES_tradnl" w:eastAsia="en-US"/>
              </w:rPr>
              <w:t xml:space="preserve"> Sánchez Salas, Directora Ejecutiva </w:t>
            </w:r>
          </w:p>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Secretaría 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E86086"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06</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setiembre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E86086" w:rsidRPr="00E86086" w:rsidRDefault="007742A1" w:rsidP="00E86086">
            <w:pPr>
              <w:ind w:left="67"/>
              <w:jc w:val="both"/>
              <w:rPr>
                <w:rFonts w:ascii="Arial" w:hAnsi="Arial" w:cs="Arial"/>
                <w:b/>
                <w:bCs/>
                <w:sz w:val="22"/>
                <w:szCs w:val="22"/>
                <w:lang w:val="es-CR"/>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267FAF" w:rsidRPr="00267FAF">
              <w:rPr>
                <w:rFonts w:ascii="Arial" w:eastAsia="Calibri" w:hAnsi="Arial" w:cs="Arial"/>
                <w:b/>
                <w:sz w:val="22"/>
                <w:szCs w:val="22"/>
              </w:rPr>
              <w:t>3</w:t>
            </w:r>
            <w:r w:rsidR="00E86086">
              <w:rPr>
                <w:rFonts w:ascii="Arial" w:eastAsia="Calibri" w:hAnsi="Arial" w:cs="Arial"/>
                <w:b/>
                <w:sz w:val="22"/>
                <w:szCs w:val="22"/>
              </w:rPr>
              <w:t>7</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E86086">
              <w:rPr>
                <w:rFonts w:ascii="Arial" w:eastAsia="Calibri" w:hAnsi="Arial" w:cs="Arial"/>
                <w:b/>
                <w:sz w:val="22"/>
                <w:szCs w:val="22"/>
              </w:rPr>
              <w:t>13</w:t>
            </w:r>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E86086">
              <w:rPr>
                <w:rFonts w:ascii="Arial" w:eastAsia="Calibri" w:hAnsi="Arial" w:cs="Arial"/>
                <w:b/>
                <w:sz w:val="22"/>
                <w:szCs w:val="22"/>
              </w:rPr>
              <w:t>06</w:t>
            </w:r>
            <w:r w:rsidRPr="00267FAF">
              <w:rPr>
                <w:rFonts w:ascii="Arial" w:eastAsia="Calibri" w:hAnsi="Arial" w:cs="Arial"/>
                <w:b/>
                <w:sz w:val="22"/>
                <w:szCs w:val="22"/>
              </w:rPr>
              <w:t xml:space="preserve"> de </w:t>
            </w:r>
            <w:r w:rsidR="00E86086">
              <w:rPr>
                <w:rFonts w:ascii="Arial" w:eastAsia="Calibri" w:hAnsi="Arial" w:cs="Arial"/>
                <w:b/>
                <w:sz w:val="22"/>
                <w:szCs w:val="22"/>
              </w:rPr>
              <w:t>setiembre</w:t>
            </w:r>
            <w:r w:rsidR="007A2D73" w:rsidRPr="00267FAF">
              <w:rPr>
                <w:rFonts w:ascii="Arial" w:eastAsia="Calibri" w:hAnsi="Arial" w:cs="Arial"/>
                <w:b/>
                <w:sz w:val="22"/>
                <w:szCs w:val="22"/>
              </w:rPr>
              <w:t xml:space="preserve"> </w:t>
            </w:r>
            <w:proofErr w:type="spellStart"/>
            <w:r w:rsidR="00A772EF" w:rsidRPr="00267FAF">
              <w:rPr>
                <w:rFonts w:ascii="Arial" w:eastAsia="Calibri" w:hAnsi="Arial" w:cs="Arial"/>
                <w:b/>
                <w:sz w:val="22"/>
                <w:szCs w:val="22"/>
              </w:rPr>
              <w:t>de</w:t>
            </w:r>
            <w:proofErr w:type="spellEnd"/>
            <w:r w:rsidR="00A772EF" w:rsidRPr="00267FAF">
              <w:rPr>
                <w:rFonts w:ascii="Arial" w:eastAsia="Calibri" w:hAnsi="Arial" w:cs="Arial"/>
                <w:b/>
                <w:sz w:val="22"/>
                <w:szCs w:val="22"/>
              </w:rPr>
              <w:t xml:space="preserve"> 2017</w:t>
            </w:r>
            <w:r w:rsidR="001E08C0" w:rsidRPr="00267FAF">
              <w:rPr>
                <w:rFonts w:ascii="Arial" w:eastAsia="Calibri" w:hAnsi="Arial" w:cs="Arial"/>
                <w:b/>
                <w:sz w:val="22"/>
                <w:szCs w:val="22"/>
              </w:rPr>
              <w:t xml:space="preserve">.  </w:t>
            </w:r>
            <w:r w:rsidR="00E86086" w:rsidRPr="00E86086">
              <w:rPr>
                <w:rFonts w:ascii="Arial" w:hAnsi="Arial" w:cs="Arial"/>
                <w:b/>
                <w:color w:val="000000"/>
                <w:sz w:val="22"/>
                <w:szCs w:val="22"/>
                <w:lang w:val="es-CR"/>
              </w:rPr>
              <w:t xml:space="preserve">Modificación de las </w:t>
            </w:r>
            <w:r w:rsidR="00E86086" w:rsidRPr="00E86086">
              <w:rPr>
                <w:rFonts w:ascii="Arial" w:hAnsi="Arial" w:cs="Arial"/>
                <w:b/>
                <w:sz w:val="22"/>
                <w:szCs w:val="22"/>
                <w:lang w:val="es-CR"/>
              </w:rPr>
              <w:t xml:space="preserve">Disposiciones para la Formulación Presupuestaria del Instituto Tecnológico de Costa Rica 2018, </w:t>
            </w:r>
            <w:r w:rsidR="00E86086" w:rsidRPr="00E86086">
              <w:rPr>
                <w:rFonts w:ascii="Arial" w:hAnsi="Arial" w:cs="Arial"/>
                <w:b/>
                <w:color w:val="000000"/>
                <w:sz w:val="22"/>
                <w:szCs w:val="22"/>
                <w:lang w:val="es-CR"/>
              </w:rPr>
              <w:t xml:space="preserve"> para la conformación de las reservas</w:t>
            </w:r>
          </w:p>
          <w:p w:rsidR="00E00132" w:rsidRPr="00E86086" w:rsidRDefault="00E00132" w:rsidP="00E00132">
            <w:pPr>
              <w:ind w:left="67"/>
              <w:jc w:val="both"/>
              <w:rPr>
                <w:rFonts w:ascii="Arial" w:eastAsia="Cambria" w:hAnsi="Arial" w:cs="Arial"/>
                <w:b/>
                <w:i/>
                <w:sz w:val="22"/>
                <w:szCs w:val="22"/>
                <w:lang w:val="es-CR" w:eastAsia="en-US"/>
              </w:rPr>
            </w:pPr>
          </w:p>
          <w:p w:rsidR="00CE5E1A" w:rsidRPr="007F1052" w:rsidRDefault="00CE5E1A" w:rsidP="00E86086">
            <w:pPr>
              <w:jc w:val="both"/>
              <w:rPr>
                <w:rFonts w:ascii="Arial" w:eastAsia="Cambria" w:hAnsi="Arial" w:cs="Arial"/>
                <w:b/>
                <w:sz w:val="20"/>
                <w:szCs w:val="20"/>
                <w:highlight w:val="yellow"/>
                <w:lang w:val="es-CR" w:eastAsia="en-US"/>
              </w:rPr>
            </w:pPr>
          </w:p>
        </w:tc>
      </w:tr>
    </w:tbl>
    <w:p w:rsidR="000D220C"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E86086" w:rsidRDefault="00E86086" w:rsidP="007742A1">
      <w:pPr>
        <w:jc w:val="both"/>
        <w:rPr>
          <w:rFonts w:ascii="Arial" w:eastAsia="Cambria" w:hAnsi="Arial" w:cs="Arial"/>
          <w:lang w:val="es-ES_tradnl" w:eastAsia="en-US"/>
        </w:rPr>
      </w:pPr>
    </w:p>
    <w:p w:rsidR="00E86086" w:rsidRPr="00E86086" w:rsidRDefault="00E86086" w:rsidP="00E86086">
      <w:pPr>
        <w:ind w:left="1418" w:hanging="1418"/>
        <w:jc w:val="both"/>
        <w:rPr>
          <w:rFonts w:ascii="Arial" w:hAnsi="Arial" w:cs="Arial"/>
          <w:b/>
          <w:bCs/>
          <w:lang w:val="es-CR"/>
        </w:rPr>
      </w:pPr>
      <w:r w:rsidRPr="00E86086">
        <w:rPr>
          <w:rFonts w:ascii="Arial" w:hAnsi="Arial" w:cs="Arial"/>
          <w:b/>
          <w:bCs/>
          <w:lang w:val="es-CR"/>
        </w:rPr>
        <w:t>RESULTANDO QUE:</w:t>
      </w:r>
    </w:p>
    <w:p w:rsidR="00E86086" w:rsidRPr="00E86086" w:rsidRDefault="00E86086" w:rsidP="00E86086">
      <w:pPr>
        <w:ind w:left="1418" w:hanging="1418"/>
        <w:jc w:val="both"/>
        <w:rPr>
          <w:rFonts w:ascii="Arial" w:hAnsi="Arial" w:cs="Arial"/>
          <w:b/>
          <w:bCs/>
          <w:lang w:val="es-CR"/>
        </w:rPr>
      </w:pPr>
    </w:p>
    <w:p w:rsidR="00E86086" w:rsidRPr="00E86086" w:rsidRDefault="00E86086" w:rsidP="00E86086">
      <w:pPr>
        <w:numPr>
          <w:ilvl w:val="0"/>
          <w:numId w:val="18"/>
        </w:numPr>
        <w:ind w:left="284"/>
        <w:jc w:val="both"/>
        <w:rPr>
          <w:rFonts w:ascii="Arial" w:hAnsi="Arial" w:cs="Arial"/>
          <w:color w:val="000000"/>
          <w:lang w:val="es-CR"/>
        </w:rPr>
      </w:pPr>
      <w:r w:rsidRPr="00E86086">
        <w:rPr>
          <w:rFonts w:ascii="Arial" w:hAnsi="Arial" w:cs="Arial"/>
          <w:color w:val="000000"/>
          <w:lang w:val="es-CR"/>
        </w:rPr>
        <w:t>El Estatuto Orgánico del Instituto Tecnológico de Costa Rica, en su Artículo 18, establece lo siguiente:</w:t>
      </w:r>
    </w:p>
    <w:p w:rsidR="00E86086" w:rsidRPr="00E86086" w:rsidRDefault="00E86086" w:rsidP="00E86086">
      <w:pPr>
        <w:ind w:left="360"/>
        <w:jc w:val="both"/>
        <w:rPr>
          <w:rFonts w:ascii="Arial" w:hAnsi="Arial" w:cs="Arial"/>
          <w:color w:val="000000"/>
          <w:lang w:val="es-CR"/>
        </w:rPr>
      </w:pPr>
    </w:p>
    <w:p w:rsidR="00E86086" w:rsidRPr="00E86086" w:rsidRDefault="00E86086" w:rsidP="00E86086">
      <w:pPr>
        <w:ind w:left="720" w:right="689"/>
        <w:jc w:val="both"/>
        <w:rPr>
          <w:rFonts w:ascii="Arial" w:hAnsi="Arial" w:cs="Arial"/>
          <w:i/>
          <w:color w:val="000000"/>
          <w:lang w:val="es-CR"/>
        </w:rPr>
      </w:pPr>
      <w:r w:rsidRPr="00E86086">
        <w:rPr>
          <w:rFonts w:ascii="Arial" w:hAnsi="Arial" w:cs="Arial"/>
          <w:i/>
          <w:color w:val="000000"/>
          <w:lang w:val="es-CR"/>
        </w:rPr>
        <w:t>“Artículo 18:   Son funciones del Consejo Institucional</w:t>
      </w:r>
    </w:p>
    <w:p w:rsidR="00E86086" w:rsidRPr="00E86086" w:rsidRDefault="00E86086" w:rsidP="00E86086">
      <w:pPr>
        <w:ind w:left="720" w:right="689"/>
        <w:jc w:val="both"/>
        <w:rPr>
          <w:rFonts w:ascii="Arial" w:hAnsi="Arial" w:cs="Arial"/>
          <w:i/>
          <w:color w:val="000000"/>
          <w:lang w:val="es-CR"/>
        </w:rPr>
      </w:pPr>
      <w:r w:rsidRPr="00E86086">
        <w:rPr>
          <w:rFonts w:ascii="Arial" w:hAnsi="Arial" w:cs="Arial"/>
          <w:i/>
          <w:color w:val="000000"/>
          <w:lang w:val="es-CR"/>
        </w:rPr>
        <w:t>…</w:t>
      </w:r>
    </w:p>
    <w:p w:rsidR="00E86086" w:rsidRPr="00E86086" w:rsidRDefault="00E86086" w:rsidP="00E86086">
      <w:pPr>
        <w:ind w:left="993" w:right="476" w:hanging="273"/>
        <w:jc w:val="both"/>
        <w:rPr>
          <w:rFonts w:ascii="Arial" w:hAnsi="Arial" w:cs="Arial"/>
          <w:i/>
          <w:color w:val="000000"/>
          <w:lang w:val="es-CR"/>
        </w:rPr>
      </w:pPr>
      <w:r w:rsidRPr="00E86086">
        <w:rPr>
          <w:rFonts w:ascii="Arial" w:hAnsi="Arial" w:cs="Arial"/>
          <w:i/>
          <w:color w:val="000000"/>
          <w:lang w:val="es-CR"/>
        </w:rPr>
        <w:t>b. Aprobar el Plan estratégico institucional y los Planes anuales operativos, el presupuesto del Instituto, y los indicadores de gestión, de acuerdo con lo establecido en el Estatuto Orgánico y en la reglamentación respectiva”.</w:t>
      </w:r>
    </w:p>
    <w:p w:rsidR="00E86086" w:rsidRPr="00E86086" w:rsidRDefault="00E86086" w:rsidP="00E86086">
      <w:pPr>
        <w:jc w:val="both"/>
        <w:outlineLvl w:val="0"/>
        <w:rPr>
          <w:rFonts w:ascii="Arial" w:hAnsi="Arial" w:cs="Arial"/>
          <w:b/>
          <w:lang w:val="es-CR"/>
        </w:rPr>
      </w:pPr>
    </w:p>
    <w:p w:rsidR="00E86086" w:rsidRPr="00E86086" w:rsidRDefault="00E86086" w:rsidP="00E86086">
      <w:pPr>
        <w:numPr>
          <w:ilvl w:val="0"/>
          <w:numId w:val="18"/>
        </w:numPr>
        <w:ind w:left="284"/>
        <w:jc w:val="both"/>
        <w:rPr>
          <w:rFonts w:ascii="Arial" w:hAnsi="Arial" w:cs="Arial"/>
          <w:color w:val="000000"/>
          <w:lang w:val="es-CR"/>
        </w:rPr>
      </w:pPr>
      <w:r w:rsidRPr="00E86086">
        <w:rPr>
          <w:rFonts w:ascii="Arial" w:hAnsi="Arial" w:cs="Arial"/>
          <w:color w:val="000000"/>
          <w:lang w:val="es-CR"/>
        </w:rPr>
        <w:t xml:space="preserve">El Consejo </w:t>
      </w:r>
      <w:r w:rsidRPr="00E86086">
        <w:rPr>
          <w:rFonts w:ascii="Arial" w:hAnsi="Arial" w:cs="Arial"/>
          <w:lang w:val="es-CR"/>
        </w:rPr>
        <w:t xml:space="preserve">Institucional aprobó en la Sesión Ordinaria No. 3016, Artículo 11, del 29 de marzo de 2017 </w:t>
      </w:r>
      <w:proofErr w:type="gramStart"/>
      <w:r w:rsidRPr="00E86086">
        <w:rPr>
          <w:rFonts w:ascii="Arial" w:hAnsi="Arial" w:cs="Arial"/>
          <w:lang w:val="es-CR"/>
        </w:rPr>
        <w:t>las  “</w:t>
      </w:r>
      <w:proofErr w:type="gramEnd"/>
      <w:r w:rsidRPr="00E86086">
        <w:rPr>
          <w:rFonts w:ascii="Arial" w:hAnsi="Arial" w:cs="Arial"/>
          <w:lang w:val="es-CR"/>
        </w:rPr>
        <w:t>Disposiciones para la Formulación Presupuestaria del Instituto Tecnológico de Costa Rica para el 2018”.</w:t>
      </w:r>
    </w:p>
    <w:p w:rsidR="00E86086" w:rsidRPr="00E86086" w:rsidRDefault="00E86086" w:rsidP="00E86086">
      <w:pPr>
        <w:ind w:left="284"/>
        <w:jc w:val="both"/>
        <w:rPr>
          <w:rFonts w:ascii="Arial" w:hAnsi="Arial" w:cs="Arial"/>
          <w:color w:val="000000"/>
          <w:lang w:val="es-CR"/>
        </w:rPr>
      </w:pPr>
    </w:p>
    <w:p w:rsidR="00E86086" w:rsidRPr="00E86086" w:rsidRDefault="00E86086" w:rsidP="00E86086">
      <w:pPr>
        <w:jc w:val="both"/>
        <w:outlineLvl w:val="0"/>
        <w:rPr>
          <w:rFonts w:ascii="Arial" w:hAnsi="Arial" w:cs="Arial"/>
          <w:b/>
          <w:lang w:val="es-CR"/>
        </w:rPr>
      </w:pPr>
      <w:r w:rsidRPr="00E86086">
        <w:rPr>
          <w:rFonts w:ascii="Arial" w:hAnsi="Arial" w:cs="Arial"/>
          <w:b/>
          <w:lang w:val="es-CR"/>
        </w:rPr>
        <w:t>CONSIDERANDO QUE:</w:t>
      </w:r>
    </w:p>
    <w:p w:rsidR="00E86086" w:rsidRPr="00E86086" w:rsidRDefault="00E86086" w:rsidP="00E86086">
      <w:pPr>
        <w:jc w:val="both"/>
        <w:outlineLvl w:val="0"/>
        <w:rPr>
          <w:rFonts w:ascii="Arial" w:hAnsi="Arial" w:cs="Arial"/>
          <w:b/>
          <w:lang w:val="es-CR"/>
        </w:rPr>
      </w:pPr>
    </w:p>
    <w:p w:rsidR="00E86086" w:rsidRPr="00E86086" w:rsidRDefault="00E86086" w:rsidP="00E86086">
      <w:pPr>
        <w:numPr>
          <w:ilvl w:val="0"/>
          <w:numId w:val="17"/>
        </w:numPr>
        <w:tabs>
          <w:tab w:val="left" w:pos="426"/>
        </w:tabs>
        <w:ind w:left="426"/>
        <w:contextualSpacing/>
        <w:jc w:val="both"/>
        <w:rPr>
          <w:rFonts w:ascii="Arial" w:hAnsi="Arial" w:cs="Arial"/>
        </w:rPr>
      </w:pPr>
      <w:r w:rsidRPr="00E86086">
        <w:rPr>
          <w:rFonts w:ascii="Arial" w:hAnsi="Arial" w:cs="Arial"/>
          <w:color w:val="000000"/>
          <w:lang w:val="es-CR"/>
        </w:rPr>
        <w:t xml:space="preserve">La Secretaría del Consejo Institucional recibe oficio R-1009-2017, con fecha de recibido 24 de agosto </w:t>
      </w:r>
      <w:proofErr w:type="gramStart"/>
      <w:r w:rsidRPr="00E86086">
        <w:rPr>
          <w:rFonts w:ascii="Arial" w:hAnsi="Arial" w:cs="Arial"/>
          <w:color w:val="000000"/>
          <w:lang w:val="es-CR"/>
        </w:rPr>
        <w:t>de  2017</w:t>
      </w:r>
      <w:proofErr w:type="gramEnd"/>
      <w:r w:rsidRPr="00E86086">
        <w:rPr>
          <w:rFonts w:ascii="Arial" w:hAnsi="Arial" w:cs="Arial"/>
          <w:color w:val="000000"/>
          <w:lang w:val="es-CR"/>
        </w:rPr>
        <w:t xml:space="preserve">, suscrito por el Dr. Julio Calvo Alvarado, Rector, dirigido a la </w:t>
      </w:r>
      <w:proofErr w:type="spellStart"/>
      <w:r w:rsidRPr="00E86086">
        <w:rPr>
          <w:rFonts w:ascii="Arial" w:hAnsi="Arial" w:cs="Arial"/>
          <w:color w:val="000000"/>
          <w:lang w:val="es-CR"/>
        </w:rPr>
        <w:t>MSc</w:t>
      </w:r>
      <w:proofErr w:type="spellEnd"/>
      <w:r w:rsidRPr="00E86086">
        <w:rPr>
          <w:rFonts w:ascii="Arial" w:hAnsi="Arial" w:cs="Arial"/>
          <w:color w:val="000000"/>
          <w:lang w:val="es-CR"/>
        </w:rPr>
        <w:t xml:space="preserve">. Ana Rosa Ruiz Fernández, Coordinadora de la Comisión de Planificación y Administración, en el cual adjunta propuesta “Solicitud de </w:t>
      </w:r>
      <w:r w:rsidRPr="00E86086">
        <w:rPr>
          <w:rFonts w:ascii="Arial" w:hAnsi="Arial" w:cs="Arial"/>
          <w:color w:val="000000"/>
          <w:lang w:val="es-CR"/>
        </w:rPr>
        <w:lastRenderedPageBreak/>
        <w:t xml:space="preserve">reconsideración de distribución de reservas y envío de anteproyectos del Plan Anual Operativo y Presupuesto 2018”.  En este Oficio el señor Rector solicita la siguiente </w:t>
      </w:r>
      <w:r w:rsidRPr="00E86086">
        <w:rPr>
          <w:rFonts w:ascii="Arial" w:hAnsi="Arial" w:cs="Arial"/>
          <w:lang w:val="es-CR" w:eastAsia="es-CR"/>
        </w:rPr>
        <w:t>distribución de las reservas:</w:t>
      </w:r>
    </w:p>
    <w:p w:rsidR="00E86086" w:rsidRPr="00E86086" w:rsidRDefault="00E86086" w:rsidP="00E86086">
      <w:pPr>
        <w:tabs>
          <w:tab w:val="left" w:pos="426"/>
        </w:tabs>
        <w:ind w:left="426"/>
        <w:contextualSpacing/>
        <w:jc w:val="both"/>
        <w:rPr>
          <w:rFonts w:ascii="Arial" w:hAnsi="Arial" w:cs="Arial"/>
          <w:color w:val="000000"/>
        </w:rPr>
      </w:pPr>
    </w:p>
    <w:p w:rsidR="00E86086" w:rsidRPr="00E86086" w:rsidRDefault="00E86086" w:rsidP="00E86086">
      <w:pPr>
        <w:tabs>
          <w:tab w:val="left" w:pos="426"/>
        </w:tabs>
        <w:ind w:left="426"/>
        <w:contextualSpacing/>
        <w:jc w:val="center"/>
        <w:rPr>
          <w:rFonts w:ascii="Arial" w:hAnsi="Arial" w:cs="Arial"/>
        </w:rPr>
      </w:pPr>
      <w:r w:rsidRPr="00E86086">
        <w:rPr>
          <w:rFonts w:ascii="Arial" w:hAnsi="Arial" w:cs="Arial"/>
          <w:noProof/>
          <w:lang w:val="es-CR" w:eastAsia="es-CR"/>
        </w:rPr>
        <w:drawing>
          <wp:inline distT="0" distB="0" distL="0" distR="0" wp14:anchorId="6EE4F028" wp14:editId="5FDE1ED9">
            <wp:extent cx="4358640" cy="2794635"/>
            <wp:effectExtent l="0" t="0" r="3810" b="571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8"/>
                    <a:stretch>
                      <a:fillRect/>
                    </a:stretch>
                  </pic:blipFill>
                  <pic:spPr>
                    <a:xfrm>
                      <a:off x="0" y="0"/>
                      <a:ext cx="4369140" cy="2801367"/>
                    </a:xfrm>
                    <a:prstGeom prst="rect">
                      <a:avLst/>
                    </a:prstGeom>
                  </pic:spPr>
                </pic:pic>
              </a:graphicData>
            </a:graphic>
          </wp:inline>
        </w:drawing>
      </w:r>
    </w:p>
    <w:p w:rsidR="00E86086" w:rsidRPr="00E86086" w:rsidRDefault="00E86086" w:rsidP="00E86086">
      <w:pPr>
        <w:jc w:val="both"/>
        <w:outlineLvl w:val="0"/>
        <w:rPr>
          <w:rFonts w:ascii="Arial" w:hAnsi="Arial" w:cs="Arial"/>
          <w:b/>
        </w:rPr>
      </w:pPr>
    </w:p>
    <w:p w:rsidR="00E86086" w:rsidRPr="00E86086" w:rsidRDefault="00E86086" w:rsidP="00E86086">
      <w:pPr>
        <w:numPr>
          <w:ilvl w:val="0"/>
          <w:numId w:val="17"/>
        </w:numPr>
        <w:tabs>
          <w:tab w:val="left" w:pos="426"/>
        </w:tabs>
        <w:ind w:left="426"/>
        <w:contextualSpacing/>
        <w:jc w:val="both"/>
        <w:rPr>
          <w:rFonts w:ascii="Arial" w:hAnsi="Arial" w:cs="Arial"/>
          <w:lang w:val="es-CR"/>
        </w:rPr>
      </w:pPr>
      <w:r w:rsidRPr="00E86086">
        <w:rPr>
          <w:rFonts w:ascii="Arial" w:hAnsi="Arial" w:cs="Arial"/>
          <w:lang w:val="es-CR"/>
        </w:rPr>
        <w:t>La atención positiva de la solicitud de re-distribución de las reservas, según la solicitud planteada por el señor Rector en el oficio R-1009-2017, requiere de la modificación de los incisos del acuerdo del Consejo Institucional de la Sesión Ordinaria No. 3016, Artículo 11, del 29 de marzo de 2017,  denominado  “Disposiciones para la Formulación Presupuestaria del Instituto Tecnológico de Costa Rica para el 2018”., que se citan a continuación:</w:t>
      </w:r>
    </w:p>
    <w:p w:rsidR="00E86086" w:rsidRPr="00E86086" w:rsidRDefault="00E86086" w:rsidP="00E86086">
      <w:pPr>
        <w:ind w:left="708"/>
        <w:rPr>
          <w:rFonts w:ascii="Arial" w:hAnsi="Arial" w:cs="Arial"/>
          <w:lang w:val="es-CR"/>
        </w:rPr>
      </w:pPr>
    </w:p>
    <w:p w:rsidR="00E86086" w:rsidRPr="00E86086" w:rsidRDefault="00E86086" w:rsidP="00E86086">
      <w:pPr>
        <w:numPr>
          <w:ilvl w:val="1"/>
          <w:numId w:val="19"/>
        </w:numPr>
        <w:ind w:left="1418" w:right="448" w:hanging="644"/>
        <w:contextualSpacing/>
        <w:jc w:val="both"/>
        <w:rPr>
          <w:rFonts w:ascii="Arial" w:eastAsia="Calibri" w:hAnsi="Arial" w:cs="Arial"/>
          <w:i/>
          <w:sz w:val="22"/>
          <w:szCs w:val="22"/>
          <w:lang w:val="es-CR"/>
        </w:rPr>
      </w:pPr>
      <w:r w:rsidRPr="00E86086">
        <w:rPr>
          <w:rFonts w:ascii="Arial" w:eastAsia="Calibri" w:hAnsi="Arial" w:cs="Arial"/>
          <w:i/>
          <w:sz w:val="22"/>
          <w:szCs w:val="22"/>
          <w:lang w:val="es-CR"/>
        </w:rPr>
        <w:t xml:space="preserve">El presupuesto deberá incorporar una asignación equivalente al 4% de los recursos transferidos por el </w:t>
      </w:r>
      <w:proofErr w:type="spellStart"/>
      <w:r w:rsidRPr="00E86086">
        <w:rPr>
          <w:rFonts w:ascii="Arial" w:eastAsia="Calibri" w:hAnsi="Arial" w:cs="Arial"/>
          <w:i/>
          <w:sz w:val="22"/>
          <w:szCs w:val="22"/>
          <w:lang w:val="es-CR"/>
        </w:rPr>
        <w:t>FEES</w:t>
      </w:r>
      <w:proofErr w:type="spellEnd"/>
      <w:r w:rsidRPr="00E86086">
        <w:rPr>
          <w:rFonts w:ascii="Arial" w:eastAsia="Calibri" w:hAnsi="Arial" w:cs="Arial"/>
          <w:i/>
          <w:sz w:val="22"/>
          <w:szCs w:val="22"/>
          <w:lang w:val="es-CR"/>
        </w:rPr>
        <w:t xml:space="preserve">, la misma cifra del </w:t>
      </w:r>
      <w:proofErr w:type="spellStart"/>
      <w:r w:rsidRPr="00E86086">
        <w:rPr>
          <w:rFonts w:ascii="Arial" w:eastAsia="Calibri" w:hAnsi="Arial" w:cs="Arial"/>
          <w:i/>
          <w:sz w:val="22"/>
          <w:szCs w:val="22"/>
          <w:lang w:val="es-CR"/>
        </w:rPr>
        <w:t>FEES</w:t>
      </w:r>
      <w:proofErr w:type="spellEnd"/>
      <w:r w:rsidRPr="00E86086">
        <w:rPr>
          <w:rFonts w:ascii="Arial" w:eastAsia="Calibri" w:hAnsi="Arial" w:cs="Arial"/>
          <w:i/>
          <w:sz w:val="22"/>
          <w:szCs w:val="22"/>
          <w:lang w:val="es-CR"/>
        </w:rPr>
        <w:t xml:space="preserve"> Institucional, la cual será utilizada para financiar el desarrollo de la investigación, extensión y posgrados. Este fondo será administrado por la Vicerrectoría de Investigación y Extensión y se considera de carácter restringido. </w:t>
      </w:r>
    </w:p>
    <w:p w:rsidR="00E86086" w:rsidRPr="00E86086" w:rsidRDefault="00E86086" w:rsidP="00E86086">
      <w:pPr>
        <w:ind w:left="1134" w:right="448"/>
        <w:contextualSpacing/>
        <w:jc w:val="both"/>
        <w:rPr>
          <w:rFonts w:ascii="Arial" w:eastAsia="Calibri" w:hAnsi="Arial" w:cs="Arial"/>
          <w:i/>
          <w:sz w:val="22"/>
          <w:szCs w:val="22"/>
          <w:lang w:val="es-CR"/>
        </w:rPr>
      </w:pPr>
    </w:p>
    <w:p w:rsidR="00E86086" w:rsidRPr="00E86086" w:rsidRDefault="00E86086" w:rsidP="00E86086">
      <w:pPr>
        <w:numPr>
          <w:ilvl w:val="1"/>
          <w:numId w:val="19"/>
        </w:numPr>
        <w:ind w:left="1418" w:right="448" w:hanging="644"/>
        <w:contextualSpacing/>
        <w:jc w:val="both"/>
        <w:rPr>
          <w:rFonts w:ascii="Arial" w:eastAsia="Calibri" w:hAnsi="Arial" w:cs="Arial"/>
          <w:i/>
          <w:sz w:val="22"/>
          <w:szCs w:val="22"/>
          <w:lang w:val="es-CR"/>
        </w:rPr>
      </w:pPr>
      <w:r w:rsidRPr="00E86086">
        <w:rPr>
          <w:rFonts w:ascii="Arial" w:eastAsia="Calibri" w:hAnsi="Arial" w:cs="Arial"/>
          <w:i/>
          <w:sz w:val="22"/>
          <w:szCs w:val="22"/>
          <w:lang w:val="es-CR"/>
        </w:rPr>
        <w:t xml:space="preserve">El presupuesto deberá incorporar una previsión equivalente al 1 % de los recursos transferidos por el </w:t>
      </w:r>
      <w:proofErr w:type="spellStart"/>
      <w:r w:rsidRPr="00E86086">
        <w:rPr>
          <w:rFonts w:ascii="Arial" w:eastAsia="Calibri" w:hAnsi="Arial" w:cs="Arial"/>
          <w:i/>
          <w:sz w:val="22"/>
          <w:szCs w:val="22"/>
          <w:lang w:val="es-CR"/>
        </w:rPr>
        <w:t>FEES</w:t>
      </w:r>
      <w:proofErr w:type="spellEnd"/>
      <w:r w:rsidRPr="00E86086">
        <w:rPr>
          <w:rFonts w:ascii="Arial" w:eastAsia="Calibri" w:hAnsi="Arial" w:cs="Arial"/>
          <w:i/>
          <w:sz w:val="22"/>
          <w:szCs w:val="22"/>
          <w:lang w:val="es-CR"/>
        </w:rPr>
        <w:t xml:space="preserve">, la misma cifra del </w:t>
      </w:r>
      <w:proofErr w:type="spellStart"/>
      <w:r w:rsidRPr="00E86086">
        <w:rPr>
          <w:rFonts w:ascii="Arial" w:eastAsia="Calibri" w:hAnsi="Arial" w:cs="Arial"/>
          <w:i/>
          <w:sz w:val="22"/>
          <w:szCs w:val="22"/>
          <w:lang w:val="es-CR"/>
        </w:rPr>
        <w:t>FEES</w:t>
      </w:r>
      <w:proofErr w:type="spellEnd"/>
      <w:r w:rsidRPr="00E86086">
        <w:rPr>
          <w:rFonts w:ascii="Arial" w:eastAsia="Calibri" w:hAnsi="Arial" w:cs="Arial"/>
          <w:i/>
          <w:sz w:val="22"/>
          <w:szCs w:val="22"/>
          <w:lang w:val="es-CR"/>
        </w:rPr>
        <w:t xml:space="preserve"> utilizada en la relación Masa Salarial/</w:t>
      </w:r>
      <w:proofErr w:type="spellStart"/>
      <w:r w:rsidRPr="00E86086">
        <w:rPr>
          <w:rFonts w:ascii="Arial" w:eastAsia="Calibri" w:hAnsi="Arial" w:cs="Arial"/>
          <w:i/>
          <w:sz w:val="22"/>
          <w:szCs w:val="22"/>
          <w:lang w:val="es-CR"/>
        </w:rPr>
        <w:t>FEES</w:t>
      </w:r>
      <w:proofErr w:type="spellEnd"/>
      <w:r w:rsidRPr="00E86086">
        <w:rPr>
          <w:rFonts w:ascii="Arial" w:eastAsia="Calibri" w:hAnsi="Arial" w:cs="Arial"/>
          <w:i/>
          <w:sz w:val="22"/>
          <w:szCs w:val="22"/>
          <w:lang w:val="es-CR"/>
        </w:rPr>
        <w:t xml:space="preserve"> mencionada anteriormente, para financiar la automatización y mejora de procesos mediante la utilización de sistemas de información Estos recursos serán priorizados por el Comité   Estratégico de Tecnologías de Información y Comunicación y administrados por el Departamento de Administración de Tecnologías de Información y se consideran un fondo restringido. </w:t>
      </w:r>
    </w:p>
    <w:p w:rsidR="00E86086" w:rsidRPr="00E86086" w:rsidRDefault="00E86086" w:rsidP="00E86086">
      <w:pPr>
        <w:ind w:left="1134" w:right="448"/>
        <w:contextualSpacing/>
        <w:jc w:val="both"/>
        <w:rPr>
          <w:rFonts w:ascii="Arial" w:eastAsia="Calibri" w:hAnsi="Arial" w:cs="Arial"/>
          <w:i/>
          <w:sz w:val="22"/>
          <w:szCs w:val="22"/>
          <w:lang w:val="es-CR"/>
        </w:rPr>
      </w:pPr>
    </w:p>
    <w:p w:rsidR="00E86086" w:rsidRPr="00E86086" w:rsidRDefault="00E86086" w:rsidP="00E86086">
      <w:pPr>
        <w:numPr>
          <w:ilvl w:val="1"/>
          <w:numId w:val="19"/>
        </w:numPr>
        <w:ind w:left="1418" w:right="448" w:hanging="644"/>
        <w:contextualSpacing/>
        <w:jc w:val="both"/>
        <w:rPr>
          <w:rFonts w:ascii="Arial" w:eastAsia="Calibri" w:hAnsi="Arial" w:cs="Arial"/>
          <w:i/>
          <w:sz w:val="22"/>
          <w:szCs w:val="22"/>
          <w:lang w:val="es-CR"/>
        </w:rPr>
      </w:pPr>
      <w:r w:rsidRPr="00E86086">
        <w:rPr>
          <w:rFonts w:ascii="Arial" w:eastAsia="Calibri" w:hAnsi="Arial" w:cs="Arial"/>
          <w:i/>
          <w:sz w:val="22"/>
          <w:szCs w:val="22"/>
          <w:lang w:val="es-CR"/>
        </w:rPr>
        <w:t xml:space="preserve">El presupuesto deberá incorporar una previsión equivalente al 1% de los recursos transferidos por el </w:t>
      </w:r>
      <w:proofErr w:type="spellStart"/>
      <w:r w:rsidRPr="00E86086">
        <w:rPr>
          <w:rFonts w:ascii="Arial" w:eastAsia="Calibri" w:hAnsi="Arial" w:cs="Arial"/>
          <w:i/>
          <w:sz w:val="22"/>
          <w:szCs w:val="22"/>
          <w:lang w:val="es-CR"/>
        </w:rPr>
        <w:t>FEES</w:t>
      </w:r>
      <w:proofErr w:type="spellEnd"/>
      <w:r w:rsidRPr="00E86086">
        <w:rPr>
          <w:rFonts w:ascii="Arial" w:eastAsia="Calibri" w:hAnsi="Arial" w:cs="Arial"/>
          <w:i/>
          <w:sz w:val="22"/>
          <w:szCs w:val="22"/>
          <w:lang w:val="es-CR"/>
        </w:rPr>
        <w:t xml:space="preserve">, la misma cifra del </w:t>
      </w:r>
      <w:proofErr w:type="spellStart"/>
      <w:r w:rsidRPr="00E86086">
        <w:rPr>
          <w:rFonts w:ascii="Arial" w:eastAsia="Calibri" w:hAnsi="Arial" w:cs="Arial"/>
          <w:i/>
          <w:sz w:val="22"/>
          <w:szCs w:val="22"/>
          <w:lang w:val="es-CR"/>
        </w:rPr>
        <w:t>FEES</w:t>
      </w:r>
      <w:proofErr w:type="spellEnd"/>
      <w:r w:rsidRPr="00E86086">
        <w:rPr>
          <w:rFonts w:ascii="Arial" w:eastAsia="Calibri" w:hAnsi="Arial" w:cs="Arial"/>
          <w:i/>
          <w:sz w:val="22"/>
          <w:szCs w:val="22"/>
          <w:lang w:val="es-CR"/>
        </w:rPr>
        <w:t xml:space="preserve"> utilizada en la relación Masa Salarial/</w:t>
      </w:r>
      <w:proofErr w:type="spellStart"/>
      <w:r w:rsidRPr="00E86086">
        <w:rPr>
          <w:rFonts w:ascii="Arial" w:eastAsia="Calibri" w:hAnsi="Arial" w:cs="Arial"/>
          <w:i/>
          <w:sz w:val="22"/>
          <w:szCs w:val="22"/>
          <w:lang w:val="es-CR"/>
        </w:rPr>
        <w:t>FEES</w:t>
      </w:r>
      <w:proofErr w:type="spellEnd"/>
      <w:r w:rsidRPr="00E86086">
        <w:rPr>
          <w:rFonts w:ascii="Arial" w:eastAsia="Calibri" w:hAnsi="Arial" w:cs="Arial"/>
          <w:i/>
          <w:sz w:val="22"/>
          <w:szCs w:val="22"/>
          <w:lang w:val="es-CR"/>
        </w:rPr>
        <w:t xml:space="preserve"> mencionada anteriormente, para financiar la implementación del programa de mejora continua y del modelo de excelencia en la gestión. Serán administrados por la Oficina de Planificación Institucional para financiar los proyectos de mejora en todas las dependencias involucradas en el modelo de excelencia en la gestión.</w:t>
      </w:r>
    </w:p>
    <w:p w:rsidR="00E86086" w:rsidRPr="00E86086" w:rsidRDefault="00E86086" w:rsidP="00E86086">
      <w:pPr>
        <w:ind w:left="1134" w:right="448"/>
        <w:contextualSpacing/>
        <w:jc w:val="both"/>
        <w:rPr>
          <w:rFonts w:ascii="Arial" w:eastAsia="Calibri" w:hAnsi="Arial" w:cs="Arial"/>
          <w:i/>
          <w:sz w:val="22"/>
          <w:szCs w:val="22"/>
          <w:lang w:val="es-CR"/>
        </w:rPr>
      </w:pPr>
    </w:p>
    <w:p w:rsidR="00E86086" w:rsidRPr="00E86086" w:rsidRDefault="00E86086" w:rsidP="00E86086">
      <w:pPr>
        <w:numPr>
          <w:ilvl w:val="1"/>
          <w:numId w:val="19"/>
        </w:numPr>
        <w:ind w:left="1418" w:right="448" w:hanging="644"/>
        <w:contextualSpacing/>
        <w:jc w:val="both"/>
        <w:rPr>
          <w:rFonts w:ascii="Arial" w:eastAsia="Calibri" w:hAnsi="Arial" w:cs="Arial"/>
          <w:i/>
          <w:sz w:val="22"/>
          <w:szCs w:val="22"/>
          <w:lang w:val="es-CR"/>
        </w:rPr>
      </w:pPr>
      <w:r w:rsidRPr="00E86086">
        <w:rPr>
          <w:rFonts w:ascii="Arial" w:eastAsia="Calibri" w:hAnsi="Arial" w:cs="Arial"/>
          <w:i/>
          <w:sz w:val="22"/>
          <w:szCs w:val="22"/>
          <w:lang w:val="es-CR"/>
        </w:rPr>
        <w:lastRenderedPageBreak/>
        <w:t xml:space="preserve">El presupuesto deberá de incorporar al menos un 0,2% del </w:t>
      </w:r>
      <w:proofErr w:type="spellStart"/>
      <w:r w:rsidRPr="00E86086">
        <w:rPr>
          <w:rFonts w:ascii="Arial" w:eastAsia="Calibri" w:hAnsi="Arial" w:cs="Arial"/>
          <w:i/>
          <w:sz w:val="22"/>
          <w:szCs w:val="22"/>
          <w:lang w:val="es-CR"/>
        </w:rPr>
        <w:t>FEES</w:t>
      </w:r>
      <w:proofErr w:type="spellEnd"/>
      <w:r w:rsidRPr="00E86086">
        <w:rPr>
          <w:rFonts w:ascii="Arial" w:eastAsia="Calibri" w:hAnsi="Arial" w:cs="Arial"/>
          <w:i/>
          <w:sz w:val="22"/>
          <w:szCs w:val="22"/>
          <w:lang w:val="es-CR"/>
        </w:rPr>
        <w:t xml:space="preserve"> para hacer pre-inversión para la atracción de recursos externos en dinero en efectivo. Estos recursos serán administrados por la VIE.</w:t>
      </w:r>
    </w:p>
    <w:p w:rsidR="00E86086" w:rsidRPr="00E86086" w:rsidRDefault="00E86086" w:rsidP="00E86086">
      <w:pPr>
        <w:ind w:left="1134" w:right="448"/>
        <w:contextualSpacing/>
        <w:jc w:val="both"/>
        <w:rPr>
          <w:rFonts w:ascii="Arial" w:eastAsia="Calibri" w:hAnsi="Arial" w:cs="Arial"/>
          <w:i/>
          <w:sz w:val="22"/>
          <w:szCs w:val="22"/>
          <w:lang w:val="es-CR"/>
        </w:rPr>
      </w:pPr>
    </w:p>
    <w:p w:rsidR="00E86086" w:rsidRPr="00E86086" w:rsidRDefault="00E86086" w:rsidP="00E86086">
      <w:pPr>
        <w:numPr>
          <w:ilvl w:val="1"/>
          <w:numId w:val="19"/>
        </w:numPr>
        <w:ind w:left="1418" w:right="448" w:hanging="644"/>
        <w:contextualSpacing/>
        <w:jc w:val="both"/>
        <w:rPr>
          <w:rFonts w:ascii="Arial" w:eastAsia="Calibri" w:hAnsi="Arial" w:cs="Arial"/>
          <w:i/>
          <w:sz w:val="22"/>
          <w:szCs w:val="22"/>
          <w:lang w:val="es-CR"/>
        </w:rPr>
      </w:pPr>
      <w:r w:rsidRPr="00E86086">
        <w:rPr>
          <w:rFonts w:ascii="Arial" w:eastAsia="Calibri" w:hAnsi="Arial" w:cs="Arial"/>
          <w:i/>
          <w:sz w:val="22"/>
          <w:szCs w:val="22"/>
          <w:lang w:val="es-CR"/>
        </w:rPr>
        <w:t xml:space="preserve">El presupuesto deberá incorporar un fondo de contrapartida, no menor a 1,5% del </w:t>
      </w:r>
      <w:proofErr w:type="spellStart"/>
      <w:r w:rsidRPr="00E86086">
        <w:rPr>
          <w:rFonts w:ascii="Arial" w:eastAsia="Calibri" w:hAnsi="Arial" w:cs="Arial"/>
          <w:i/>
          <w:sz w:val="22"/>
          <w:szCs w:val="22"/>
          <w:lang w:val="es-CR"/>
        </w:rPr>
        <w:t>FEES</w:t>
      </w:r>
      <w:proofErr w:type="spellEnd"/>
      <w:r w:rsidRPr="00E86086">
        <w:rPr>
          <w:rFonts w:ascii="Arial" w:eastAsia="Calibri" w:hAnsi="Arial" w:cs="Arial"/>
          <w:i/>
          <w:sz w:val="22"/>
          <w:szCs w:val="22"/>
          <w:lang w:val="es-CR"/>
        </w:rPr>
        <w:t>, para proyectos de investigación y extensión que contengan un componente de aporte externo en efectivo, los cuales serán incorporados mediante financiamiento externo. Estos recursos serán administrados por la VIE.</w:t>
      </w:r>
    </w:p>
    <w:p w:rsidR="00E86086" w:rsidRPr="00E86086" w:rsidRDefault="00E86086" w:rsidP="00E86086">
      <w:pPr>
        <w:ind w:left="1800"/>
        <w:contextualSpacing/>
        <w:jc w:val="both"/>
        <w:rPr>
          <w:rFonts w:ascii="Arial" w:eastAsia="Calibri" w:hAnsi="Arial" w:cs="Arial"/>
          <w:sz w:val="22"/>
          <w:szCs w:val="22"/>
          <w:lang w:val="es-CR"/>
        </w:rPr>
      </w:pPr>
    </w:p>
    <w:p w:rsidR="00E86086" w:rsidRPr="00E86086" w:rsidRDefault="00E86086" w:rsidP="00E86086">
      <w:pPr>
        <w:numPr>
          <w:ilvl w:val="0"/>
          <w:numId w:val="17"/>
        </w:numPr>
        <w:tabs>
          <w:tab w:val="left" w:pos="426"/>
        </w:tabs>
        <w:ind w:left="426"/>
        <w:contextualSpacing/>
        <w:jc w:val="both"/>
        <w:rPr>
          <w:rFonts w:ascii="Arial" w:hAnsi="Arial" w:cs="Arial"/>
          <w:lang w:val="es-CR"/>
        </w:rPr>
      </w:pPr>
      <w:r w:rsidRPr="00E86086">
        <w:rPr>
          <w:rFonts w:ascii="Arial" w:hAnsi="Arial" w:cs="Arial"/>
          <w:lang w:val="es-CR"/>
        </w:rPr>
        <w:t xml:space="preserve">La Comisión de Planificación y Administración en reunión No. 736-2017, realizada el 31 de </w:t>
      </w:r>
      <w:r w:rsidRPr="00E86086">
        <w:rPr>
          <w:rFonts w:ascii="Arial" w:hAnsi="Arial" w:cs="Arial"/>
          <w:lang w:val="es-CR" w:eastAsia="es-CR"/>
        </w:rPr>
        <w:t>agosto</w:t>
      </w:r>
      <w:r w:rsidRPr="00E86086">
        <w:rPr>
          <w:rFonts w:ascii="Arial" w:hAnsi="Arial" w:cs="Arial"/>
          <w:lang w:val="es-CR"/>
        </w:rPr>
        <w:t xml:space="preserve"> de 2017, recibe </w:t>
      </w:r>
      <w:proofErr w:type="gramStart"/>
      <w:r w:rsidRPr="00E86086">
        <w:rPr>
          <w:rFonts w:ascii="Arial" w:hAnsi="Arial" w:cs="Arial"/>
          <w:lang w:val="es-CR"/>
        </w:rPr>
        <w:t>al  Dr</w:t>
      </w:r>
      <w:proofErr w:type="gramEnd"/>
      <w:r w:rsidRPr="00E86086">
        <w:rPr>
          <w:rFonts w:ascii="Arial" w:hAnsi="Arial" w:cs="Arial"/>
          <w:lang w:val="es-CR"/>
        </w:rPr>
        <w:t>. Humberto Villalta Solano, Vicerrector de Administración, para la revisión de la propuesta, se discute ampliamente; los integrantes de la Comisión realizan las observaciones respectivas y el Dr. Humberto Villalta Solano se compromete a enviar nuevamente la información con los cambios integrados para análisis de la Comisión de Planificación y Administración.</w:t>
      </w:r>
    </w:p>
    <w:p w:rsidR="00E86086" w:rsidRPr="00E86086" w:rsidRDefault="00E86086" w:rsidP="00E86086">
      <w:pPr>
        <w:tabs>
          <w:tab w:val="left" w:pos="426"/>
        </w:tabs>
        <w:contextualSpacing/>
        <w:jc w:val="both"/>
        <w:rPr>
          <w:rFonts w:ascii="Arial" w:hAnsi="Arial" w:cs="Arial"/>
          <w:lang w:val="es-CR"/>
        </w:rPr>
      </w:pPr>
    </w:p>
    <w:p w:rsidR="00E86086" w:rsidRPr="00E86086" w:rsidRDefault="00E86086" w:rsidP="00E86086">
      <w:pPr>
        <w:numPr>
          <w:ilvl w:val="0"/>
          <w:numId w:val="17"/>
        </w:numPr>
        <w:tabs>
          <w:tab w:val="left" w:pos="426"/>
        </w:tabs>
        <w:ind w:left="426"/>
        <w:contextualSpacing/>
        <w:jc w:val="both"/>
        <w:rPr>
          <w:rFonts w:ascii="Arial" w:hAnsi="Arial" w:cs="Arial"/>
          <w:lang w:val="es-CR"/>
        </w:rPr>
      </w:pPr>
      <w:r w:rsidRPr="00E86086">
        <w:rPr>
          <w:rFonts w:ascii="Arial" w:hAnsi="Arial" w:cs="Arial"/>
          <w:color w:val="000000"/>
          <w:lang w:val="es-CR"/>
        </w:rPr>
        <w:t xml:space="preserve">La Secretaría del Consejo Institucional recibe oficio R-1056-2017, con fecha de recibido 5 de setiembre del 2017, suscrito por el Dr. Julio Calvo Alvarado, Rector, dirigido a la </w:t>
      </w:r>
      <w:proofErr w:type="spellStart"/>
      <w:r w:rsidRPr="00E86086">
        <w:rPr>
          <w:rFonts w:ascii="Arial" w:hAnsi="Arial" w:cs="Arial"/>
          <w:color w:val="000000"/>
          <w:lang w:val="es-CR"/>
        </w:rPr>
        <w:t>MSc</w:t>
      </w:r>
      <w:proofErr w:type="spellEnd"/>
      <w:r w:rsidRPr="00E86086">
        <w:rPr>
          <w:rFonts w:ascii="Arial" w:hAnsi="Arial" w:cs="Arial"/>
          <w:color w:val="000000"/>
          <w:lang w:val="es-CR"/>
        </w:rPr>
        <w:t xml:space="preserve">. Ana Rosa Ruiz Fernández, Coordinadora de la Comisión de Planificación y Administración y avalado   por el Consejo de Rectoría, en la Sesión Nº 27-2017 Artículo 5 del 4 de setiembre del 2017, en el cual adjunta “Propuesta distribución de la reserva 2018”.  En este Oficio el señor Rector solicita la siguiente </w:t>
      </w:r>
      <w:r w:rsidRPr="00E86086">
        <w:rPr>
          <w:rFonts w:ascii="Arial" w:hAnsi="Arial" w:cs="Arial"/>
          <w:lang w:val="es-CR" w:eastAsia="es-CR"/>
        </w:rPr>
        <w:t>distribución de las reservas:</w:t>
      </w:r>
    </w:p>
    <w:p w:rsidR="00E86086" w:rsidRPr="00E86086" w:rsidRDefault="00E86086" w:rsidP="00E86086">
      <w:pPr>
        <w:jc w:val="both"/>
        <w:rPr>
          <w:rFonts w:ascii="Arial" w:hAnsi="Arial" w:cs="Arial"/>
          <w:bCs/>
          <w:iCs/>
          <w:sz w:val="16"/>
          <w:szCs w:val="16"/>
          <w:lang w:val="es-CR"/>
        </w:rPr>
      </w:pPr>
    </w:p>
    <w:tbl>
      <w:tblPr>
        <w:tblW w:w="5680" w:type="dxa"/>
        <w:jc w:val="center"/>
        <w:tblCellMar>
          <w:left w:w="70" w:type="dxa"/>
          <w:right w:w="70" w:type="dxa"/>
        </w:tblCellMar>
        <w:tblLook w:val="04A0" w:firstRow="1" w:lastRow="0" w:firstColumn="1" w:lastColumn="0" w:noHBand="0" w:noVBand="1"/>
      </w:tblPr>
      <w:tblGrid>
        <w:gridCol w:w="3860"/>
        <w:gridCol w:w="1820"/>
      </w:tblGrid>
      <w:tr w:rsidR="00E86086" w:rsidRPr="00E86086" w:rsidTr="000E7625">
        <w:trPr>
          <w:trHeight w:val="315"/>
          <w:jc w:val="center"/>
        </w:trPr>
        <w:tc>
          <w:tcPr>
            <w:tcW w:w="5680" w:type="dxa"/>
            <w:gridSpan w:val="2"/>
            <w:tcBorders>
              <w:top w:val="nil"/>
              <w:left w:val="nil"/>
              <w:bottom w:val="nil"/>
              <w:right w:val="nil"/>
            </w:tcBorders>
            <w:shd w:val="clear" w:color="auto" w:fill="auto"/>
            <w:noWrap/>
            <w:vAlign w:val="bottom"/>
            <w:hideMark/>
          </w:tcPr>
          <w:p w:rsidR="00E86086" w:rsidRPr="00E86086" w:rsidRDefault="00E86086" w:rsidP="00E86086">
            <w:pPr>
              <w:rPr>
                <w:rFonts w:ascii="Calibri" w:hAnsi="Calibri"/>
                <w:b/>
                <w:bCs/>
                <w:color w:val="000000"/>
                <w:sz w:val="22"/>
                <w:szCs w:val="22"/>
                <w:lang w:val="es-CR" w:eastAsia="es-CR"/>
              </w:rPr>
            </w:pPr>
            <w:r w:rsidRPr="00E86086">
              <w:rPr>
                <w:rFonts w:ascii="Calibri" w:hAnsi="Calibri"/>
                <w:b/>
                <w:bCs/>
                <w:color w:val="000000"/>
                <w:sz w:val="22"/>
                <w:szCs w:val="22"/>
                <w:lang w:val="es-CR" w:eastAsia="es-CR"/>
              </w:rPr>
              <w:t>Propuesta Distribución de Reservas PO.2018</w:t>
            </w:r>
          </w:p>
        </w:tc>
      </w:tr>
      <w:tr w:rsidR="00E86086" w:rsidRPr="00E86086" w:rsidTr="000E7625">
        <w:trPr>
          <w:trHeight w:val="330"/>
          <w:jc w:val="center"/>
        </w:trPr>
        <w:tc>
          <w:tcPr>
            <w:tcW w:w="3860" w:type="dxa"/>
            <w:tcBorders>
              <w:top w:val="nil"/>
              <w:left w:val="nil"/>
              <w:bottom w:val="double" w:sz="6" w:space="0" w:color="auto"/>
              <w:right w:val="nil"/>
            </w:tcBorders>
            <w:shd w:val="clear" w:color="auto" w:fill="auto"/>
            <w:noWrap/>
            <w:vAlign w:val="bottom"/>
            <w:hideMark/>
          </w:tcPr>
          <w:p w:rsidR="00E86086" w:rsidRPr="00E86086" w:rsidRDefault="00E86086" w:rsidP="00E86086">
            <w:pPr>
              <w:jc w:val="right"/>
              <w:rPr>
                <w:rFonts w:ascii="Calibri" w:hAnsi="Calibri"/>
                <w:i/>
                <w:iCs/>
                <w:color w:val="000000"/>
                <w:sz w:val="16"/>
                <w:szCs w:val="16"/>
                <w:lang w:val="es-CR" w:eastAsia="es-CR"/>
              </w:rPr>
            </w:pPr>
            <w:r w:rsidRPr="00E86086">
              <w:rPr>
                <w:rFonts w:ascii="Calibri" w:hAnsi="Calibri"/>
                <w:i/>
                <w:iCs/>
                <w:color w:val="000000"/>
                <w:sz w:val="16"/>
                <w:szCs w:val="16"/>
                <w:lang w:val="es-CR" w:eastAsia="es-CR"/>
              </w:rPr>
              <w:t>Millones de colones</w:t>
            </w:r>
          </w:p>
        </w:tc>
        <w:tc>
          <w:tcPr>
            <w:tcW w:w="1820" w:type="dxa"/>
            <w:tcBorders>
              <w:top w:val="nil"/>
              <w:left w:val="nil"/>
              <w:bottom w:val="double" w:sz="6" w:space="0" w:color="auto"/>
              <w:right w:val="nil"/>
            </w:tcBorders>
            <w:shd w:val="clear" w:color="auto" w:fill="auto"/>
            <w:noWrap/>
            <w:vAlign w:val="bottom"/>
            <w:hideMark/>
          </w:tcPr>
          <w:p w:rsidR="00E86086" w:rsidRPr="00E86086" w:rsidRDefault="00E86086" w:rsidP="00E86086">
            <w:pPr>
              <w:jc w:val="right"/>
              <w:rPr>
                <w:rFonts w:ascii="Calibri" w:hAnsi="Calibri"/>
                <w:b/>
                <w:bCs/>
                <w:color w:val="000000"/>
                <w:sz w:val="22"/>
                <w:szCs w:val="22"/>
                <w:lang w:val="es-CR" w:eastAsia="es-CR"/>
              </w:rPr>
            </w:pPr>
            <w:proofErr w:type="spellStart"/>
            <w:r w:rsidRPr="00E86086">
              <w:rPr>
                <w:rFonts w:ascii="Calibri" w:hAnsi="Calibri"/>
                <w:b/>
                <w:bCs/>
                <w:color w:val="000000"/>
                <w:sz w:val="22"/>
                <w:szCs w:val="22"/>
                <w:lang w:val="es-CR" w:eastAsia="es-CR"/>
              </w:rPr>
              <w:t>Distrib</w:t>
            </w:r>
            <w:proofErr w:type="spellEnd"/>
            <w:r w:rsidRPr="00E86086">
              <w:rPr>
                <w:rFonts w:ascii="Calibri" w:hAnsi="Calibri"/>
                <w:b/>
                <w:bCs/>
                <w:color w:val="000000"/>
                <w:sz w:val="22"/>
                <w:szCs w:val="22"/>
                <w:lang w:val="es-CR" w:eastAsia="es-CR"/>
              </w:rPr>
              <w:t>.</w:t>
            </w:r>
          </w:p>
        </w:tc>
      </w:tr>
      <w:tr w:rsidR="00E86086" w:rsidRPr="00E86086" w:rsidTr="000E7625">
        <w:trPr>
          <w:trHeight w:val="330"/>
          <w:jc w:val="center"/>
        </w:trPr>
        <w:tc>
          <w:tcPr>
            <w:tcW w:w="3860" w:type="dxa"/>
            <w:tcBorders>
              <w:top w:val="nil"/>
              <w:left w:val="nil"/>
              <w:bottom w:val="nil"/>
              <w:right w:val="nil"/>
            </w:tcBorders>
            <w:shd w:val="clear" w:color="auto" w:fill="auto"/>
            <w:noWrap/>
            <w:vAlign w:val="bottom"/>
            <w:hideMark/>
          </w:tcPr>
          <w:p w:rsidR="00E86086" w:rsidRPr="00E86086" w:rsidRDefault="00E86086" w:rsidP="00E86086">
            <w:pPr>
              <w:rPr>
                <w:rFonts w:ascii="Arial" w:hAnsi="Arial" w:cs="Arial"/>
                <w:sz w:val="18"/>
                <w:szCs w:val="18"/>
                <w:lang w:val="es-CR" w:eastAsia="es-CR"/>
              </w:rPr>
            </w:pPr>
            <w:r w:rsidRPr="00E86086">
              <w:rPr>
                <w:rFonts w:ascii="Arial" w:hAnsi="Arial" w:cs="Arial"/>
                <w:sz w:val="18"/>
                <w:szCs w:val="18"/>
                <w:lang w:val="es-CR" w:eastAsia="es-CR"/>
              </w:rPr>
              <w:t>(2,2% Real.FEES.2018)</w:t>
            </w:r>
          </w:p>
        </w:tc>
        <w:tc>
          <w:tcPr>
            <w:tcW w:w="1820" w:type="dxa"/>
            <w:tcBorders>
              <w:top w:val="nil"/>
              <w:left w:val="nil"/>
              <w:bottom w:val="nil"/>
              <w:right w:val="nil"/>
            </w:tcBorders>
            <w:shd w:val="clear" w:color="auto" w:fill="auto"/>
            <w:noWrap/>
            <w:vAlign w:val="bottom"/>
            <w:hideMark/>
          </w:tcPr>
          <w:p w:rsidR="00E86086" w:rsidRPr="00E86086" w:rsidRDefault="00E86086" w:rsidP="00E86086">
            <w:pPr>
              <w:jc w:val="right"/>
              <w:rPr>
                <w:rFonts w:ascii="Calibri" w:hAnsi="Calibri"/>
                <w:color w:val="000000"/>
                <w:sz w:val="20"/>
                <w:szCs w:val="20"/>
                <w:lang w:val="es-CR" w:eastAsia="es-CR"/>
              </w:rPr>
            </w:pPr>
            <w:r w:rsidRPr="00E86086">
              <w:rPr>
                <w:rFonts w:ascii="Calibri" w:hAnsi="Calibri"/>
                <w:color w:val="000000"/>
                <w:sz w:val="20"/>
                <w:szCs w:val="20"/>
                <w:lang w:val="es-CR" w:eastAsia="es-CR"/>
              </w:rPr>
              <w:t xml:space="preserve">1,144 </w:t>
            </w:r>
          </w:p>
        </w:tc>
      </w:tr>
      <w:tr w:rsidR="00E86086" w:rsidRPr="00E86086" w:rsidTr="000E7625">
        <w:trPr>
          <w:trHeight w:val="315"/>
          <w:jc w:val="center"/>
        </w:trPr>
        <w:tc>
          <w:tcPr>
            <w:tcW w:w="3860" w:type="dxa"/>
            <w:tcBorders>
              <w:top w:val="nil"/>
              <w:left w:val="nil"/>
              <w:bottom w:val="nil"/>
              <w:right w:val="nil"/>
            </w:tcBorders>
            <w:shd w:val="clear" w:color="auto" w:fill="auto"/>
            <w:noWrap/>
            <w:vAlign w:val="bottom"/>
            <w:hideMark/>
          </w:tcPr>
          <w:p w:rsidR="00E86086" w:rsidRPr="00E86086" w:rsidRDefault="00E86086" w:rsidP="00E86086">
            <w:pPr>
              <w:rPr>
                <w:rFonts w:ascii="Arial" w:hAnsi="Arial" w:cs="Arial"/>
                <w:sz w:val="18"/>
                <w:szCs w:val="18"/>
                <w:lang w:val="es-CR" w:eastAsia="es-CR"/>
              </w:rPr>
            </w:pPr>
            <w:r w:rsidRPr="00E86086">
              <w:rPr>
                <w:rFonts w:ascii="Arial" w:hAnsi="Arial" w:cs="Arial"/>
                <w:sz w:val="18"/>
                <w:szCs w:val="18"/>
                <w:lang w:val="es-CR" w:eastAsia="es-CR"/>
              </w:rPr>
              <w:t xml:space="preserve">*3% del </w:t>
            </w:r>
            <w:proofErr w:type="spellStart"/>
            <w:r w:rsidRPr="00E86086">
              <w:rPr>
                <w:rFonts w:ascii="Arial" w:hAnsi="Arial" w:cs="Arial"/>
                <w:sz w:val="18"/>
                <w:szCs w:val="18"/>
                <w:lang w:val="es-CR" w:eastAsia="es-CR"/>
              </w:rPr>
              <w:t>FEES</w:t>
            </w:r>
            <w:proofErr w:type="spellEnd"/>
            <w:r w:rsidRPr="00E86086">
              <w:rPr>
                <w:rFonts w:ascii="Arial" w:hAnsi="Arial" w:cs="Arial"/>
                <w:sz w:val="18"/>
                <w:szCs w:val="18"/>
                <w:lang w:val="es-CR" w:eastAsia="es-CR"/>
              </w:rPr>
              <w:t xml:space="preserve"> para Plan VIE </w:t>
            </w:r>
          </w:p>
        </w:tc>
        <w:tc>
          <w:tcPr>
            <w:tcW w:w="1820" w:type="dxa"/>
            <w:tcBorders>
              <w:top w:val="nil"/>
              <w:left w:val="nil"/>
              <w:bottom w:val="nil"/>
              <w:right w:val="nil"/>
            </w:tcBorders>
            <w:shd w:val="clear" w:color="auto" w:fill="auto"/>
            <w:noWrap/>
            <w:vAlign w:val="bottom"/>
            <w:hideMark/>
          </w:tcPr>
          <w:p w:rsidR="00E86086" w:rsidRPr="00E86086" w:rsidRDefault="00E86086" w:rsidP="00E86086">
            <w:pPr>
              <w:jc w:val="right"/>
              <w:rPr>
                <w:rFonts w:ascii="Calibri" w:hAnsi="Calibri"/>
                <w:color w:val="000000"/>
                <w:sz w:val="20"/>
                <w:szCs w:val="20"/>
                <w:lang w:val="es-CR" w:eastAsia="es-CR"/>
              </w:rPr>
            </w:pPr>
            <w:r w:rsidRPr="00E86086">
              <w:rPr>
                <w:rFonts w:ascii="Calibri" w:hAnsi="Calibri"/>
                <w:color w:val="000000"/>
                <w:sz w:val="20"/>
                <w:szCs w:val="20"/>
                <w:lang w:val="es-CR" w:eastAsia="es-CR"/>
              </w:rPr>
              <w:t>1,569</w:t>
            </w:r>
          </w:p>
        </w:tc>
      </w:tr>
      <w:tr w:rsidR="00E86086" w:rsidRPr="00E86086" w:rsidTr="000E7625">
        <w:trPr>
          <w:trHeight w:val="315"/>
          <w:jc w:val="center"/>
        </w:trPr>
        <w:tc>
          <w:tcPr>
            <w:tcW w:w="3860" w:type="dxa"/>
            <w:tcBorders>
              <w:top w:val="nil"/>
              <w:left w:val="nil"/>
              <w:bottom w:val="nil"/>
              <w:right w:val="nil"/>
            </w:tcBorders>
            <w:shd w:val="clear" w:color="auto" w:fill="auto"/>
            <w:noWrap/>
            <w:vAlign w:val="bottom"/>
            <w:hideMark/>
          </w:tcPr>
          <w:p w:rsidR="00E86086" w:rsidRPr="00E86086" w:rsidRDefault="00E86086" w:rsidP="00E86086">
            <w:pPr>
              <w:rPr>
                <w:rFonts w:ascii="Arial" w:hAnsi="Arial" w:cs="Arial"/>
                <w:sz w:val="18"/>
                <w:szCs w:val="18"/>
                <w:lang w:val="es-CR" w:eastAsia="es-CR"/>
              </w:rPr>
            </w:pPr>
            <w:r w:rsidRPr="00E86086">
              <w:rPr>
                <w:rFonts w:ascii="Arial" w:hAnsi="Arial" w:cs="Arial"/>
                <w:sz w:val="18"/>
                <w:szCs w:val="18"/>
                <w:lang w:val="es-CR" w:eastAsia="es-CR"/>
              </w:rPr>
              <w:t xml:space="preserve">*0.75% </w:t>
            </w:r>
            <w:proofErr w:type="spellStart"/>
            <w:r w:rsidRPr="00E86086">
              <w:rPr>
                <w:rFonts w:ascii="Arial" w:hAnsi="Arial" w:cs="Arial"/>
                <w:sz w:val="18"/>
                <w:szCs w:val="18"/>
                <w:lang w:val="es-CR" w:eastAsia="es-CR"/>
              </w:rPr>
              <w:t>Fortalec</w:t>
            </w:r>
            <w:proofErr w:type="spellEnd"/>
            <w:r w:rsidRPr="00E86086">
              <w:rPr>
                <w:rFonts w:ascii="Arial" w:hAnsi="Arial" w:cs="Arial"/>
                <w:sz w:val="18"/>
                <w:szCs w:val="18"/>
                <w:lang w:val="es-CR" w:eastAsia="es-CR"/>
              </w:rPr>
              <w:t>. extensión y Postgrado</w:t>
            </w:r>
          </w:p>
        </w:tc>
        <w:tc>
          <w:tcPr>
            <w:tcW w:w="1820" w:type="dxa"/>
            <w:tcBorders>
              <w:top w:val="nil"/>
              <w:left w:val="nil"/>
              <w:bottom w:val="nil"/>
              <w:right w:val="nil"/>
            </w:tcBorders>
            <w:shd w:val="clear" w:color="auto" w:fill="auto"/>
            <w:noWrap/>
            <w:vAlign w:val="bottom"/>
            <w:hideMark/>
          </w:tcPr>
          <w:p w:rsidR="00E86086" w:rsidRPr="00E86086" w:rsidRDefault="00E86086" w:rsidP="00E86086">
            <w:pPr>
              <w:jc w:val="right"/>
              <w:rPr>
                <w:rFonts w:ascii="Calibri" w:hAnsi="Calibri"/>
                <w:color w:val="000000"/>
                <w:sz w:val="20"/>
                <w:szCs w:val="20"/>
                <w:lang w:val="es-CR" w:eastAsia="es-CR"/>
              </w:rPr>
            </w:pPr>
            <w:r w:rsidRPr="00E86086">
              <w:rPr>
                <w:rFonts w:ascii="Calibri" w:hAnsi="Calibri"/>
                <w:color w:val="000000"/>
                <w:sz w:val="20"/>
                <w:szCs w:val="20"/>
                <w:lang w:val="es-CR" w:eastAsia="es-CR"/>
              </w:rPr>
              <w:t>392</w:t>
            </w:r>
          </w:p>
        </w:tc>
      </w:tr>
      <w:tr w:rsidR="00E86086" w:rsidRPr="00E86086" w:rsidTr="000E7625">
        <w:trPr>
          <w:trHeight w:val="315"/>
          <w:jc w:val="center"/>
        </w:trPr>
        <w:tc>
          <w:tcPr>
            <w:tcW w:w="3860" w:type="dxa"/>
            <w:tcBorders>
              <w:top w:val="nil"/>
              <w:left w:val="nil"/>
              <w:bottom w:val="nil"/>
              <w:right w:val="nil"/>
            </w:tcBorders>
            <w:shd w:val="clear" w:color="auto" w:fill="auto"/>
            <w:noWrap/>
            <w:vAlign w:val="bottom"/>
            <w:hideMark/>
          </w:tcPr>
          <w:p w:rsidR="00E86086" w:rsidRPr="00E86086" w:rsidRDefault="00E86086" w:rsidP="00E86086">
            <w:pPr>
              <w:rPr>
                <w:rFonts w:ascii="Arial" w:hAnsi="Arial" w:cs="Arial"/>
                <w:sz w:val="18"/>
                <w:szCs w:val="18"/>
                <w:lang w:val="es-CR" w:eastAsia="es-CR"/>
              </w:rPr>
            </w:pPr>
            <w:r w:rsidRPr="00E86086">
              <w:rPr>
                <w:rFonts w:ascii="Arial" w:hAnsi="Arial" w:cs="Arial"/>
                <w:sz w:val="18"/>
                <w:szCs w:val="18"/>
                <w:lang w:val="es-CR" w:eastAsia="es-CR"/>
              </w:rPr>
              <w:t xml:space="preserve">Transferencia </w:t>
            </w:r>
            <w:proofErr w:type="spellStart"/>
            <w:r w:rsidRPr="00E86086">
              <w:rPr>
                <w:rFonts w:ascii="Arial" w:hAnsi="Arial" w:cs="Arial"/>
                <w:sz w:val="18"/>
                <w:szCs w:val="18"/>
                <w:lang w:val="es-CR" w:eastAsia="es-CR"/>
              </w:rPr>
              <w:t>FEITEC</w:t>
            </w:r>
            <w:proofErr w:type="spellEnd"/>
          </w:p>
        </w:tc>
        <w:tc>
          <w:tcPr>
            <w:tcW w:w="1820" w:type="dxa"/>
            <w:tcBorders>
              <w:top w:val="nil"/>
              <w:left w:val="nil"/>
              <w:bottom w:val="nil"/>
              <w:right w:val="nil"/>
            </w:tcBorders>
            <w:shd w:val="clear" w:color="auto" w:fill="auto"/>
            <w:noWrap/>
            <w:vAlign w:val="bottom"/>
            <w:hideMark/>
          </w:tcPr>
          <w:p w:rsidR="00E86086" w:rsidRPr="00E86086" w:rsidRDefault="00E86086" w:rsidP="00E86086">
            <w:pPr>
              <w:jc w:val="right"/>
              <w:rPr>
                <w:rFonts w:ascii="Calibri" w:hAnsi="Calibri"/>
                <w:color w:val="000000"/>
                <w:sz w:val="20"/>
                <w:szCs w:val="20"/>
                <w:lang w:val="es-CR" w:eastAsia="es-CR"/>
              </w:rPr>
            </w:pPr>
            <w:r w:rsidRPr="00E86086">
              <w:rPr>
                <w:rFonts w:ascii="Calibri" w:hAnsi="Calibri"/>
                <w:color w:val="000000"/>
                <w:sz w:val="20"/>
                <w:szCs w:val="20"/>
                <w:lang w:val="es-CR" w:eastAsia="es-CR"/>
              </w:rPr>
              <w:t>100</w:t>
            </w:r>
          </w:p>
        </w:tc>
      </w:tr>
      <w:tr w:rsidR="00E86086" w:rsidRPr="00E86086" w:rsidTr="000E7625">
        <w:trPr>
          <w:trHeight w:val="315"/>
          <w:jc w:val="center"/>
        </w:trPr>
        <w:tc>
          <w:tcPr>
            <w:tcW w:w="3860" w:type="dxa"/>
            <w:tcBorders>
              <w:top w:val="nil"/>
              <w:left w:val="nil"/>
              <w:bottom w:val="nil"/>
              <w:right w:val="nil"/>
            </w:tcBorders>
            <w:shd w:val="clear" w:color="auto" w:fill="auto"/>
            <w:noWrap/>
            <w:vAlign w:val="bottom"/>
            <w:hideMark/>
          </w:tcPr>
          <w:p w:rsidR="00E86086" w:rsidRPr="00E86086" w:rsidRDefault="00E86086" w:rsidP="00E86086">
            <w:pPr>
              <w:rPr>
                <w:rFonts w:ascii="Arial" w:hAnsi="Arial" w:cs="Arial"/>
                <w:sz w:val="18"/>
                <w:szCs w:val="18"/>
                <w:lang w:val="es-CR" w:eastAsia="es-CR"/>
              </w:rPr>
            </w:pPr>
            <w:r w:rsidRPr="00E86086">
              <w:rPr>
                <w:rFonts w:ascii="Arial" w:hAnsi="Arial" w:cs="Arial"/>
                <w:sz w:val="18"/>
                <w:szCs w:val="18"/>
                <w:lang w:val="es-CR" w:eastAsia="es-CR"/>
              </w:rPr>
              <w:t>*1.5% Fondo de contrapartida</w:t>
            </w:r>
          </w:p>
        </w:tc>
        <w:tc>
          <w:tcPr>
            <w:tcW w:w="1820" w:type="dxa"/>
            <w:tcBorders>
              <w:top w:val="nil"/>
              <w:left w:val="nil"/>
              <w:bottom w:val="nil"/>
              <w:right w:val="nil"/>
            </w:tcBorders>
            <w:shd w:val="clear" w:color="auto" w:fill="auto"/>
            <w:noWrap/>
            <w:vAlign w:val="bottom"/>
            <w:hideMark/>
          </w:tcPr>
          <w:p w:rsidR="00E86086" w:rsidRPr="00E86086" w:rsidRDefault="00E86086" w:rsidP="00E86086">
            <w:pPr>
              <w:jc w:val="right"/>
              <w:rPr>
                <w:rFonts w:ascii="Calibri" w:hAnsi="Calibri"/>
                <w:color w:val="000000"/>
                <w:sz w:val="20"/>
                <w:szCs w:val="20"/>
                <w:lang w:val="es-CR" w:eastAsia="es-CR"/>
              </w:rPr>
            </w:pPr>
            <w:r w:rsidRPr="00E86086">
              <w:rPr>
                <w:rFonts w:ascii="Calibri" w:hAnsi="Calibri"/>
                <w:color w:val="000000"/>
                <w:sz w:val="20"/>
                <w:szCs w:val="20"/>
                <w:lang w:val="es-CR" w:eastAsia="es-CR"/>
              </w:rPr>
              <w:t>35</w:t>
            </w:r>
          </w:p>
        </w:tc>
      </w:tr>
      <w:tr w:rsidR="00E86086" w:rsidRPr="00E86086" w:rsidTr="000E7625">
        <w:trPr>
          <w:trHeight w:val="315"/>
          <w:jc w:val="center"/>
        </w:trPr>
        <w:tc>
          <w:tcPr>
            <w:tcW w:w="3860" w:type="dxa"/>
            <w:tcBorders>
              <w:top w:val="nil"/>
              <w:left w:val="nil"/>
              <w:bottom w:val="nil"/>
              <w:right w:val="nil"/>
            </w:tcBorders>
            <w:shd w:val="clear" w:color="auto" w:fill="auto"/>
            <w:noWrap/>
            <w:vAlign w:val="bottom"/>
            <w:hideMark/>
          </w:tcPr>
          <w:p w:rsidR="00E86086" w:rsidRPr="00E86086" w:rsidRDefault="00E86086" w:rsidP="00E86086">
            <w:pPr>
              <w:rPr>
                <w:rFonts w:ascii="Arial" w:hAnsi="Arial" w:cs="Arial"/>
                <w:sz w:val="18"/>
                <w:szCs w:val="18"/>
                <w:lang w:val="es-CR" w:eastAsia="es-CR"/>
              </w:rPr>
            </w:pPr>
            <w:r w:rsidRPr="00E86086">
              <w:rPr>
                <w:rFonts w:ascii="Arial" w:hAnsi="Arial" w:cs="Arial"/>
                <w:sz w:val="18"/>
                <w:szCs w:val="18"/>
                <w:lang w:val="es-CR" w:eastAsia="es-CR"/>
              </w:rPr>
              <w:t xml:space="preserve">*1% Modelo </w:t>
            </w:r>
            <w:proofErr w:type="spellStart"/>
            <w:r w:rsidRPr="00E86086">
              <w:rPr>
                <w:rFonts w:ascii="Arial" w:hAnsi="Arial" w:cs="Arial"/>
                <w:sz w:val="18"/>
                <w:szCs w:val="18"/>
                <w:lang w:val="es-CR" w:eastAsia="es-CR"/>
              </w:rPr>
              <w:t>Instituc</w:t>
            </w:r>
            <w:proofErr w:type="spellEnd"/>
            <w:r w:rsidRPr="00E86086">
              <w:rPr>
                <w:rFonts w:ascii="Arial" w:hAnsi="Arial" w:cs="Arial"/>
                <w:sz w:val="18"/>
                <w:szCs w:val="18"/>
                <w:lang w:val="es-CR" w:eastAsia="es-CR"/>
              </w:rPr>
              <w:t xml:space="preserve"> de .Excelencia</w:t>
            </w:r>
          </w:p>
        </w:tc>
        <w:tc>
          <w:tcPr>
            <w:tcW w:w="1820" w:type="dxa"/>
            <w:tcBorders>
              <w:top w:val="nil"/>
              <w:left w:val="nil"/>
              <w:bottom w:val="nil"/>
              <w:right w:val="nil"/>
            </w:tcBorders>
            <w:shd w:val="clear" w:color="auto" w:fill="auto"/>
            <w:noWrap/>
            <w:vAlign w:val="bottom"/>
            <w:hideMark/>
          </w:tcPr>
          <w:p w:rsidR="00E86086" w:rsidRPr="00E86086" w:rsidRDefault="00E86086" w:rsidP="00E86086">
            <w:pPr>
              <w:jc w:val="right"/>
              <w:rPr>
                <w:rFonts w:ascii="Calibri" w:hAnsi="Calibri"/>
                <w:color w:val="000000"/>
                <w:sz w:val="20"/>
                <w:szCs w:val="20"/>
                <w:lang w:val="es-CR" w:eastAsia="es-CR"/>
              </w:rPr>
            </w:pPr>
            <w:r w:rsidRPr="00E86086">
              <w:rPr>
                <w:rFonts w:ascii="Calibri" w:hAnsi="Calibri"/>
                <w:color w:val="000000"/>
                <w:sz w:val="20"/>
                <w:szCs w:val="20"/>
                <w:lang w:val="es-CR" w:eastAsia="es-CR"/>
              </w:rPr>
              <w:t>25</w:t>
            </w:r>
          </w:p>
        </w:tc>
      </w:tr>
      <w:tr w:rsidR="00E86086" w:rsidRPr="00E86086" w:rsidTr="000E7625">
        <w:trPr>
          <w:trHeight w:val="315"/>
          <w:jc w:val="center"/>
        </w:trPr>
        <w:tc>
          <w:tcPr>
            <w:tcW w:w="3860" w:type="dxa"/>
            <w:tcBorders>
              <w:top w:val="nil"/>
              <w:left w:val="nil"/>
              <w:bottom w:val="nil"/>
              <w:right w:val="nil"/>
            </w:tcBorders>
            <w:shd w:val="clear" w:color="auto" w:fill="auto"/>
            <w:noWrap/>
            <w:vAlign w:val="bottom"/>
            <w:hideMark/>
          </w:tcPr>
          <w:p w:rsidR="00E86086" w:rsidRPr="00E86086" w:rsidRDefault="00E86086" w:rsidP="00E86086">
            <w:pPr>
              <w:rPr>
                <w:rFonts w:ascii="Arial" w:hAnsi="Arial" w:cs="Arial"/>
                <w:sz w:val="18"/>
                <w:szCs w:val="18"/>
                <w:lang w:val="es-CR" w:eastAsia="es-CR"/>
              </w:rPr>
            </w:pPr>
            <w:r w:rsidRPr="00E86086">
              <w:rPr>
                <w:rFonts w:ascii="Arial" w:hAnsi="Arial" w:cs="Arial"/>
                <w:sz w:val="18"/>
                <w:szCs w:val="18"/>
                <w:lang w:val="es-CR" w:eastAsia="es-CR"/>
              </w:rPr>
              <w:t>*Acuerdo Reserva de Emergencias</w:t>
            </w:r>
          </w:p>
        </w:tc>
        <w:tc>
          <w:tcPr>
            <w:tcW w:w="1820" w:type="dxa"/>
            <w:tcBorders>
              <w:top w:val="nil"/>
              <w:left w:val="nil"/>
              <w:bottom w:val="nil"/>
              <w:right w:val="nil"/>
            </w:tcBorders>
            <w:shd w:val="clear" w:color="auto" w:fill="auto"/>
            <w:noWrap/>
            <w:vAlign w:val="bottom"/>
            <w:hideMark/>
          </w:tcPr>
          <w:p w:rsidR="00E86086" w:rsidRPr="00E86086" w:rsidRDefault="00E86086" w:rsidP="00E86086">
            <w:pPr>
              <w:jc w:val="right"/>
              <w:rPr>
                <w:rFonts w:ascii="Calibri" w:hAnsi="Calibri"/>
                <w:color w:val="000000"/>
                <w:sz w:val="20"/>
                <w:szCs w:val="20"/>
                <w:lang w:val="es-CR" w:eastAsia="es-CR"/>
              </w:rPr>
            </w:pPr>
            <w:r w:rsidRPr="00E86086">
              <w:rPr>
                <w:rFonts w:ascii="Calibri" w:hAnsi="Calibri"/>
                <w:color w:val="000000"/>
                <w:sz w:val="20"/>
                <w:szCs w:val="20"/>
                <w:lang w:val="es-CR" w:eastAsia="es-CR"/>
              </w:rPr>
              <w:t>20</w:t>
            </w:r>
          </w:p>
        </w:tc>
      </w:tr>
      <w:tr w:rsidR="00E86086" w:rsidRPr="00E86086" w:rsidTr="000E7625">
        <w:trPr>
          <w:trHeight w:val="315"/>
          <w:jc w:val="center"/>
        </w:trPr>
        <w:tc>
          <w:tcPr>
            <w:tcW w:w="3860" w:type="dxa"/>
            <w:tcBorders>
              <w:top w:val="nil"/>
              <w:left w:val="nil"/>
              <w:bottom w:val="nil"/>
              <w:right w:val="nil"/>
            </w:tcBorders>
            <w:shd w:val="clear" w:color="auto" w:fill="auto"/>
            <w:noWrap/>
            <w:vAlign w:val="bottom"/>
            <w:hideMark/>
          </w:tcPr>
          <w:p w:rsidR="00E86086" w:rsidRPr="00E86086" w:rsidRDefault="00E86086" w:rsidP="00E86086">
            <w:pPr>
              <w:rPr>
                <w:rFonts w:ascii="Arial" w:hAnsi="Arial" w:cs="Arial"/>
                <w:sz w:val="18"/>
                <w:szCs w:val="18"/>
                <w:lang w:val="es-CR" w:eastAsia="es-CR"/>
              </w:rPr>
            </w:pPr>
            <w:r w:rsidRPr="00E86086">
              <w:rPr>
                <w:rFonts w:ascii="Arial" w:hAnsi="Arial" w:cs="Arial"/>
                <w:sz w:val="18"/>
                <w:szCs w:val="18"/>
                <w:lang w:val="es-CR" w:eastAsia="es-CR"/>
              </w:rPr>
              <w:t xml:space="preserve">*Reserva </w:t>
            </w:r>
            <w:proofErr w:type="spellStart"/>
            <w:r w:rsidRPr="00E86086">
              <w:rPr>
                <w:rFonts w:ascii="Arial" w:hAnsi="Arial" w:cs="Arial"/>
                <w:sz w:val="18"/>
                <w:szCs w:val="18"/>
                <w:lang w:val="es-CR" w:eastAsia="es-CR"/>
              </w:rPr>
              <w:t>Investigación,Pre</w:t>
            </w:r>
            <w:proofErr w:type="spellEnd"/>
            <w:r w:rsidRPr="00E86086">
              <w:rPr>
                <w:rFonts w:ascii="Arial" w:hAnsi="Arial" w:cs="Arial"/>
                <w:sz w:val="18"/>
                <w:szCs w:val="18"/>
                <w:lang w:val="es-CR" w:eastAsia="es-CR"/>
              </w:rPr>
              <w:t>-inversión</w:t>
            </w:r>
          </w:p>
        </w:tc>
        <w:tc>
          <w:tcPr>
            <w:tcW w:w="1820" w:type="dxa"/>
            <w:tcBorders>
              <w:top w:val="nil"/>
              <w:left w:val="nil"/>
              <w:bottom w:val="nil"/>
              <w:right w:val="nil"/>
            </w:tcBorders>
            <w:shd w:val="clear" w:color="auto" w:fill="auto"/>
            <w:noWrap/>
            <w:vAlign w:val="bottom"/>
            <w:hideMark/>
          </w:tcPr>
          <w:p w:rsidR="00E86086" w:rsidRPr="00E86086" w:rsidRDefault="00E86086" w:rsidP="00E86086">
            <w:pPr>
              <w:jc w:val="right"/>
              <w:rPr>
                <w:rFonts w:ascii="Calibri" w:hAnsi="Calibri"/>
                <w:color w:val="000000"/>
                <w:sz w:val="20"/>
                <w:szCs w:val="20"/>
                <w:lang w:val="es-CR" w:eastAsia="es-CR"/>
              </w:rPr>
            </w:pPr>
            <w:r w:rsidRPr="00E86086">
              <w:rPr>
                <w:rFonts w:ascii="Calibri" w:hAnsi="Calibri"/>
                <w:color w:val="000000"/>
                <w:sz w:val="20"/>
                <w:szCs w:val="20"/>
                <w:lang w:val="es-CR" w:eastAsia="es-CR"/>
              </w:rPr>
              <w:t>20</w:t>
            </w:r>
          </w:p>
        </w:tc>
      </w:tr>
      <w:tr w:rsidR="00E86086" w:rsidRPr="00E86086" w:rsidTr="000E7625">
        <w:trPr>
          <w:trHeight w:val="330"/>
          <w:jc w:val="center"/>
        </w:trPr>
        <w:tc>
          <w:tcPr>
            <w:tcW w:w="3860" w:type="dxa"/>
            <w:tcBorders>
              <w:top w:val="nil"/>
              <w:left w:val="nil"/>
              <w:bottom w:val="double" w:sz="6" w:space="0" w:color="auto"/>
              <w:right w:val="nil"/>
            </w:tcBorders>
            <w:shd w:val="clear" w:color="auto" w:fill="auto"/>
            <w:noWrap/>
            <w:vAlign w:val="bottom"/>
            <w:hideMark/>
          </w:tcPr>
          <w:p w:rsidR="00E86086" w:rsidRPr="00E86086" w:rsidRDefault="00E86086" w:rsidP="00E86086">
            <w:pPr>
              <w:rPr>
                <w:rFonts w:ascii="Arial" w:hAnsi="Arial" w:cs="Arial"/>
                <w:sz w:val="18"/>
                <w:szCs w:val="18"/>
                <w:lang w:val="es-CR" w:eastAsia="es-CR"/>
              </w:rPr>
            </w:pPr>
            <w:r w:rsidRPr="00E86086">
              <w:rPr>
                <w:rFonts w:ascii="Arial" w:hAnsi="Arial" w:cs="Arial"/>
                <w:sz w:val="18"/>
                <w:szCs w:val="18"/>
                <w:lang w:val="es-CR" w:eastAsia="es-CR"/>
              </w:rPr>
              <w:t xml:space="preserve">*Reserva de Sistemas de Información </w:t>
            </w:r>
          </w:p>
        </w:tc>
        <w:tc>
          <w:tcPr>
            <w:tcW w:w="1820" w:type="dxa"/>
            <w:tcBorders>
              <w:top w:val="nil"/>
              <w:left w:val="nil"/>
              <w:bottom w:val="double" w:sz="6" w:space="0" w:color="auto"/>
              <w:right w:val="nil"/>
            </w:tcBorders>
            <w:shd w:val="clear" w:color="auto" w:fill="auto"/>
            <w:noWrap/>
            <w:vAlign w:val="bottom"/>
            <w:hideMark/>
          </w:tcPr>
          <w:p w:rsidR="00E86086" w:rsidRPr="00E86086" w:rsidRDefault="00E86086" w:rsidP="00E86086">
            <w:pPr>
              <w:jc w:val="right"/>
              <w:rPr>
                <w:rFonts w:ascii="Calibri" w:hAnsi="Calibri"/>
                <w:color w:val="000000"/>
                <w:sz w:val="22"/>
                <w:szCs w:val="22"/>
                <w:u w:val="single"/>
                <w:lang w:val="es-CR" w:eastAsia="es-CR"/>
              </w:rPr>
            </w:pPr>
            <w:r w:rsidRPr="00E86086">
              <w:rPr>
                <w:rFonts w:ascii="Calibri" w:hAnsi="Calibri"/>
                <w:color w:val="000000"/>
                <w:sz w:val="22"/>
                <w:szCs w:val="22"/>
                <w:u w:val="single"/>
                <w:lang w:val="es-CR" w:eastAsia="es-CR"/>
              </w:rPr>
              <w:t>261</w:t>
            </w:r>
          </w:p>
        </w:tc>
      </w:tr>
      <w:tr w:rsidR="00E86086" w:rsidRPr="00E86086" w:rsidTr="000E7625">
        <w:trPr>
          <w:trHeight w:val="345"/>
          <w:jc w:val="center"/>
        </w:trPr>
        <w:tc>
          <w:tcPr>
            <w:tcW w:w="3860" w:type="dxa"/>
            <w:tcBorders>
              <w:top w:val="nil"/>
              <w:left w:val="single" w:sz="4" w:space="0" w:color="auto"/>
              <w:bottom w:val="double" w:sz="6" w:space="0" w:color="auto"/>
              <w:right w:val="single" w:sz="4" w:space="0" w:color="auto"/>
            </w:tcBorders>
            <w:shd w:val="clear" w:color="auto" w:fill="auto"/>
            <w:vAlign w:val="bottom"/>
            <w:hideMark/>
          </w:tcPr>
          <w:p w:rsidR="00E86086" w:rsidRPr="00E86086" w:rsidRDefault="00E86086" w:rsidP="00E86086">
            <w:pPr>
              <w:rPr>
                <w:rFonts w:ascii="Arial" w:hAnsi="Arial" w:cs="Arial"/>
                <w:b/>
                <w:bCs/>
                <w:sz w:val="16"/>
                <w:szCs w:val="16"/>
                <w:lang w:val="es-CR" w:eastAsia="es-CR"/>
              </w:rPr>
            </w:pPr>
            <w:r w:rsidRPr="00E86086">
              <w:rPr>
                <w:rFonts w:ascii="Arial" w:hAnsi="Arial" w:cs="Arial"/>
                <w:b/>
                <w:bCs/>
                <w:sz w:val="16"/>
                <w:szCs w:val="16"/>
                <w:lang w:val="es-CR" w:eastAsia="es-CR"/>
              </w:rPr>
              <w:t>Sub total Acuerdos CI</w:t>
            </w:r>
          </w:p>
        </w:tc>
        <w:tc>
          <w:tcPr>
            <w:tcW w:w="1820" w:type="dxa"/>
            <w:tcBorders>
              <w:top w:val="nil"/>
              <w:left w:val="nil"/>
              <w:bottom w:val="double" w:sz="6" w:space="0" w:color="auto"/>
              <w:right w:val="nil"/>
            </w:tcBorders>
            <w:shd w:val="clear" w:color="auto" w:fill="auto"/>
            <w:noWrap/>
            <w:vAlign w:val="bottom"/>
            <w:hideMark/>
          </w:tcPr>
          <w:p w:rsidR="00E86086" w:rsidRPr="00E86086" w:rsidRDefault="00E86086" w:rsidP="00E86086">
            <w:pPr>
              <w:jc w:val="right"/>
              <w:rPr>
                <w:rFonts w:ascii="Calibri" w:hAnsi="Calibri"/>
                <w:b/>
                <w:bCs/>
                <w:color w:val="000000"/>
                <w:sz w:val="22"/>
                <w:szCs w:val="22"/>
                <w:lang w:val="es-CR" w:eastAsia="es-CR"/>
              </w:rPr>
            </w:pPr>
            <w:r w:rsidRPr="00E86086">
              <w:rPr>
                <w:rFonts w:ascii="Calibri" w:hAnsi="Calibri"/>
                <w:b/>
                <w:bCs/>
                <w:color w:val="000000"/>
                <w:sz w:val="22"/>
                <w:szCs w:val="22"/>
                <w:lang w:val="es-CR" w:eastAsia="es-CR"/>
              </w:rPr>
              <w:t>3,566</w:t>
            </w:r>
          </w:p>
        </w:tc>
      </w:tr>
      <w:tr w:rsidR="00E86086" w:rsidRPr="00E86086" w:rsidTr="000E7625">
        <w:trPr>
          <w:trHeight w:val="330"/>
          <w:jc w:val="center"/>
        </w:trPr>
        <w:tc>
          <w:tcPr>
            <w:tcW w:w="3860" w:type="dxa"/>
            <w:tcBorders>
              <w:top w:val="nil"/>
              <w:left w:val="nil"/>
              <w:bottom w:val="nil"/>
              <w:right w:val="nil"/>
            </w:tcBorders>
            <w:shd w:val="clear" w:color="auto" w:fill="auto"/>
            <w:noWrap/>
            <w:vAlign w:val="bottom"/>
            <w:hideMark/>
          </w:tcPr>
          <w:p w:rsidR="00E86086" w:rsidRPr="00E86086" w:rsidRDefault="00E86086" w:rsidP="00E86086">
            <w:pPr>
              <w:rPr>
                <w:rFonts w:ascii="Arial" w:hAnsi="Arial" w:cs="Arial"/>
                <w:i/>
                <w:iCs/>
                <w:sz w:val="12"/>
                <w:szCs w:val="12"/>
                <w:lang w:val="es-CR" w:eastAsia="es-CR"/>
              </w:rPr>
            </w:pPr>
            <w:r w:rsidRPr="00E86086">
              <w:rPr>
                <w:rFonts w:ascii="Arial" w:hAnsi="Arial" w:cs="Arial"/>
                <w:i/>
                <w:iCs/>
                <w:sz w:val="12"/>
                <w:szCs w:val="12"/>
                <w:lang w:val="es-CR" w:eastAsia="es-CR"/>
              </w:rPr>
              <w:t xml:space="preserve"> *El fondos no ejecutados en el 2017 de estas reservas  </w:t>
            </w:r>
          </w:p>
        </w:tc>
        <w:tc>
          <w:tcPr>
            <w:tcW w:w="1820" w:type="dxa"/>
            <w:tcBorders>
              <w:top w:val="nil"/>
              <w:left w:val="nil"/>
              <w:bottom w:val="nil"/>
              <w:right w:val="nil"/>
            </w:tcBorders>
            <w:shd w:val="clear" w:color="auto" w:fill="auto"/>
            <w:noWrap/>
            <w:vAlign w:val="bottom"/>
            <w:hideMark/>
          </w:tcPr>
          <w:p w:rsidR="00E86086" w:rsidRPr="00E86086" w:rsidRDefault="00E86086" w:rsidP="00E86086">
            <w:pPr>
              <w:rPr>
                <w:rFonts w:ascii="Arial" w:hAnsi="Arial" w:cs="Arial"/>
                <w:i/>
                <w:iCs/>
                <w:sz w:val="12"/>
                <w:szCs w:val="12"/>
                <w:lang w:val="es-CR" w:eastAsia="es-CR"/>
              </w:rPr>
            </w:pPr>
          </w:p>
        </w:tc>
      </w:tr>
      <w:tr w:rsidR="00E86086" w:rsidRPr="00E86086" w:rsidTr="000E7625">
        <w:trPr>
          <w:trHeight w:val="315"/>
          <w:jc w:val="center"/>
        </w:trPr>
        <w:tc>
          <w:tcPr>
            <w:tcW w:w="3860" w:type="dxa"/>
            <w:tcBorders>
              <w:top w:val="nil"/>
              <w:left w:val="nil"/>
              <w:bottom w:val="nil"/>
              <w:right w:val="nil"/>
            </w:tcBorders>
            <w:shd w:val="clear" w:color="auto" w:fill="auto"/>
            <w:noWrap/>
            <w:vAlign w:val="bottom"/>
            <w:hideMark/>
          </w:tcPr>
          <w:p w:rsidR="00E86086" w:rsidRPr="00E86086" w:rsidRDefault="00E86086" w:rsidP="00E86086">
            <w:pPr>
              <w:rPr>
                <w:rFonts w:ascii="Arial" w:hAnsi="Arial" w:cs="Arial"/>
                <w:i/>
                <w:iCs/>
                <w:sz w:val="12"/>
                <w:szCs w:val="12"/>
                <w:lang w:val="es-CR" w:eastAsia="es-CR"/>
              </w:rPr>
            </w:pPr>
            <w:proofErr w:type="gramStart"/>
            <w:r w:rsidRPr="00E86086">
              <w:rPr>
                <w:rFonts w:ascii="Arial" w:hAnsi="Arial" w:cs="Arial"/>
                <w:i/>
                <w:iCs/>
                <w:sz w:val="12"/>
                <w:szCs w:val="12"/>
                <w:lang w:val="es-CR" w:eastAsia="es-CR"/>
              </w:rPr>
              <w:t>serán</w:t>
            </w:r>
            <w:proofErr w:type="gramEnd"/>
            <w:r w:rsidRPr="00E86086">
              <w:rPr>
                <w:rFonts w:ascii="Arial" w:hAnsi="Arial" w:cs="Arial"/>
                <w:i/>
                <w:iCs/>
                <w:sz w:val="12"/>
                <w:szCs w:val="12"/>
                <w:lang w:val="es-CR" w:eastAsia="es-CR"/>
              </w:rPr>
              <w:t xml:space="preserve"> incorporados </w:t>
            </w:r>
            <w:proofErr w:type="spellStart"/>
            <w:r w:rsidRPr="00E86086">
              <w:rPr>
                <w:rFonts w:ascii="Arial" w:hAnsi="Arial" w:cs="Arial"/>
                <w:i/>
                <w:iCs/>
                <w:sz w:val="12"/>
                <w:szCs w:val="12"/>
                <w:lang w:val="es-CR" w:eastAsia="es-CR"/>
              </w:rPr>
              <w:t>com</w:t>
            </w:r>
            <w:proofErr w:type="spellEnd"/>
            <w:r w:rsidRPr="00E86086">
              <w:rPr>
                <w:rFonts w:ascii="Arial" w:hAnsi="Arial" w:cs="Arial"/>
                <w:i/>
                <w:iCs/>
                <w:sz w:val="12"/>
                <w:szCs w:val="12"/>
                <w:lang w:val="es-CR" w:eastAsia="es-CR"/>
              </w:rPr>
              <w:t xml:space="preserve"> superávit en el PO.2018 como fondos restringidos.</w:t>
            </w:r>
          </w:p>
        </w:tc>
        <w:tc>
          <w:tcPr>
            <w:tcW w:w="1820" w:type="dxa"/>
            <w:tcBorders>
              <w:top w:val="nil"/>
              <w:left w:val="nil"/>
              <w:bottom w:val="nil"/>
              <w:right w:val="nil"/>
            </w:tcBorders>
            <w:shd w:val="clear" w:color="auto" w:fill="auto"/>
            <w:noWrap/>
            <w:vAlign w:val="bottom"/>
            <w:hideMark/>
          </w:tcPr>
          <w:p w:rsidR="00E86086" w:rsidRPr="00E86086" w:rsidRDefault="00E86086" w:rsidP="00E86086">
            <w:pPr>
              <w:rPr>
                <w:rFonts w:ascii="Arial" w:hAnsi="Arial" w:cs="Arial"/>
                <w:i/>
                <w:iCs/>
                <w:sz w:val="12"/>
                <w:szCs w:val="12"/>
                <w:lang w:val="es-CR" w:eastAsia="es-CR"/>
              </w:rPr>
            </w:pPr>
          </w:p>
        </w:tc>
      </w:tr>
    </w:tbl>
    <w:p w:rsidR="00E86086" w:rsidRPr="00E86086" w:rsidRDefault="00E86086" w:rsidP="00E86086">
      <w:pPr>
        <w:ind w:left="708"/>
        <w:rPr>
          <w:rFonts w:ascii="Arial" w:hAnsi="Arial" w:cs="Arial"/>
          <w:lang w:val="es-CR"/>
        </w:rPr>
      </w:pPr>
    </w:p>
    <w:p w:rsidR="00E86086" w:rsidRPr="00E86086" w:rsidRDefault="00E86086" w:rsidP="00E86086">
      <w:pPr>
        <w:numPr>
          <w:ilvl w:val="0"/>
          <w:numId w:val="17"/>
        </w:numPr>
        <w:tabs>
          <w:tab w:val="left" w:pos="426"/>
        </w:tabs>
        <w:ind w:left="426"/>
        <w:contextualSpacing/>
        <w:jc w:val="both"/>
        <w:rPr>
          <w:rFonts w:ascii="Arial" w:hAnsi="Arial" w:cs="Arial"/>
          <w:lang w:val="es-CR"/>
        </w:rPr>
      </w:pPr>
      <w:r w:rsidRPr="00E86086">
        <w:rPr>
          <w:rFonts w:ascii="Arial" w:hAnsi="Arial" w:cs="Arial"/>
          <w:lang w:val="es-CR"/>
        </w:rPr>
        <w:t xml:space="preserve">La asignación presupuestaria para la </w:t>
      </w:r>
      <w:proofErr w:type="spellStart"/>
      <w:r w:rsidRPr="00E86086">
        <w:rPr>
          <w:rFonts w:ascii="Arial" w:hAnsi="Arial" w:cs="Arial"/>
          <w:lang w:val="es-CR"/>
        </w:rPr>
        <w:t>FEITEC</w:t>
      </w:r>
      <w:proofErr w:type="spellEnd"/>
      <w:r w:rsidRPr="00E86086">
        <w:rPr>
          <w:rFonts w:ascii="Arial" w:hAnsi="Arial" w:cs="Arial"/>
          <w:lang w:val="es-CR"/>
        </w:rPr>
        <w:t xml:space="preserve"> se sustenta en la disposición de formulación 2018 en el inciso: “3.16</w:t>
      </w:r>
      <w:proofErr w:type="gramStart"/>
      <w:r w:rsidRPr="00E86086">
        <w:rPr>
          <w:rFonts w:ascii="Arial" w:hAnsi="Arial" w:cs="Arial"/>
          <w:lang w:val="es-CR"/>
        </w:rPr>
        <w:t>  Las</w:t>
      </w:r>
      <w:proofErr w:type="gramEnd"/>
      <w:r w:rsidRPr="00E86086">
        <w:rPr>
          <w:rFonts w:ascii="Arial" w:hAnsi="Arial" w:cs="Arial"/>
          <w:lang w:val="es-CR"/>
        </w:rPr>
        <w:t xml:space="preserve"> transferencias a la Federación de Estudiantes, se calcularán tomando como base los acuerdos de asignación presupuestaria vigentes, por parte del Consejo Institucional”</w:t>
      </w:r>
      <w:r w:rsidRPr="00E86086">
        <w:rPr>
          <w:rFonts w:ascii="Arial" w:hAnsi="Arial" w:cs="Arial"/>
          <w:color w:val="FF0000"/>
          <w:lang w:val="es-CR"/>
        </w:rPr>
        <w:t xml:space="preserve">. </w:t>
      </w:r>
    </w:p>
    <w:p w:rsidR="00E86086" w:rsidRPr="00E86086" w:rsidRDefault="00E86086" w:rsidP="00E86086">
      <w:pPr>
        <w:tabs>
          <w:tab w:val="left" w:pos="426"/>
        </w:tabs>
        <w:ind w:left="66"/>
        <w:contextualSpacing/>
        <w:jc w:val="both"/>
        <w:rPr>
          <w:rFonts w:ascii="Arial" w:hAnsi="Arial" w:cs="Arial"/>
          <w:lang w:val="es-CR"/>
        </w:rPr>
      </w:pPr>
    </w:p>
    <w:p w:rsidR="00E86086" w:rsidRPr="00E86086" w:rsidRDefault="00E86086" w:rsidP="00E86086">
      <w:pPr>
        <w:numPr>
          <w:ilvl w:val="0"/>
          <w:numId w:val="17"/>
        </w:numPr>
        <w:tabs>
          <w:tab w:val="left" w:pos="426"/>
        </w:tabs>
        <w:ind w:left="426"/>
        <w:contextualSpacing/>
        <w:jc w:val="both"/>
        <w:rPr>
          <w:rFonts w:ascii="Arial" w:hAnsi="Arial" w:cs="Arial"/>
          <w:lang w:val="es-CR"/>
        </w:rPr>
      </w:pPr>
      <w:r w:rsidRPr="00E86086">
        <w:rPr>
          <w:rFonts w:ascii="Arial" w:hAnsi="Arial" w:cs="Arial"/>
          <w:color w:val="000000"/>
          <w:lang w:val="es-CR"/>
        </w:rPr>
        <w:t xml:space="preserve">La Secretaría del Consejo Institucional recibe oficio R-1055-2017, con fecha de recibido 5 de setiembre del 2017, suscrito por el Dr. Julio Calvo Alvarado, Rector, </w:t>
      </w:r>
      <w:r w:rsidRPr="00E86086">
        <w:rPr>
          <w:rFonts w:ascii="Arial" w:hAnsi="Arial" w:cs="Arial"/>
          <w:color w:val="000000"/>
          <w:lang w:val="es-CR"/>
        </w:rPr>
        <w:lastRenderedPageBreak/>
        <w:t xml:space="preserve">dirigido a la </w:t>
      </w:r>
      <w:proofErr w:type="spellStart"/>
      <w:r w:rsidRPr="00E86086">
        <w:rPr>
          <w:rFonts w:ascii="Arial" w:hAnsi="Arial" w:cs="Arial"/>
          <w:color w:val="000000"/>
          <w:lang w:val="es-CR"/>
        </w:rPr>
        <w:t>MSc</w:t>
      </w:r>
      <w:proofErr w:type="spellEnd"/>
      <w:r w:rsidRPr="00E86086">
        <w:rPr>
          <w:rFonts w:ascii="Arial" w:hAnsi="Arial" w:cs="Arial"/>
          <w:color w:val="000000"/>
          <w:lang w:val="es-CR"/>
        </w:rPr>
        <w:t xml:space="preserve">. Ana Rosa Ruiz Fernández, Coordinadora de la Comisión de Planificación y Administración y avalado por el Consejo de Rectoría, en la Sesión Nº 27-2017 Artículo 8, del 4 de setiembre del 2017, en el cual adjunta “Acuerdo entre la </w:t>
      </w:r>
      <w:proofErr w:type="spellStart"/>
      <w:r w:rsidRPr="00E86086">
        <w:rPr>
          <w:rFonts w:ascii="Arial" w:hAnsi="Arial" w:cs="Arial"/>
          <w:color w:val="000000"/>
          <w:lang w:val="es-CR"/>
        </w:rPr>
        <w:t>FEITEC</w:t>
      </w:r>
      <w:proofErr w:type="spellEnd"/>
      <w:r w:rsidRPr="00E86086">
        <w:rPr>
          <w:rFonts w:ascii="Arial" w:hAnsi="Arial" w:cs="Arial"/>
          <w:color w:val="000000"/>
          <w:lang w:val="es-CR"/>
        </w:rPr>
        <w:t xml:space="preserve"> y la Administración sobre la distribución del Presupuesto 2018”.</w:t>
      </w:r>
    </w:p>
    <w:p w:rsidR="00E86086" w:rsidRPr="00E86086" w:rsidRDefault="00E86086" w:rsidP="00E86086">
      <w:pPr>
        <w:ind w:left="708"/>
        <w:rPr>
          <w:rFonts w:ascii="Arial" w:hAnsi="Arial" w:cs="Arial"/>
          <w:lang w:val="es-CR"/>
        </w:rPr>
      </w:pPr>
    </w:p>
    <w:p w:rsidR="00E86086" w:rsidRPr="00E86086" w:rsidRDefault="00E86086" w:rsidP="00E86086">
      <w:pPr>
        <w:numPr>
          <w:ilvl w:val="0"/>
          <w:numId w:val="17"/>
        </w:numPr>
        <w:tabs>
          <w:tab w:val="left" w:pos="426"/>
        </w:tabs>
        <w:ind w:left="426"/>
        <w:contextualSpacing/>
        <w:jc w:val="both"/>
        <w:rPr>
          <w:rFonts w:ascii="Arial" w:eastAsia="ヒラギノ角ゴ Pro W3" w:hAnsi="Arial" w:cs="Arial"/>
          <w:color w:val="000000"/>
          <w:lang w:val="es-CR" w:eastAsia="es-CR"/>
        </w:rPr>
      </w:pPr>
      <w:r w:rsidRPr="00E86086">
        <w:rPr>
          <w:rFonts w:ascii="Arial" w:eastAsia="ヒラギノ角ゴ Pro W3" w:hAnsi="Arial" w:cs="Arial"/>
          <w:color w:val="000000"/>
          <w:lang w:val="es-CR" w:eastAsia="es-CR"/>
        </w:rPr>
        <w:t xml:space="preserve">De acuerdo a lo anterior, la Comisión de Planificación y Administración dispone elevar una propuesta al Consejo Institucional modificar </w:t>
      </w:r>
      <w:r w:rsidRPr="00E86086">
        <w:rPr>
          <w:rFonts w:ascii="Arial" w:eastAsia="ヒラギノ角ゴ Pro W3" w:hAnsi="Arial" w:cs="Arial"/>
          <w:lang w:val="es-MX" w:eastAsia="es-CR"/>
        </w:rPr>
        <w:t xml:space="preserve">las </w:t>
      </w:r>
      <w:r w:rsidRPr="00E86086">
        <w:rPr>
          <w:rFonts w:ascii="Arial" w:hAnsi="Arial" w:cs="Arial"/>
          <w:lang w:val="es-CR"/>
        </w:rPr>
        <w:t>Disposiciones para la Formulación Presupuestaria del Instituto Tecnológico de Costa Rica para el 2018.</w:t>
      </w:r>
    </w:p>
    <w:p w:rsidR="00E86086" w:rsidRPr="00E86086" w:rsidRDefault="00E86086" w:rsidP="00E86086">
      <w:pPr>
        <w:jc w:val="both"/>
        <w:rPr>
          <w:rFonts w:ascii="Arial" w:eastAsia="ヒラギノ角ゴ Pro W3" w:hAnsi="Arial" w:cs="Arial"/>
          <w:b/>
          <w:color w:val="000000"/>
          <w:sz w:val="22"/>
          <w:szCs w:val="22"/>
          <w:lang w:val="es-CR" w:eastAsia="es-CR"/>
        </w:rPr>
      </w:pPr>
    </w:p>
    <w:p w:rsidR="00E86086" w:rsidRPr="00E86086" w:rsidRDefault="00E86086" w:rsidP="00E86086">
      <w:pPr>
        <w:jc w:val="both"/>
        <w:rPr>
          <w:rFonts w:ascii="Arial" w:eastAsia="ヒラギノ角ゴ Pro W3" w:hAnsi="Arial" w:cs="Arial"/>
          <w:b/>
          <w:color w:val="000000"/>
          <w:lang w:val="es-CR" w:eastAsia="es-CR"/>
        </w:rPr>
      </w:pPr>
      <w:r w:rsidRPr="00E86086">
        <w:rPr>
          <w:rFonts w:ascii="Arial" w:eastAsia="ヒラギノ角ゴ Pro W3" w:hAnsi="Arial" w:cs="Arial"/>
          <w:b/>
          <w:color w:val="000000"/>
          <w:lang w:val="es-CR" w:eastAsia="es-CR"/>
        </w:rPr>
        <w:t>SE</w:t>
      </w:r>
      <w:r>
        <w:rPr>
          <w:rFonts w:ascii="Arial" w:eastAsia="ヒラギノ角ゴ Pro W3" w:hAnsi="Arial" w:cs="Arial"/>
          <w:b/>
          <w:color w:val="000000"/>
          <w:lang w:val="es-CR" w:eastAsia="es-CR"/>
        </w:rPr>
        <w:t xml:space="preserve"> ACUERDA</w:t>
      </w:r>
      <w:r w:rsidRPr="00E86086">
        <w:rPr>
          <w:rFonts w:ascii="Arial" w:eastAsia="ヒラギノ角ゴ Pro W3" w:hAnsi="Arial" w:cs="Arial"/>
          <w:b/>
          <w:color w:val="000000"/>
          <w:lang w:val="es-CR" w:eastAsia="es-CR"/>
        </w:rPr>
        <w:t>:</w:t>
      </w:r>
    </w:p>
    <w:p w:rsidR="00E86086" w:rsidRPr="00E86086" w:rsidRDefault="00E86086" w:rsidP="00E86086">
      <w:pPr>
        <w:jc w:val="both"/>
        <w:rPr>
          <w:rFonts w:ascii="Arial" w:hAnsi="Arial" w:cs="Arial"/>
          <w:sz w:val="20"/>
          <w:szCs w:val="20"/>
        </w:rPr>
      </w:pPr>
    </w:p>
    <w:p w:rsidR="00E86086" w:rsidRPr="00E86086" w:rsidRDefault="00E86086" w:rsidP="00E86086">
      <w:pPr>
        <w:numPr>
          <w:ilvl w:val="0"/>
          <w:numId w:val="16"/>
        </w:numPr>
        <w:ind w:left="426" w:hanging="426"/>
        <w:jc w:val="both"/>
        <w:rPr>
          <w:rFonts w:ascii="Arial" w:eastAsia="ヒラギノ角ゴ Pro W3" w:hAnsi="Arial" w:cs="Arial"/>
          <w:lang w:val="es-MX" w:eastAsia="es-CR"/>
        </w:rPr>
      </w:pPr>
      <w:r w:rsidRPr="00E86086">
        <w:rPr>
          <w:rFonts w:ascii="Arial" w:eastAsia="ヒラギノ角ゴ Pro W3" w:hAnsi="Arial" w:cs="Arial"/>
          <w:lang w:val="es-MX" w:eastAsia="es-CR"/>
        </w:rPr>
        <w:t xml:space="preserve">Modificar los siguientes incisos del punto 3. De los Egresos,  de las </w:t>
      </w:r>
      <w:r w:rsidRPr="00E86086">
        <w:rPr>
          <w:rFonts w:ascii="Arial" w:hAnsi="Arial" w:cs="Arial"/>
          <w:lang w:val="es-CR"/>
        </w:rPr>
        <w:t>Disposiciones para la Formulación Presupuestaria del Instituto Tecnológico de Costa Rica para el 2018</w:t>
      </w:r>
      <w:r w:rsidRPr="00E86086">
        <w:rPr>
          <w:rFonts w:ascii="Arial" w:eastAsia="ヒラギノ角ゴ Pro W3" w:hAnsi="Arial" w:cs="Arial"/>
          <w:lang w:val="es-MX" w:eastAsia="es-CR"/>
        </w:rPr>
        <w:t>, para que se lean de la siguiente manera:</w:t>
      </w:r>
    </w:p>
    <w:p w:rsidR="00E86086" w:rsidRPr="00E86086" w:rsidRDefault="00E86086" w:rsidP="00E86086">
      <w:pPr>
        <w:ind w:left="426"/>
        <w:jc w:val="both"/>
        <w:rPr>
          <w:rFonts w:ascii="Arial" w:eastAsia="ヒラギノ角ゴ Pro W3" w:hAnsi="Arial" w:cs="Arial"/>
          <w:lang w:val="es-MX" w:eastAsia="es-CR"/>
        </w:rPr>
      </w:pPr>
    </w:p>
    <w:p w:rsidR="00E86086" w:rsidRPr="00E86086" w:rsidRDefault="00E86086" w:rsidP="00E86086">
      <w:pPr>
        <w:numPr>
          <w:ilvl w:val="1"/>
          <w:numId w:val="21"/>
        </w:numPr>
        <w:ind w:left="1134" w:right="306" w:hanging="567"/>
        <w:contextualSpacing/>
        <w:jc w:val="both"/>
        <w:rPr>
          <w:rFonts w:ascii="Arial" w:eastAsia="Calibri" w:hAnsi="Arial" w:cs="Arial"/>
          <w:lang w:val="es-CR"/>
        </w:rPr>
      </w:pPr>
      <w:r w:rsidRPr="00E86086">
        <w:rPr>
          <w:rFonts w:ascii="Arial" w:eastAsia="Calibri" w:hAnsi="Arial" w:cs="Arial"/>
          <w:lang w:val="es-CR"/>
        </w:rPr>
        <w:t xml:space="preserve">El presupuesto deberá incorporar una asignación equivalente al 3% de los recursos transferidos por el </w:t>
      </w:r>
      <w:proofErr w:type="spellStart"/>
      <w:r w:rsidRPr="00E86086">
        <w:rPr>
          <w:rFonts w:ascii="Arial" w:eastAsia="Calibri" w:hAnsi="Arial" w:cs="Arial"/>
          <w:lang w:val="es-CR"/>
        </w:rPr>
        <w:t>FEES</w:t>
      </w:r>
      <w:proofErr w:type="spellEnd"/>
      <w:r w:rsidRPr="00E86086">
        <w:rPr>
          <w:rFonts w:ascii="Arial" w:eastAsia="Calibri" w:hAnsi="Arial" w:cs="Arial"/>
          <w:lang w:val="es-CR"/>
        </w:rPr>
        <w:t xml:space="preserve">, la misma cifra del </w:t>
      </w:r>
      <w:proofErr w:type="spellStart"/>
      <w:r w:rsidRPr="00E86086">
        <w:rPr>
          <w:rFonts w:ascii="Arial" w:eastAsia="Calibri" w:hAnsi="Arial" w:cs="Arial"/>
          <w:lang w:val="es-CR"/>
        </w:rPr>
        <w:t>FEES</w:t>
      </w:r>
      <w:proofErr w:type="spellEnd"/>
      <w:r w:rsidRPr="00E86086">
        <w:rPr>
          <w:rFonts w:ascii="Arial" w:eastAsia="Calibri" w:hAnsi="Arial" w:cs="Arial"/>
          <w:lang w:val="es-CR"/>
        </w:rPr>
        <w:t xml:space="preserve"> Institucional, la cual será utilizada para financiar el desarrollo de la investigación, extensión y posgrados. Este fondo será administrado por la Vicerrectoría de Investigación y Extensión y se considera de carácter restringido. </w:t>
      </w:r>
    </w:p>
    <w:p w:rsidR="00E86086" w:rsidRPr="00E86086" w:rsidRDefault="00E86086" w:rsidP="00E86086">
      <w:pPr>
        <w:ind w:left="1134" w:right="306" w:hanging="567"/>
        <w:contextualSpacing/>
        <w:jc w:val="both"/>
        <w:rPr>
          <w:rFonts w:ascii="Arial" w:eastAsia="Calibri" w:hAnsi="Arial" w:cs="Arial"/>
          <w:sz w:val="20"/>
          <w:szCs w:val="20"/>
          <w:lang w:val="es-CR"/>
        </w:rPr>
      </w:pPr>
    </w:p>
    <w:p w:rsidR="00E86086" w:rsidRPr="00E86086" w:rsidRDefault="00E86086" w:rsidP="00E86086">
      <w:pPr>
        <w:numPr>
          <w:ilvl w:val="1"/>
          <w:numId w:val="20"/>
        </w:numPr>
        <w:ind w:left="1134" w:right="306" w:hanging="567"/>
        <w:contextualSpacing/>
        <w:jc w:val="both"/>
        <w:rPr>
          <w:rFonts w:ascii="Arial" w:eastAsia="Calibri" w:hAnsi="Arial" w:cs="Arial"/>
          <w:lang w:val="es-CR"/>
        </w:rPr>
      </w:pPr>
      <w:r w:rsidRPr="00E86086">
        <w:rPr>
          <w:rFonts w:ascii="Arial" w:eastAsia="Calibri" w:hAnsi="Arial" w:cs="Arial"/>
          <w:lang w:val="es-CR"/>
        </w:rPr>
        <w:t xml:space="preserve">El presupuesto deberá incorporar una previsión de 261 millones de colones de los recursos transferidos por el </w:t>
      </w:r>
      <w:proofErr w:type="spellStart"/>
      <w:r w:rsidRPr="00E86086">
        <w:rPr>
          <w:rFonts w:ascii="Arial" w:eastAsia="Calibri" w:hAnsi="Arial" w:cs="Arial"/>
          <w:lang w:val="es-CR"/>
        </w:rPr>
        <w:t>FEES</w:t>
      </w:r>
      <w:proofErr w:type="spellEnd"/>
      <w:r w:rsidRPr="00E86086">
        <w:rPr>
          <w:rFonts w:ascii="Arial" w:eastAsia="Calibri" w:hAnsi="Arial" w:cs="Arial"/>
          <w:lang w:val="es-CR"/>
        </w:rPr>
        <w:t xml:space="preserve">, la misma cifra del </w:t>
      </w:r>
      <w:proofErr w:type="spellStart"/>
      <w:r w:rsidRPr="00E86086">
        <w:rPr>
          <w:rFonts w:ascii="Arial" w:eastAsia="Calibri" w:hAnsi="Arial" w:cs="Arial"/>
          <w:lang w:val="es-CR"/>
        </w:rPr>
        <w:t>FEES</w:t>
      </w:r>
      <w:proofErr w:type="spellEnd"/>
      <w:r w:rsidRPr="00E86086">
        <w:rPr>
          <w:rFonts w:ascii="Arial" w:eastAsia="Calibri" w:hAnsi="Arial" w:cs="Arial"/>
          <w:lang w:val="es-CR"/>
        </w:rPr>
        <w:t xml:space="preserve"> utilizada en la relación Masa Salarial/</w:t>
      </w:r>
      <w:proofErr w:type="spellStart"/>
      <w:r w:rsidRPr="00E86086">
        <w:rPr>
          <w:rFonts w:ascii="Arial" w:eastAsia="Calibri" w:hAnsi="Arial" w:cs="Arial"/>
          <w:lang w:val="es-CR"/>
        </w:rPr>
        <w:t>FEES</w:t>
      </w:r>
      <w:proofErr w:type="spellEnd"/>
      <w:r w:rsidRPr="00E86086">
        <w:rPr>
          <w:rFonts w:ascii="Arial" w:eastAsia="Calibri" w:hAnsi="Arial" w:cs="Arial"/>
          <w:lang w:val="es-CR"/>
        </w:rPr>
        <w:t xml:space="preserve"> mencionada anteriormente, para financiar la automatización y mejora de procesos mediante la utilización de sistemas de información. Estos recursos serán priorizados por el Comité   Estratégico de Tecnologías de Información y Comunicación y administrados por el Departamento de Administración de Tecnologías de Información y se consideran un fondo restringido. </w:t>
      </w:r>
    </w:p>
    <w:p w:rsidR="00E86086" w:rsidRPr="00E86086" w:rsidRDefault="00E86086" w:rsidP="00E86086">
      <w:pPr>
        <w:ind w:left="1134" w:right="306" w:hanging="567"/>
        <w:contextualSpacing/>
        <w:jc w:val="both"/>
        <w:rPr>
          <w:rFonts w:ascii="Arial" w:eastAsia="Calibri" w:hAnsi="Arial" w:cs="Arial"/>
          <w:sz w:val="20"/>
          <w:szCs w:val="20"/>
          <w:lang w:val="es-CR"/>
        </w:rPr>
      </w:pPr>
    </w:p>
    <w:p w:rsidR="00E86086" w:rsidRPr="00E86086" w:rsidRDefault="00E86086" w:rsidP="00E86086">
      <w:pPr>
        <w:numPr>
          <w:ilvl w:val="1"/>
          <w:numId w:val="20"/>
        </w:numPr>
        <w:ind w:left="1134" w:right="306" w:hanging="567"/>
        <w:contextualSpacing/>
        <w:jc w:val="both"/>
        <w:rPr>
          <w:rFonts w:ascii="Arial" w:eastAsia="Calibri" w:hAnsi="Arial" w:cs="Arial"/>
          <w:lang w:val="es-CR"/>
        </w:rPr>
      </w:pPr>
      <w:r w:rsidRPr="00E86086">
        <w:rPr>
          <w:rFonts w:ascii="Arial" w:eastAsia="Calibri" w:hAnsi="Arial" w:cs="Arial"/>
          <w:lang w:val="es-CR"/>
        </w:rPr>
        <w:t xml:space="preserve">El presupuesto deberá incorporar una previsión de 25 millones de colones de los recursos transferidos por el </w:t>
      </w:r>
      <w:proofErr w:type="spellStart"/>
      <w:r w:rsidRPr="00E86086">
        <w:rPr>
          <w:rFonts w:ascii="Arial" w:eastAsia="Calibri" w:hAnsi="Arial" w:cs="Arial"/>
          <w:lang w:val="es-CR"/>
        </w:rPr>
        <w:t>FEES</w:t>
      </w:r>
      <w:proofErr w:type="spellEnd"/>
      <w:r w:rsidRPr="00E86086">
        <w:rPr>
          <w:rFonts w:ascii="Arial" w:eastAsia="Calibri" w:hAnsi="Arial" w:cs="Arial"/>
          <w:lang w:val="es-CR"/>
        </w:rPr>
        <w:t xml:space="preserve">, la misma cifra del </w:t>
      </w:r>
      <w:proofErr w:type="spellStart"/>
      <w:r w:rsidRPr="00E86086">
        <w:rPr>
          <w:rFonts w:ascii="Arial" w:eastAsia="Calibri" w:hAnsi="Arial" w:cs="Arial"/>
          <w:lang w:val="es-CR"/>
        </w:rPr>
        <w:t>FEES</w:t>
      </w:r>
      <w:proofErr w:type="spellEnd"/>
      <w:r w:rsidRPr="00E86086">
        <w:rPr>
          <w:rFonts w:ascii="Arial" w:eastAsia="Calibri" w:hAnsi="Arial" w:cs="Arial"/>
          <w:lang w:val="es-CR"/>
        </w:rPr>
        <w:t xml:space="preserve"> utilizada en la relación Masa Salarial/</w:t>
      </w:r>
      <w:proofErr w:type="spellStart"/>
      <w:r w:rsidRPr="00E86086">
        <w:rPr>
          <w:rFonts w:ascii="Arial" w:eastAsia="Calibri" w:hAnsi="Arial" w:cs="Arial"/>
          <w:lang w:val="es-CR"/>
        </w:rPr>
        <w:t>FEES</w:t>
      </w:r>
      <w:proofErr w:type="spellEnd"/>
      <w:r w:rsidRPr="00E86086">
        <w:rPr>
          <w:rFonts w:ascii="Arial" w:eastAsia="Calibri" w:hAnsi="Arial" w:cs="Arial"/>
          <w:lang w:val="es-CR"/>
        </w:rPr>
        <w:t xml:space="preserve"> mencionada anteriormente, para financiar la implementación del programa de mejora continua y del modelo de excelencia en la gestión. Serán administrados por la Oficina de Planificación Institucional para financiar los proyectos de mejora en todas las dependencias involucradas en el modelo de excelencia en la gestión.</w:t>
      </w:r>
    </w:p>
    <w:p w:rsidR="00E86086" w:rsidRPr="00E86086" w:rsidRDefault="00E86086" w:rsidP="00E86086">
      <w:pPr>
        <w:ind w:left="1134" w:right="306" w:hanging="567"/>
        <w:contextualSpacing/>
        <w:jc w:val="both"/>
        <w:rPr>
          <w:rFonts w:ascii="Arial" w:eastAsia="Calibri" w:hAnsi="Arial" w:cs="Arial"/>
          <w:sz w:val="20"/>
          <w:szCs w:val="20"/>
          <w:lang w:val="es-CR"/>
        </w:rPr>
      </w:pPr>
    </w:p>
    <w:p w:rsidR="00E86086" w:rsidRPr="00E86086" w:rsidRDefault="00E86086" w:rsidP="00E86086">
      <w:pPr>
        <w:numPr>
          <w:ilvl w:val="1"/>
          <w:numId w:val="20"/>
        </w:numPr>
        <w:ind w:left="1134" w:right="306" w:hanging="567"/>
        <w:contextualSpacing/>
        <w:jc w:val="both"/>
        <w:rPr>
          <w:rFonts w:ascii="Arial" w:eastAsia="Calibri" w:hAnsi="Arial" w:cs="Arial"/>
          <w:lang w:val="es-CR"/>
        </w:rPr>
      </w:pPr>
      <w:r w:rsidRPr="00E86086">
        <w:rPr>
          <w:rFonts w:ascii="Arial" w:eastAsia="Calibri" w:hAnsi="Arial" w:cs="Arial"/>
          <w:lang w:val="es-CR"/>
        </w:rPr>
        <w:t xml:space="preserve">El presupuesto deberá de incorporar 20 millones de colones del </w:t>
      </w:r>
      <w:proofErr w:type="spellStart"/>
      <w:r w:rsidRPr="00E86086">
        <w:rPr>
          <w:rFonts w:ascii="Arial" w:eastAsia="Calibri" w:hAnsi="Arial" w:cs="Arial"/>
          <w:lang w:val="es-CR"/>
        </w:rPr>
        <w:t>FEES</w:t>
      </w:r>
      <w:proofErr w:type="spellEnd"/>
      <w:r w:rsidRPr="00E86086">
        <w:rPr>
          <w:rFonts w:ascii="Arial" w:eastAsia="Calibri" w:hAnsi="Arial" w:cs="Arial"/>
          <w:lang w:val="es-CR"/>
        </w:rPr>
        <w:t xml:space="preserve"> para hacer pre-inversión para la atracción de recursos externos en dinero en efectivo. Estos recursos serán administrados por la VIE.</w:t>
      </w:r>
    </w:p>
    <w:p w:rsidR="00E86086" w:rsidRPr="00E86086" w:rsidRDefault="00E86086" w:rsidP="00E86086">
      <w:pPr>
        <w:ind w:left="1134" w:right="306" w:hanging="567"/>
        <w:contextualSpacing/>
        <w:jc w:val="both"/>
        <w:rPr>
          <w:rFonts w:ascii="Arial" w:eastAsia="Calibri" w:hAnsi="Arial" w:cs="Arial"/>
          <w:sz w:val="20"/>
          <w:szCs w:val="20"/>
          <w:lang w:val="es-CR"/>
        </w:rPr>
      </w:pPr>
    </w:p>
    <w:p w:rsidR="00E86086" w:rsidRPr="00E86086" w:rsidRDefault="00E86086" w:rsidP="00E86086">
      <w:pPr>
        <w:numPr>
          <w:ilvl w:val="1"/>
          <w:numId w:val="20"/>
        </w:numPr>
        <w:ind w:left="1134" w:right="306" w:hanging="567"/>
        <w:contextualSpacing/>
        <w:jc w:val="both"/>
        <w:rPr>
          <w:rFonts w:ascii="Arial" w:eastAsia="Calibri" w:hAnsi="Arial" w:cs="Arial"/>
          <w:lang w:val="es-CR"/>
        </w:rPr>
      </w:pPr>
      <w:r w:rsidRPr="00E86086">
        <w:rPr>
          <w:rFonts w:ascii="Arial" w:eastAsia="Calibri" w:hAnsi="Arial" w:cs="Arial"/>
          <w:lang w:val="es-CR"/>
        </w:rPr>
        <w:t xml:space="preserve">El presupuesto deberá incorporar un fondo de contrapartida un monto de 35 millones de colones del </w:t>
      </w:r>
      <w:proofErr w:type="spellStart"/>
      <w:r w:rsidRPr="00E86086">
        <w:rPr>
          <w:rFonts w:ascii="Arial" w:eastAsia="Calibri" w:hAnsi="Arial" w:cs="Arial"/>
          <w:lang w:val="es-CR"/>
        </w:rPr>
        <w:t>FEES</w:t>
      </w:r>
      <w:proofErr w:type="spellEnd"/>
      <w:r w:rsidRPr="00E86086">
        <w:rPr>
          <w:rFonts w:ascii="Arial" w:eastAsia="Calibri" w:hAnsi="Arial" w:cs="Arial"/>
          <w:lang w:val="es-CR"/>
        </w:rPr>
        <w:t>, para proyectos de investigación y extensión que contengan un componente de aporte externo en efectivo, los cuales serán incorporados mediante financiamiento externo. Estos recursos serán administrados por la VIE.</w:t>
      </w:r>
    </w:p>
    <w:p w:rsidR="00E86086" w:rsidRPr="00E86086" w:rsidRDefault="00E86086" w:rsidP="00E86086">
      <w:pPr>
        <w:ind w:left="1134" w:right="306" w:hanging="567"/>
        <w:contextualSpacing/>
        <w:jc w:val="both"/>
        <w:rPr>
          <w:rFonts w:ascii="Arial" w:eastAsia="Calibri" w:hAnsi="Arial" w:cs="Arial"/>
          <w:sz w:val="20"/>
          <w:szCs w:val="20"/>
          <w:lang w:val="es-CR"/>
        </w:rPr>
      </w:pPr>
    </w:p>
    <w:p w:rsidR="00E86086" w:rsidRPr="00E86086" w:rsidRDefault="00E86086" w:rsidP="00E86086">
      <w:pPr>
        <w:numPr>
          <w:ilvl w:val="1"/>
          <w:numId w:val="22"/>
        </w:numPr>
        <w:ind w:left="1134" w:right="306" w:hanging="567"/>
        <w:contextualSpacing/>
        <w:jc w:val="both"/>
        <w:rPr>
          <w:rFonts w:ascii="Arial" w:eastAsia="Calibri" w:hAnsi="Arial" w:cs="Arial"/>
          <w:lang w:val="es-CR"/>
        </w:rPr>
      </w:pPr>
      <w:r w:rsidRPr="00E86086">
        <w:rPr>
          <w:rFonts w:ascii="Arial" w:eastAsia="Calibri" w:hAnsi="Arial" w:cs="Arial"/>
          <w:lang w:val="es-CR"/>
        </w:rPr>
        <w:lastRenderedPageBreak/>
        <w:t xml:space="preserve">Las transferencias a la Federación de Estudiantes del Tecnológico se calcula tomando como base los acuerdos de asignación presupuestaria vigentes, por parte del Consejo Institucional.  El monto establecido es de 100 millones de colones, según el </w:t>
      </w:r>
      <w:r w:rsidRPr="00E86086">
        <w:rPr>
          <w:rFonts w:ascii="Arial" w:hAnsi="Arial" w:cs="Arial"/>
          <w:color w:val="000000"/>
          <w:lang w:val="es-CR"/>
        </w:rPr>
        <w:t xml:space="preserve">“Acuerdo entre la </w:t>
      </w:r>
      <w:proofErr w:type="spellStart"/>
      <w:r w:rsidRPr="00E86086">
        <w:rPr>
          <w:rFonts w:ascii="Arial" w:hAnsi="Arial" w:cs="Arial"/>
          <w:color w:val="000000"/>
          <w:lang w:val="es-CR"/>
        </w:rPr>
        <w:t>FEITEC</w:t>
      </w:r>
      <w:proofErr w:type="spellEnd"/>
      <w:r w:rsidRPr="00E86086">
        <w:rPr>
          <w:rFonts w:ascii="Arial" w:hAnsi="Arial" w:cs="Arial"/>
          <w:color w:val="000000"/>
          <w:lang w:val="es-CR"/>
        </w:rPr>
        <w:t xml:space="preserve"> y la Administración sobre la distribución del Presupuesto 2018”.</w:t>
      </w:r>
    </w:p>
    <w:p w:rsidR="00E86086" w:rsidRPr="00E86086" w:rsidRDefault="00E86086" w:rsidP="00E86086">
      <w:pPr>
        <w:ind w:left="1134" w:right="306" w:hanging="567"/>
        <w:contextualSpacing/>
        <w:jc w:val="both"/>
        <w:rPr>
          <w:rFonts w:ascii="Arial" w:eastAsia="Calibri" w:hAnsi="Arial" w:cs="Arial"/>
          <w:sz w:val="20"/>
          <w:szCs w:val="20"/>
          <w:lang w:val="es-CR"/>
        </w:rPr>
      </w:pPr>
    </w:p>
    <w:p w:rsidR="00E86086" w:rsidRPr="00E86086" w:rsidRDefault="00E86086" w:rsidP="00E86086">
      <w:pPr>
        <w:numPr>
          <w:ilvl w:val="0"/>
          <w:numId w:val="16"/>
        </w:numPr>
        <w:ind w:left="426" w:hanging="426"/>
        <w:jc w:val="both"/>
        <w:rPr>
          <w:rFonts w:ascii="Arial" w:eastAsia="ヒラギノ角ゴ Pro W3" w:hAnsi="Arial" w:cs="Arial"/>
          <w:lang w:val="es-MX" w:eastAsia="es-CR"/>
        </w:rPr>
      </w:pPr>
      <w:r w:rsidRPr="00E86086">
        <w:rPr>
          <w:rFonts w:ascii="Arial" w:eastAsia="ヒラギノ角ゴ Pro W3" w:hAnsi="Arial" w:cs="Arial"/>
          <w:lang w:val="es-MX" w:eastAsia="es-CR"/>
        </w:rPr>
        <w:t xml:space="preserve">Incorporar en las </w:t>
      </w:r>
      <w:r w:rsidRPr="00E86086">
        <w:rPr>
          <w:rFonts w:ascii="Arial" w:hAnsi="Arial" w:cs="Arial"/>
          <w:lang w:val="es-CR"/>
        </w:rPr>
        <w:t>Disposiciones para la Formulación Presupuestaria del Instituto Tecnológico de Costa Rica para el 2018,</w:t>
      </w:r>
      <w:r w:rsidRPr="00E86086">
        <w:rPr>
          <w:rFonts w:ascii="Arial" w:eastAsia="ヒラギノ角ゴ Pro W3" w:hAnsi="Arial" w:cs="Arial"/>
          <w:lang w:val="es-MX" w:eastAsia="es-CR"/>
        </w:rPr>
        <w:t xml:space="preserve"> un monto de 20 millones de colones como reserva de emergencia.</w:t>
      </w:r>
    </w:p>
    <w:p w:rsidR="00E86086" w:rsidRPr="00E86086" w:rsidRDefault="00E86086" w:rsidP="00E86086">
      <w:pPr>
        <w:ind w:left="1134" w:right="306" w:hanging="567"/>
        <w:contextualSpacing/>
        <w:jc w:val="both"/>
        <w:rPr>
          <w:rFonts w:ascii="Arial" w:eastAsia="Calibri" w:hAnsi="Arial" w:cs="Arial"/>
          <w:sz w:val="20"/>
          <w:szCs w:val="20"/>
          <w:lang w:val="es-CR"/>
        </w:rPr>
      </w:pPr>
    </w:p>
    <w:p w:rsidR="00E86086" w:rsidRPr="00E86086" w:rsidRDefault="00E86086" w:rsidP="00E86086">
      <w:pPr>
        <w:numPr>
          <w:ilvl w:val="0"/>
          <w:numId w:val="16"/>
        </w:numPr>
        <w:ind w:left="426" w:hanging="426"/>
        <w:jc w:val="both"/>
        <w:rPr>
          <w:rFonts w:ascii="Arial" w:hAnsi="Arial" w:cs="Arial"/>
        </w:rPr>
      </w:pPr>
      <w:r w:rsidRPr="00E86086">
        <w:rPr>
          <w:rFonts w:ascii="Arial" w:hAnsi="Arial" w:cs="Arial"/>
        </w:rPr>
        <w:t xml:space="preserve">Reiterar a la Administración que los recursos asignados a estas reservas sean reforzados en el transcurso del 2018, según las </w:t>
      </w:r>
      <w:r w:rsidRPr="00E86086">
        <w:rPr>
          <w:rFonts w:ascii="Arial" w:hAnsi="Arial" w:cs="Arial"/>
          <w:lang w:val="es-CR"/>
        </w:rPr>
        <w:t xml:space="preserve">“Disposiciones para la Formulación Presupuestaria del Instituto Tecnológico de Costa Rica para el 2018”, aprobados en la Sesión Ordinaria No. 3016, Artículo 11, del 29 de marzo de 2017, </w:t>
      </w:r>
      <w:r w:rsidRPr="00E86086">
        <w:rPr>
          <w:rFonts w:ascii="Arial" w:hAnsi="Arial" w:cs="Arial"/>
        </w:rPr>
        <w:t xml:space="preserve">con la </w:t>
      </w:r>
      <w:proofErr w:type="spellStart"/>
      <w:r w:rsidRPr="00E86086">
        <w:rPr>
          <w:rFonts w:ascii="Arial" w:hAnsi="Arial" w:cs="Arial"/>
        </w:rPr>
        <w:t>presupuestación</w:t>
      </w:r>
      <w:proofErr w:type="spellEnd"/>
      <w:r w:rsidRPr="00E86086">
        <w:rPr>
          <w:rFonts w:ascii="Arial" w:hAnsi="Arial" w:cs="Arial"/>
        </w:rPr>
        <w:t xml:space="preserve"> oportuna de los saldos en fondos restringidos que resulten del ejercicio presupuestario del 2017.</w:t>
      </w:r>
    </w:p>
    <w:p w:rsidR="00E86086" w:rsidRPr="00E86086" w:rsidRDefault="00E86086" w:rsidP="00E86086">
      <w:pPr>
        <w:contextualSpacing/>
        <w:jc w:val="both"/>
        <w:rPr>
          <w:rFonts w:ascii="Arial" w:hAnsi="Arial" w:cs="Arial"/>
          <w:color w:val="FF0000"/>
          <w:lang w:val="es-CR"/>
        </w:rPr>
      </w:pPr>
    </w:p>
    <w:p w:rsidR="00BD426A" w:rsidRPr="00E86086" w:rsidRDefault="00BD426A" w:rsidP="00BD426A">
      <w:pPr>
        <w:jc w:val="both"/>
        <w:rPr>
          <w:rFonts w:ascii="Arial" w:eastAsia="Cambria" w:hAnsi="Arial" w:cs="Arial"/>
          <w:lang w:eastAsia="en-US"/>
        </w:rPr>
      </w:pPr>
    </w:p>
    <w:p w:rsidR="00BD426A" w:rsidRPr="00BD426A" w:rsidRDefault="00BD426A" w:rsidP="00E86086">
      <w:pPr>
        <w:numPr>
          <w:ilvl w:val="0"/>
          <w:numId w:val="16"/>
        </w:numPr>
        <w:ind w:left="426" w:hanging="426"/>
        <w:jc w:val="both"/>
        <w:rPr>
          <w:rFonts w:ascii="Arial" w:hAnsi="Arial" w:cs="Arial"/>
          <w:b/>
          <w:lang w:val="es-CR"/>
        </w:rPr>
      </w:pPr>
      <w:r w:rsidRPr="00BD426A">
        <w:rPr>
          <w:rFonts w:ascii="Arial" w:eastAsia="Calibri" w:hAnsi="Arial" w:cs="Arial"/>
          <w:lang w:val="es-ES_tradnl"/>
        </w:rPr>
        <w:t>Comunicar</w:t>
      </w:r>
      <w:r w:rsidRPr="00BD426A">
        <w:rPr>
          <w:rFonts w:ascii="Arial" w:hAnsi="Arial" w:cs="Arial"/>
          <w:lang w:val="es-CR"/>
        </w:rPr>
        <w:t xml:space="preserve">.  </w:t>
      </w:r>
      <w:r w:rsidRPr="00BD426A">
        <w:rPr>
          <w:rFonts w:ascii="Arial" w:hAnsi="Arial" w:cs="Arial"/>
          <w:b/>
          <w:lang w:val="es-CR"/>
        </w:rPr>
        <w:t xml:space="preserve">ACUERDO FIRME. </w:t>
      </w:r>
    </w:p>
    <w:p w:rsidR="00E00132" w:rsidRDefault="00E00132" w:rsidP="00E00132">
      <w:pPr>
        <w:ind w:left="360"/>
        <w:jc w:val="both"/>
        <w:rPr>
          <w:rFonts w:ascii="Arial" w:eastAsia="Cambria" w:hAnsi="Arial" w:cs="Arial"/>
          <w:b/>
          <w:lang w:val="es-ES_tradnl" w:eastAsia="en-US"/>
        </w:rPr>
      </w:pPr>
    </w:p>
    <w:p w:rsidR="00E86086" w:rsidRPr="00E86086" w:rsidRDefault="00E86086" w:rsidP="00E86086">
      <w:pPr>
        <w:rPr>
          <w:rFonts w:ascii="Arial" w:hAnsi="Arial" w:cs="Arial"/>
          <w:b/>
          <w:i/>
          <w:sz w:val="18"/>
          <w:szCs w:val="18"/>
        </w:rPr>
      </w:pPr>
      <w:r w:rsidRPr="00E86086">
        <w:rPr>
          <w:rFonts w:ascii="Arial" w:hAnsi="Arial" w:cs="Arial"/>
          <w:b/>
          <w:i/>
          <w:sz w:val="18"/>
          <w:szCs w:val="18"/>
        </w:rPr>
        <w:t>Palabras Clave: modificación    – disposiciones – formulación – presupuestaria – 2018 - reservas</w:t>
      </w:r>
    </w:p>
    <w:p w:rsidR="00E86086" w:rsidRPr="00E86086" w:rsidRDefault="00E86086" w:rsidP="00E86086">
      <w:pPr>
        <w:jc w:val="both"/>
        <w:rPr>
          <w:rFonts w:ascii="Arial" w:hAnsi="Arial" w:cs="Arial"/>
          <w:b/>
          <w:i/>
        </w:rPr>
      </w:pPr>
    </w:p>
    <w:p w:rsidR="00E86086" w:rsidRPr="00E86086" w:rsidRDefault="00E86086" w:rsidP="00E00132">
      <w:pPr>
        <w:ind w:left="360"/>
        <w:jc w:val="both"/>
        <w:rPr>
          <w:rFonts w:ascii="Arial" w:eastAsia="Cambria" w:hAnsi="Arial" w:cs="Arial"/>
          <w:b/>
          <w:lang w:eastAsia="en-US"/>
        </w:rPr>
      </w:pPr>
    </w:p>
    <w:p w:rsidR="000D220C" w:rsidRPr="000D220C" w:rsidRDefault="000D220C" w:rsidP="000A6BE8">
      <w:pPr>
        <w:ind w:right="-91"/>
        <w:jc w:val="both"/>
        <w:rPr>
          <w:rFonts w:ascii="Arial" w:hAnsi="Arial" w:cs="Arial"/>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EC73DD" w:rsidTr="008F3D1E">
        <w:trPr>
          <w:trHeight w:val="183"/>
        </w:trPr>
        <w:tc>
          <w:tcPr>
            <w:tcW w:w="4361" w:type="dxa"/>
          </w:tcPr>
          <w:p w:rsidR="00EC73DD" w:rsidRDefault="00EC73DD" w:rsidP="00E87657">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800060" w:rsidRDefault="00800060" w:rsidP="00800060">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800060" w:rsidRDefault="00800060" w:rsidP="00800060">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800060" w:rsidRDefault="00800060" w:rsidP="00800060">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800060" w:rsidRDefault="00800060" w:rsidP="00800060">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800060" w:rsidRDefault="00800060" w:rsidP="00800060">
            <w:pPr>
              <w:ind w:left="720" w:hanging="720"/>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FEITEC</w:t>
            </w:r>
            <w:proofErr w:type="spellEnd"/>
          </w:p>
          <w:p w:rsidR="00800060" w:rsidRDefault="00800060" w:rsidP="00800060">
            <w:pPr>
              <w:ind w:left="-567" w:firstLine="567"/>
              <w:jc w:val="both"/>
              <w:rPr>
                <w:rFonts w:ascii="Arial" w:eastAsia="Cambria" w:hAnsi="Arial" w:cs="Arial"/>
                <w:b/>
                <w:sz w:val="16"/>
                <w:szCs w:val="16"/>
                <w:lang w:val="es-ES_tradnl" w:eastAsia="en-US"/>
              </w:rPr>
            </w:pPr>
          </w:p>
          <w:p w:rsidR="00EC73DD" w:rsidRDefault="00EC73DD" w:rsidP="00E87657">
            <w:pPr>
              <w:ind w:left="-567" w:firstLine="567"/>
              <w:jc w:val="both"/>
              <w:rPr>
                <w:rFonts w:ascii="Arial" w:eastAsia="Cambria" w:hAnsi="Arial" w:cs="Arial"/>
                <w:b/>
                <w:sz w:val="16"/>
                <w:szCs w:val="16"/>
                <w:lang w:val="es-ES_tradnl" w:eastAsia="en-US"/>
              </w:rPr>
            </w:pPr>
          </w:p>
          <w:p w:rsidR="00EC73DD" w:rsidRDefault="00EC73DD" w:rsidP="00E87657">
            <w:pPr>
              <w:ind w:left="-567" w:firstLine="567"/>
              <w:jc w:val="both"/>
              <w:rPr>
                <w:rFonts w:ascii="Arial" w:eastAsia="Cambria" w:hAnsi="Arial" w:cs="Arial"/>
                <w:b/>
                <w:sz w:val="16"/>
                <w:szCs w:val="16"/>
                <w:lang w:val="es-ES_tradnl"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p w:rsidR="00EC73DD" w:rsidRDefault="00EC73DD" w:rsidP="00E87657">
            <w:pPr>
              <w:rPr>
                <w:rFonts w:ascii="Arial" w:eastAsia="Cambria" w:hAnsi="Arial" w:cs="Arial"/>
                <w:b/>
                <w:sz w:val="16"/>
                <w:szCs w:val="16"/>
                <w:lang w:val="es-CR" w:eastAsia="en-US"/>
              </w:rPr>
            </w:pPr>
          </w:p>
        </w:tc>
        <w:tc>
          <w:tcPr>
            <w:tcW w:w="4361" w:type="dxa"/>
          </w:tcPr>
          <w:p w:rsidR="00EC73DD" w:rsidRDefault="00EC73DD" w:rsidP="00E87657">
            <w:pPr>
              <w:jc w:val="both"/>
              <w:rPr>
                <w:rFonts w:ascii="Arial" w:eastAsia="Cambria" w:hAnsi="Arial" w:cs="Arial"/>
                <w:b/>
                <w:sz w:val="16"/>
                <w:szCs w:val="16"/>
                <w:lang w:val="es-ES_tradnl" w:eastAsia="en-US"/>
              </w:rPr>
            </w:pPr>
          </w:p>
        </w:tc>
        <w:tc>
          <w:tcPr>
            <w:tcW w:w="5103" w:type="dxa"/>
          </w:tcPr>
          <w:p w:rsidR="00EC73DD" w:rsidRDefault="00EC73DD" w:rsidP="00E87657">
            <w:pPr>
              <w:jc w:val="both"/>
              <w:rPr>
                <w:rFonts w:ascii="Arial" w:eastAsia="Cambria" w:hAnsi="Arial" w:cs="Arial"/>
                <w:b/>
                <w:sz w:val="16"/>
                <w:szCs w:val="16"/>
                <w:lang w:val="es-ES_tradnl" w:eastAsia="en-US"/>
              </w:rPr>
            </w:pPr>
          </w:p>
        </w:tc>
      </w:tr>
    </w:tbl>
    <w:p w:rsidR="008D0FEC" w:rsidRDefault="008D0FEC" w:rsidP="009912AB">
      <w:pPr>
        <w:jc w:val="both"/>
        <w:rPr>
          <w:rFonts w:ascii="Arial" w:hAnsi="Arial" w:cs="Arial"/>
          <w:b/>
          <w:i/>
          <w:sz w:val="22"/>
          <w:szCs w:val="22"/>
        </w:rPr>
      </w:pPr>
    </w:p>
    <w:sectPr w:rsidR="008D0FEC" w:rsidSect="00CE0215">
      <w:headerReference w:type="default" r:id="rId9"/>
      <w:footerReference w:type="default" r:id="rId10"/>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879" w:rsidRDefault="007B7879">
      <w:r>
        <w:separator/>
      </w:r>
    </w:p>
  </w:endnote>
  <w:endnote w:type="continuationSeparator" w:id="0">
    <w:p w:rsidR="007B7879" w:rsidRDefault="007B7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879" w:rsidRDefault="007B7879">
      <w:r>
        <w:separator/>
      </w:r>
    </w:p>
  </w:footnote>
  <w:footnote w:type="continuationSeparator" w:id="0">
    <w:p w:rsidR="007B7879" w:rsidRDefault="007B78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7D71B4">
      <w:rPr>
        <w:rFonts w:ascii="Arial" w:eastAsia="Cambria" w:hAnsi="Arial" w:cs="Arial"/>
        <w:i/>
        <w:sz w:val="18"/>
        <w:szCs w:val="18"/>
        <w:lang w:val="es-ES_tradnl" w:eastAsia="x-none"/>
      </w:rPr>
      <w:t>3</w:t>
    </w:r>
    <w:r w:rsidR="00E86086">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Artículo </w:t>
    </w:r>
    <w:r w:rsidR="00E86086">
      <w:rPr>
        <w:rFonts w:ascii="Arial" w:eastAsia="Cambria" w:hAnsi="Arial" w:cs="Arial"/>
        <w:i/>
        <w:sz w:val="18"/>
        <w:szCs w:val="18"/>
        <w:lang w:val="es-ES_tradnl" w:eastAsia="x-none"/>
      </w:rPr>
      <w:t>13</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E86086">
      <w:rPr>
        <w:rFonts w:ascii="Arial" w:eastAsia="Cambria" w:hAnsi="Arial" w:cs="Arial"/>
        <w:i/>
        <w:sz w:val="18"/>
        <w:szCs w:val="18"/>
        <w:lang w:val="es-ES_tradnl" w:eastAsia="x-none"/>
      </w:rPr>
      <w:t>06</w:t>
    </w:r>
    <w:r w:rsidR="006442DF">
      <w:rPr>
        <w:rFonts w:ascii="Arial" w:eastAsia="Cambria" w:hAnsi="Arial" w:cs="Arial"/>
        <w:i/>
        <w:sz w:val="18"/>
        <w:szCs w:val="18"/>
        <w:lang w:val="es-ES_tradnl" w:eastAsia="x-none"/>
      </w:rPr>
      <w:t xml:space="preserve"> de </w:t>
    </w:r>
    <w:r w:rsidR="00E86086">
      <w:rPr>
        <w:rFonts w:ascii="Arial" w:eastAsia="Cambria" w:hAnsi="Arial" w:cs="Arial"/>
        <w:i/>
        <w:sz w:val="18"/>
        <w:szCs w:val="18"/>
        <w:lang w:val="es-ES_tradnl" w:eastAsia="x-none"/>
      </w:rPr>
      <w:t>setiembre</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E86086">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615D8"/>
    <w:multiLevelType w:val="hybridMultilevel"/>
    <w:tmpl w:val="5CAA4AF0"/>
    <w:lvl w:ilvl="0" w:tplc="92425010">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F9E165C"/>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22112137"/>
    <w:multiLevelType w:val="hybridMultilevel"/>
    <w:tmpl w:val="AA6CA650"/>
    <w:lvl w:ilvl="0" w:tplc="FC782FC8">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12B780F"/>
    <w:multiLevelType w:val="hybridMultilevel"/>
    <w:tmpl w:val="9D4A950C"/>
    <w:lvl w:ilvl="0" w:tplc="5490769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1415028"/>
    <w:multiLevelType w:val="hybridMultilevel"/>
    <w:tmpl w:val="2F6A76EC"/>
    <w:lvl w:ilvl="0" w:tplc="E6E2F4DC">
      <w:start w:val="2"/>
      <w:numFmt w:val="upperLetter"/>
      <w:lvlText w:val="%1."/>
      <w:lvlJc w:val="left"/>
      <w:pPr>
        <w:ind w:left="786" w:hanging="360"/>
      </w:pPr>
      <w:rPr>
        <w:rFonts w:hint="default"/>
        <w:b w:val="0"/>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7" w15:restartNumberingAfterBreak="0">
    <w:nsid w:val="36F508C0"/>
    <w:multiLevelType w:val="hybridMultilevel"/>
    <w:tmpl w:val="6E30ABC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D27504C"/>
    <w:multiLevelType w:val="multilevel"/>
    <w:tmpl w:val="1550EBCC"/>
    <w:lvl w:ilvl="0">
      <w:start w:val="3"/>
      <w:numFmt w:val="decimal"/>
      <w:lvlText w:val="%1"/>
      <w:lvlJc w:val="left"/>
      <w:pPr>
        <w:ind w:left="360" w:hanging="360"/>
      </w:pPr>
      <w:rPr>
        <w:rFonts w:hint="default"/>
      </w:rPr>
    </w:lvl>
    <w:lvl w:ilvl="1">
      <w:start w:val="8"/>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3F2D6BA4"/>
    <w:multiLevelType w:val="hybridMultilevel"/>
    <w:tmpl w:val="21BEB8BC"/>
    <w:lvl w:ilvl="0" w:tplc="BC908D92">
      <w:start w:val="1"/>
      <w:numFmt w:val="lowerLetter"/>
      <w:lvlText w:val="%1."/>
      <w:lvlJc w:val="left"/>
      <w:pPr>
        <w:ind w:left="720" w:hanging="360"/>
      </w:pPr>
      <w:rPr>
        <w:rFonts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48CA3797"/>
    <w:multiLevelType w:val="hybridMultilevel"/>
    <w:tmpl w:val="9B8E25EC"/>
    <w:lvl w:ilvl="0" w:tplc="FFA0489A">
      <w:start w:val="1"/>
      <w:numFmt w:val="lowerLetter"/>
      <w:lvlText w:val="%1."/>
      <w:lvlJc w:val="left"/>
      <w:pPr>
        <w:ind w:left="1002" w:hanging="360"/>
      </w:pPr>
      <w:rPr>
        <w:rFonts w:cs="TTE1865388t00" w:hint="default"/>
        <w:b/>
        <w:i w:val="0"/>
      </w:rPr>
    </w:lvl>
    <w:lvl w:ilvl="1" w:tplc="140A0019">
      <w:start w:val="1"/>
      <w:numFmt w:val="lowerLetter"/>
      <w:lvlText w:val="%2."/>
      <w:lvlJc w:val="left"/>
      <w:pPr>
        <w:ind w:left="1722" w:hanging="360"/>
      </w:pPr>
    </w:lvl>
    <w:lvl w:ilvl="2" w:tplc="140A001B" w:tentative="1">
      <w:start w:val="1"/>
      <w:numFmt w:val="lowerRoman"/>
      <w:lvlText w:val="%3."/>
      <w:lvlJc w:val="right"/>
      <w:pPr>
        <w:ind w:left="2442" w:hanging="180"/>
      </w:pPr>
    </w:lvl>
    <w:lvl w:ilvl="3" w:tplc="140A000F" w:tentative="1">
      <w:start w:val="1"/>
      <w:numFmt w:val="decimal"/>
      <w:lvlText w:val="%4."/>
      <w:lvlJc w:val="left"/>
      <w:pPr>
        <w:ind w:left="3162" w:hanging="360"/>
      </w:pPr>
    </w:lvl>
    <w:lvl w:ilvl="4" w:tplc="140A0019" w:tentative="1">
      <w:start w:val="1"/>
      <w:numFmt w:val="lowerLetter"/>
      <w:lvlText w:val="%5."/>
      <w:lvlJc w:val="left"/>
      <w:pPr>
        <w:ind w:left="3882" w:hanging="360"/>
      </w:pPr>
    </w:lvl>
    <w:lvl w:ilvl="5" w:tplc="140A001B" w:tentative="1">
      <w:start w:val="1"/>
      <w:numFmt w:val="lowerRoman"/>
      <w:lvlText w:val="%6."/>
      <w:lvlJc w:val="right"/>
      <w:pPr>
        <w:ind w:left="4602" w:hanging="180"/>
      </w:pPr>
    </w:lvl>
    <w:lvl w:ilvl="6" w:tplc="140A000F" w:tentative="1">
      <w:start w:val="1"/>
      <w:numFmt w:val="decimal"/>
      <w:lvlText w:val="%7."/>
      <w:lvlJc w:val="left"/>
      <w:pPr>
        <w:ind w:left="5322" w:hanging="360"/>
      </w:pPr>
    </w:lvl>
    <w:lvl w:ilvl="7" w:tplc="140A0019" w:tentative="1">
      <w:start w:val="1"/>
      <w:numFmt w:val="lowerLetter"/>
      <w:lvlText w:val="%8."/>
      <w:lvlJc w:val="left"/>
      <w:pPr>
        <w:ind w:left="6042" w:hanging="360"/>
      </w:pPr>
    </w:lvl>
    <w:lvl w:ilvl="8" w:tplc="140A001B" w:tentative="1">
      <w:start w:val="1"/>
      <w:numFmt w:val="lowerRoman"/>
      <w:lvlText w:val="%9."/>
      <w:lvlJc w:val="right"/>
      <w:pPr>
        <w:ind w:left="6762" w:hanging="180"/>
      </w:pPr>
    </w:lvl>
  </w:abstractNum>
  <w:abstractNum w:abstractNumId="13" w15:restartNumberingAfterBreak="0">
    <w:nsid w:val="49824FDD"/>
    <w:multiLevelType w:val="hybridMultilevel"/>
    <w:tmpl w:val="DF2665AA"/>
    <w:lvl w:ilvl="0" w:tplc="7AA8EE2E">
      <w:start w:val="1"/>
      <w:numFmt w:val="decimal"/>
      <w:lvlText w:val="%1."/>
      <w:lvlJc w:val="left"/>
      <w:pPr>
        <w:ind w:left="720" w:hanging="360"/>
      </w:pPr>
      <w:rPr>
        <w:b/>
      </w:rPr>
    </w:lvl>
    <w:lvl w:ilvl="1" w:tplc="60B21C56">
      <w:start w:val="1"/>
      <w:numFmt w:val="lowerLetter"/>
      <w:lvlText w:val="%2."/>
      <w:lvlJc w:val="left"/>
      <w:pPr>
        <w:ind w:left="1440" w:hanging="360"/>
      </w:pPr>
      <w:rPr>
        <w:b/>
        <w:strike w:val="0"/>
        <w:sz w:val="24"/>
        <w:szCs w:val="24"/>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0D1C3762">
      <w:start w:val="1"/>
      <w:numFmt w:val="lowerLetter"/>
      <w:lvlText w:val="%5."/>
      <w:lvlJc w:val="left"/>
      <w:pPr>
        <w:ind w:left="3600" w:hanging="360"/>
      </w:pPr>
      <w:rPr>
        <w:b/>
      </w:r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15:restartNumberingAfterBreak="0">
    <w:nsid w:val="51FB6156"/>
    <w:multiLevelType w:val="hybridMultilevel"/>
    <w:tmpl w:val="FC7A95B6"/>
    <w:lvl w:ilvl="0" w:tplc="EA9883D4">
      <w:start w:val="1"/>
      <w:numFmt w:val="lowerLetter"/>
      <w:lvlText w:val="%1."/>
      <w:lvlJc w:val="left"/>
      <w:pPr>
        <w:ind w:left="720" w:hanging="360"/>
      </w:pPr>
      <w:rPr>
        <w:rFonts w:hint="default"/>
        <w:b/>
        <w:i w:val="0"/>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2781768"/>
    <w:multiLevelType w:val="multilevel"/>
    <w:tmpl w:val="E4E4B9E8"/>
    <w:lvl w:ilvl="0">
      <w:start w:val="3"/>
      <w:numFmt w:val="decimal"/>
      <w:lvlText w:val="%1"/>
      <w:lvlJc w:val="left"/>
      <w:pPr>
        <w:ind w:left="360" w:hanging="360"/>
      </w:pPr>
      <w:rPr>
        <w:rFonts w:hint="default"/>
      </w:rPr>
    </w:lvl>
    <w:lvl w:ilvl="1">
      <w:start w:val="10"/>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15:restartNumberingAfterBreak="0">
    <w:nsid w:val="52C75E0E"/>
    <w:multiLevelType w:val="multilevel"/>
    <w:tmpl w:val="E8A6C252"/>
    <w:lvl w:ilvl="0">
      <w:start w:val="3"/>
      <w:numFmt w:val="decimal"/>
      <w:lvlText w:val="%1"/>
      <w:lvlJc w:val="left"/>
      <w:pPr>
        <w:ind w:left="360" w:hanging="360"/>
      </w:pPr>
      <w:rPr>
        <w:rFonts w:hint="default"/>
      </w:rPr>
    </w:lvl>
    <w:lvl w:ilvl="1">
      <w:start w:val="8"/>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6F316AB8"/>
    <w:multiLevelType w:val="multilevel"/>
    <w:tmpl w:val="E1ACFE72"/>
    <w:lvl w:ilvl="0">
      <w:start w:val="3"/>
      <w:numFmt w:val="decimal"/>
      <w:lvlText w:val="%1"/>
      <w:lvlJc w:val="left"/>
      <w:pPr>
        <w:ind w:left="360" w:hanging="360"/>
      </w:pPr>
      <w:rPr>
        <w:rFonts w:hint="default"/>
      </w:rPr>
    </w:lvl>
    <w:lvl w:ilvl="1">
      <w:start w:val="16"/>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74037B2F"/>
    <w:multiLevelType w:val="hybridMultilevel"/>
    <w:tmpl w:val="46BCEADC"/>
    <w:lvl w:ilvl="0" w:tplc="A568F86A">
      <w:start w:val="1"/>
      <w:numFmt w:val="decimal"/>
      <w:lvlText w:val="%1."/>
      <w:lvlJc w:val="left"/>
      <w:pPr>
        <w:ind w:left="720" w:hanging="360"/>
      </w:pPr>
      <w:rPr>
        <w:rFonts w:ascii="Arial" w:hAnsi="Arial" w:cs="Arial" w:hint="default"/>
        <w:b/>
        <w:i w:val="0"/>
        <w:color w:val="auto"/>
        <w:sz w:val="24"/>
        <w:szCs w:val="24"/>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77FE1E15"/>
    <w:multiLevelType w:val="hybridMultilevel"/>
    <w:tmpl w:val="602278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7D561769"/>
    <w:multiLevelType w:val="hybridMultilevel"/>
    <w:tmpl w:val="D2B88E86"/>
    <w:lvl w:ilvl="0" w:tplc="D9C01D0E">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9"/>
  </w:num>
  <w:num w:numId="4">
    <w:abstractNumId w:val="20"/>
  </w:num>
  <w:num w:numId="5">
    <w:abstractNumId w:val="13"/>
  </w:num>
  <w:num w:numId="6">
    <w:abstractNumId w:val="3"/>
  </w:num>
  <w:num w:numId="7">
    <w:abstractNumId w:val="5"/>
  </w:num>
  <w:num w:numId="8">
    <w:abstractNumId w:val="6"/>
  </w:num>
  <w:num w:numId="9">
    <w:abstractNumId w:val="13"/>
  </w:num>
  <w:num w:numId="10">
    <w:abstractNumId w:val="4"/>
  </w:num>
  <w:num w:numId="11">
    <w:abstractNumId w:val="14"/>
  </w:num>
  <w:num w:numId="12">
    <w:abstractNumId w:val="11"/>
  </w:num>
  <w:num w:numId="13">
    <w:abstractNumId w:val="0"/>
  </w:num>
  <w:num w:numId="14">
    <w:abstractNumId w:val="7"/>
  </w:num>
  <w:num w:numId="15">
    <w:abstractNumId w:val="19"/>
  </w:num>
  <w:num w:numId="16">
    <w:abstractNumId w:val="12"/>
  </w:num>
  <w:num w:numId="17">
    <w:abstractNumId w:val="18"/>
  </w:num>
  <w:num w:numId="18">
    <w:abstractNumId w:val="8"/>
  </w:num>
  <w:num w:numId="19">
    <w:abstractNumId w:val="16"/>
  </w:num>
  <w:num w:numId="20">
    <w:abstractNumId w:val="15"/>
  </w:num>
  <w:num w:numId="21">
    <w:abstractNumId w:val="10"/>
  </w:num>
  <w:num w:numId="2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6111"/>
    <w:rsid w:val="001644B1"/>
    <w:rsid w:val="00165556"/>
    <w:rsid w:val="00165902"/>
    <w:rsid w:val="00165B51"/>
    <w:rsid w:val="00165C83"/>
    <w:rsid w:val="00165F34"/>
    <w:rsid w:val="00166375"/>
    <w:rsid w:val="00171AC3"/>
    <w:rsid w:val="001746E5"/>
    <w:rsid w:val="0018030A"/>
    <w:rsid w:val="001806C4"/>
    <w:rsid w:val="00182124"/>
    <w:rsid w:val="00187E0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7455"/>
    <w:rsid w:val="0034046D"/>
    <w:rsid w:val="00340863"/>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7349"/>
    <w:rsid w:val="003F7807"/>
    <w:rsid w:val="003F7A14"/>
    <w:rsid w:val="00400C92"/>
    <w:rsid w:val="0040137C"/>
    <w:rsid w:val="004023E1"/>
    <w:rsid w:val="004053D4"/>
    <w:rsid w:val="004060DD"/>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56CF"/>
    <w:rsid w:val="00515CEC"/>
    <w:rsid w:val="00523260"/>
    <w:rsid w:val="0052523D"/>
    <w:rsid w:val="00525250"/>
    <w:rsid w:val="00525FBA"/>
    <w:rsid w:val="005300C8"/>
    <w:rsid w:val="00530CF9"/>
    <w:rsid w:val="00531529"/>
    <w:rsid w:val="005318C7"/>
    <w:rsid w:val="00531D6E"/>
    <w:rsid w:val="00532545"/>
    <w:rsid w:val="00532698"/>
    <w:rsid w:val="00533095"/>
    <w:rsid w:val="00533D6D"/>
    <w:rsid w:val="00535BFB"/>
    <w:rsid w:val="00537CCA"/>
    <w:rsid w:val="00540263"/>
    <w:rsid w:val="00540BF7"/>
    <w:rsid w:val="005428FF"/>
    <w:rsid w:val="00542FD2"/>
    <w:rsid w:val="00543D7B"/>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2F6"/>
    <w:rsid w:val="0075179A"/>
    <w:rsid w:val="00751AB1"/>
    <w:rsid w:val="007553D4"/>
    <w:rsid w:val="00760AD1"/>
    <w:rsid w:val="00761133"/>
    <w:rsid w:val="007619FB"/>
    <w:rsid w:val="00763AF2"/>
    <w:rsid w:val="00767AF5"/>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B7879"/>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7114"/>
    <w:rsid w:val="00800060"/>
    <w:rsid w:val="00803BB3"/>
    <w:rsid w:val="00804036"/>
    <w:rsid w:val="008071A7"/>
    <w:rsid w:val="00807CCB"/>
    <w:rsid w:val="008101FC"/>
    <w:rsid w:val="008108E8"/>
    <w:rsid w:val="0081353F"/>
    <w:rsid w:val="00816407"/>
    <w:rsid w:val="00823CC6"/>
    <w:rsid w:val="00825809"/>
    <w:rsid w:val="00825F93"/>
    <w:rsid w:val="00831982"/>
    <w:rsid w:val="0083257F"/>
    <w:rsid w:val="00835E65"/>
    <w:rsid w:val="00837AFC"/>
    <w:rsid w:val="008434BA"/>
    <w:rsid w:val="00845D24"/>
    <w:rsid w:val="00851093"/>
    <w:rsid w:val="008522DF"/>
    <w:rsid w:val="008544DB"/>
    <w:rsid w:val="00862FA3"/>
    <w:rsid w:val="00862FDC"/>
    <w:rsid w:val="00863F94"/>
    <w:rsid w:val="00865845"/>
    <w:rsid w:val="008757CC"/>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69A0"/>
    <w:rsid w:val="00A405DB"/>
    <w:rsid w:val="00A54E67"/>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4A78"/>
    <w:rsid w:val="00AA5259"/>
    <w:rsid w:val="00AA542A"/>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40B55"/>
    <w:rsid w:val="00B415F0"/>
    <w:rsid w:val="00B4627C"/>
    <w:rsid w:val="00B47959"/>
    <w:rsid w:val="00B500C3"/>
    <w:rsid w:val="00B50C53"/>
    <w:rsid w:val="00B50DD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578A"/>
    <w:rsid w:val="00C06CDD"/>
    <w:rsid w:val="00C1061F"/>
    <w:rsid w:val="00C10AC0"/>
    <w:rsid w:val="00C11B55"/>
    <w:rsid w:val="00C11CB1"/>
    <w:rsid w:val="00C16E0E"/>
    <w:rsid w:val="00C229BF"/>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11488"/>
    <w:rsid w:val="00E12B5E"/>
    <w:rsid w:val="00E158A2"/>
    <w:rsid w:val="00E16F62"/>
    <w:rsid w:val="00E22D17"/>
    <w:rsid w:val="00E26992"/>
    <w:rsid w:val="00E30502"/>
    <w:rsid w:val="00E359B9"/>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1E9F"/>
    <w:rsid w:val="00E82183"/>
    <w:rsid w:val="00E85F6A"/>
    <w:rsid w:val="00E86086"/>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D231E-6F59-4508-9E79-56857438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5</Pages>
  <Words>1656</Words>
  <Characters>9114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10749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140</cp:revision>
  <cp:lastPrinted>2017-08-30T22:31:00Z</cp:lastPrinted>
  <dcterms:created xsi:type="dcterms:W3CDTF">2016-10-05T20:00:00Z</dcterms:created>
  <dcterms:modified xsi:type="dcterms:W3CDTF">2017-09-06T22:20:00Z</dcterms:modified>
</cp:coreProperties>
</file>