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4F1CA4">
        <w:rPr>
          <w:rFonts w:ascii="Arial" w:hAnsi="Arial" w:cs="Arial"/>
          <w:b/>
          <w:bCs/>
          <w:iCs/>
          <w:sz w:val="26"/>
          <w:szCs w:val="22"/>
          <w:lang w:val="es-CR"/>
        </w:rPr>
        <w:t>5</w:t>
      </w:r>
      <w:r w:rsidR="00930E22">
        <w:rPr>
          <w:rFonts w:ascii="Arial" w:hAnsi="Arial" w:cs="Arial"/>
          <w:b/>
          <w:bCs/>
          <w:iCs/>
          <w:sz w:val="26"/>
          <w:szCs w:val="22"/>
          <w:lang w:val="es-CR"/>
        </w:rPr>
        <w:t>79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930E22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FA361C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37455"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Humberto Villalta, Vicerrector de Administración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de Investigación y Extensión 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Vargas, Director Sede Regional San Carlos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Arq. Marlene Ilama, Directora Centro Académico de San José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</w:t>
            </w: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 Centro Académico de Alajuela</w:t>
            </w:r>
          </w:p>
          <w:p w:rsidR="003044A8" w:rsidRPr="00CE2110" w:rsidRDefault="003044A8" w:rsidP="003044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Jiménez, Directora Centro Académico de Limón</w:t>
            </w:r>
          </w:p>
          <w:p w:rsidR="003044A8" w:rsidRPr="00CE2110" w:rsidRDefault="003044A8" w:rsidP="003044A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Licda. Ericka Quirós</w:t>
            </w: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Oficina Planificación Institucional</w:t>
            </w:r>
          </w:p>
          <w:p w:rsidR="003044A8" w:rsidRDefault="003044A8" w:rsidP="003044A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Comunidad Institucional</w:t>
            </w:r>
          </w:p>
          <w:p w:rsidR="002D76DD" w:rsidRPr="002D6978" w:rsidRDefault="002D76DD" w:rsidP="00930E22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BE225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>
              <w:rPr>
                <w:rFonts w:ascii="Arial" w:eastAsia="SimSun" w:hAnsi="Arial" w:cs="Arial"/>
                <w:b/>
                <w:lang w:val="es-ES_tradnl" w:eastAsia="en-US"/>
              </w:rPr>
              <w:t>De:</w:t>
            </w:r>
          </w:p>
        </w:tc>
        <w:tc>
          <w:tcPr>
            <w:tcW w:w="8221" w:type="dxa"/>
          </w:tcPr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267FAF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7F1052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  <w:r w:rsidRPr="007F1052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930E22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06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setiembre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930E22" w:rsidRPr="00930E22" w:rsidRDefault="007742A1" w:rsidP="00930E22">
            <w:pPr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267FAF" w:rsidRPr="00267FAF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930E22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30E22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930E22">
              <w:rPr>
                <w:rFonts w:ascii="Arial" w:eastAsia="Calibri" w:hAnsi="Arial" w:cs="Arial"/>
                <w:b/>
                <w:sz w:val="22"/>
                <w:szCs w:val="22"/>
              </w:rPr>
              <w:t>06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930E22">
              <w:rPr>
                <w:rFonts w:ascii="Arial" w:eastAsia="Calibri" w:hAnsi="Arial" w:cs="Arial"/>
                <w:b/>
                <w:sz w:val="22"/>
                <w:szCs w:val="22"/>
              </w:rPr>
              <w:t>setiembre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</w:t>
            </w:r>
            <w:proofErr w:type="spellEnd"/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2017</w:t>
            </w:r>
            <w:r w:rsidR="001E08C0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930E22" w:rsidRPr="00930E22">
              <w:rPr>
                <w:rFonts w:ascii="Arial" w:hAnsi="Arial" w:cs="Arial"/>
                <w:b/>
                <w:sz w:val="22"/>
                <w:szCs w:val="22"/>
              </w:rPr>
              <w:t>Consulta a la comunidad institucional sobre reforma al Artículo 51 del Estatuto Orgánico: modificación del texto del tercer párrafo</w:t>
            </w:r>
            <w:r w:rsidR="00930E22" w:rsidRPr="00930E22">
              <w:rPr>
                <w:rFonts w:ascii="Arial" w:hAnsi="Arial" w:cs="Arial"/>
                <w:b/>
              </w:rPr>
              <w:t>.</w:t>
            </w:r>
          </w:p>
          <w:p w:rsidR="009A1634" w:rsidRPr="009A1634" w:rsidRDefault="009A1634" w:rsidP="009A1634">
            <w:pPr>
              <w:jc w:val="both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CE5E1A" w:rsidRPr="007416EC" w:rsidRDefault="00CE5E1A" w:rsidP="007416EC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ES_tradnl" w:eastAsia="en-US"/>
              </w:rPr>
            </w:pPr>
          </w:p>
        </w:tc>
      </w:tr>
    </w:tbl>
    <w:p w:rsidR="007416EC" w:rsidRDefault="007416E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9A1634" w:rsidRDefault="009A1634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930E22" w:rsidRPr="00930E22" w:rsidRDefault="00930E22" w:rsidP="00930E22">
      <w:pPr>
        <w:rPr>
          <w:rFonts w:ascii="Arial" w:hAnsi="Arial" w:cs="Arial"/>
          <w:b/>
        </w:rPr>
      </w:pPr>
      <w:r w:rsidRPr="00930E22">
        <w:rPr>
          <w:rFonts w:ascii="Arial" w:hAnsi="Arial" w:cs="Arial"/>
          <w:b/>
        </w:rPr>
        <w:t>RESULTANDO QUE:</w:t>
      </w:r>
    </w:p>
    <w:p w:rsidR="00930E22" w:rsidRPr="00930E22" w:rsidRDefault="00930E22" w:rsidP="00930E22">
      <w:pPr>
        <w:rPr>
          <w:rFonts w:ascii="Arial" w:hAnsi="Arial" w:cs="Arial"/>
          <w:b/>
        </w:rPr>
      </w:pPr>
    </w:p>
    <w:p w:rsidR="00930E22" w:rsidRPr="00930E22" w:rsidRDefault="00930E22" w:rsidP="00930E22">
      <w:pPr>
        <w:numPr>
          <w:ilvl w:val="0"/>
          <w:numId w:val="20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930E22">
        <w:rPr>
          <w:rFonts w:ascii="Arial" w:hAnsi="Arial" w:cs="Arial"/>
        </w:rPr>
        <w:t>El tercer párrafo del artículo 51, del Estatuto Orgánico indica lo siguiente:</w:t>
      </w:r>
    </w:p>
    <w:p w:rsidR="00930E22" w:rsidRPr="00930E22" w:rsidRDefault="00930E22" w:rsidP="00930E22">
      <w:pPr>
        <w:jc w:val="both"/>
        <w:rPr>
          <w:rFonts w:ascii="Arial" w:hAnsi="Arial" w:cs="Arial"/>
        </w:rPr>
      </w:pPr>
    </w:p>
    <w:p w:rsidR="00930E22" w:rsidRPr="00930E22" w:rsidRDefault="00930E22" w:rsidP="00930E22">
      <w:pPr>
        <w:ind w:left="709" w:right="424"/>
        <w:jc w:val="both"/>
        <w:rPr>
          <w:rFonts w:ascii="Arial" w:hAnsi="Arial" w:cs="Arial"/>
          <w:i/>
        </w:rPr>
      </w:pPr>
      <w:r w:rsidRPr="00930E22">
        <w:rPr>
          <w:rFonts w:ascii="Arial" w:hAnsi="Arial" w:cs="Arial"/>
          <w:i/>
        </w:rPr>
        <w:t>“Los departamentos académicos son aquellos que tienen la responsabilidad de ofrecer enseñanza, investigación y extensión. Podrán desarrollar proyectos productivos según sus posibilidades”.</w:t>
      </w:r>
    </w:p>
    <w:p w:rsidR="00930E22" w:rsidRPr="00930E22" w:rsidRDefault="00930E22" w:rsidP="00930E22">
      <w:pPr>
        <w:jc w:val="both"/>
        <w:rPr>
          <w:rFonts w:ascii="Arial" w:hAnsi="Arial" w:cs="Arial"/>
        </w:rPr>
      </w:pPr>
    </w:p>
    <w:p w:rsidR="00930E22" w:rsidRDefault="00930E22" w:rsidP="00930E22">
      <w:pPr>
        <w:spacing w:before="120"/>
        <w:jc w:val="both"/>
        <w:rPr>
          <w:rFonts w:ascii="Arial" w:hAnsi="Arial" w:cs="Arial"/>
          <w:b/>
        </w:rPr>
      </w:pPr>
      <w:r w:rsidRPr="00930E22">
        <w:rPr>
          <w:rFonts w:ascii="Arial" w:hAnsi="Arial" w:cs="Arial"/>
          <w:b/>
        </w:rPr>
        <w:t>CONSIDERANDO QUE:</w:t>
      </w:r>
    </w:p>
    <w:p w:rsidR="00930E22" w:rsidRPr="00930E22" w:rsidRDefault="00930E22" w:rsidP="00930E22">
      <w:pPr>
        <w:spacing w:before="120"/>
        <w:jc w:val="both"/>
        <w:rPr>
          <w:rFonts w:ascii="Arial" w:hAnsi="Arial" w:cs="Arial"/>
          <w:b/>
        </w:rPr>
      </w:pPr>
    </w:p>
    <w:p w:rsidR="00930E22" w:rsidRPr="00930E22" w:rsidRDefault="00930E22" w:rsidP="00930E22">
      <w:pPr>
        <w:numPr>
          <w:ilvl w:val="0"/>
          <w:numId w:val="22"/>
        </w:numPr>
        <w:ind w:left="284"/>
        <w:jc w:val="both"/>
        <w:rPr>
          <w:rFonts w:ascii="Arial" w:hAnsi="Arial" w:cs="Arial"/>
          <w:color w:val="0000FF"/>
        </w:rPr>
      </w:pPr>
      <w:r w:rsidRPr="00930E22">
        <w:rPr>
          <w:rFonts w:ascii="Arial" w:hAnsi="Arial" w:cs="Arial"/>
        </w:rPr>
        <w:t>El concepto de proyecto hace relación a un conjunto de actividades ordenadas enfocadas en conseguir uno o más objetivo concretos por medio de planes específicos.</w:t>
      </w:r>
    </w:p>
    <w:p w:rsidR="00930E22" w:rsidRPr="00930E22" w:rsidRDefault="00930E22" w:rsidP="00930E22">
      <w:pPr>
        <w:ind w:left="-76"/>
        <w:jc w:val="both"/>
        <w:rPr>
          <w:rFonts w:ascii="Arial" w:hAnsi="Arial" w:cs="Arial"/>
          <w:color w:val="0000FF"/>
        </w:rPr>
      </w:pPr>
    </w:p>
    <w:p w:rsidR="00930E22" w:rsidRPr="00930E22" w:rsidRDefault="00930E22" w:rsidP="00930E22">
      <w:pPr>
        <w:numPr>
          <w:ilvl w:val="0"/>
          <w:numId w:val="22"/>
        </w:numPr>
        <w:ind w:left="284"/>
        <w:jc w:val="both"/>
        <w:rPr>
          <w:rFonts w:ascii="Arial" w:hAnsi="Arial" w:cs="Arial"/>
          <w:color w:val="0000FF"/>
        </w:rPr>
      </w:pPr>
      <w:r w:rsidRPr="00930E22">
        <w:rPr>
          <w:rFonts w:ascii="Arial" w:hAnsi="Arial" w:cs="Arial"/>
        </w:rPr>
        <w:t>La experiencia generada por más de 21 años en las Unidades Productivas del Programa de Producción Agropecuaria (</w:t>
      </w:r>
      <w:proofErr w:type="spellStart"/>
      <w:r w:rsidRPr="00930E22">
        <w:rPr>
          <w:rFonts w:ascii="Arial" w:hAnsi="Arial" w:cs="Arial"/>
        </w:rPr>
        <w:t>PPA</w:t>
      </w:r>
      <w:proofErr w:type="spellEnd"/>
      <w:r w:rsidRPr="00930E22">
        <w:rPr>
          <w:rFonts w:ascii="Arial" w:hAnsi="Arial" w:cs="Arial"/>
        </w:rPr>
        <w:t>), ha revelado que algunas iniciativas planteadas originalmente como proyectos se convierten en actividades permanentes de carácter puntual.</w:t>
      </w:r>
    </w:p>
    <w:p w:rsidR="00930E22" w:rsidRPr="00930E22" w:rsidRDefault="00930E22" w:rsidP="00930E22">
      <w:pPr>
        <w:ind w:left="720"/>
        <w:contextualSpacing/>
        <w:rPr>
          <w:rFonts w:ascii="Arial" w:hAnsi="Arial" w:cs="Arial"/>
          <w:color w:val="0000FF"/>
        </w:rPr>
      </w:pPr>
    </w:p>
    <w:p w:rsidR="00930E22" w:rsidRPr="00930E22" w:rsidRDefault="00930E22" w:rsidP="00930E22">
      <w:pPr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930E22">
        <w:rPr>
          <w:rFonts w:ascii="Arial" w:hAnsi="Arial" w:cs="Arial"/>
        </w:rPr>
        <w:lastRenderedPageBreak/>
        <w:t>En consideración del principio de legalidad es necesario modificar el artículo 51 del Estatuto Orgánico, de manera que las Escuelas estén autorizadas no sólo a desarrollar proyectos productivos, sino también actividades productivas puntuales.</w:t>
      </w:r>
    </w:p>
    <w:p w:rsidR="00930E22" w:rsidRPr="00930E22" w:rsidRDefault="00930E22" w:rsidP="00930E22">
      <w:pPr>
        <w:ind w:left="720"/>
        <w:contextualSpacing/>
        <w:rPr>
          <w:rFonts w:ascii="Arial" w:hAnsi="Arial" w:cs="Arial"/>
          <w:color w:val="0000FF"/>
        </w:rPr>
      </w:pPr>
    </w:p>
    <w:p w:rsidR="00930E22" w:rsidRPr="00930E22" w:rsidRDefault="00930E22" w:rsidP="00930E22">
      <w:pPr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930E22">
        <w:rPr>
          <w:rFonts w:ascii="Arial" w:hAnsi="Arial" w:cs="Arial"/>
        </w:rPr>
        <w:t>La Comisión Permanente de Estatuto Orgánico dictaminó, en reunión No. 270-2017, del 31 de agosto de 2017, lo siguiente:</w:t>
      </w:r>
    </w:p>
    <w:p w:rsidR="00930E22" w:rsidRPr="00930E22" w:rsidRDefault="00930E22" w:rsidP="00930E22">
      <w:pPr>
        <w:jc w:val="both"/>
        <w:rPr>
          <w:rFonts w:ascii="Arial" w:hAnsi="Arial" w:cs="Arial"/>
        </w:rPr>
      </w:pPr>
    </w:p>
    <w:p w:rsidR="00930E22" w:rsidRPr="00930E22" w:rsidRDefault="00930E22" w:rsidP="00930E22">
      <w:pPr>
        <w:ind w:left="720" w:right="849"/>
        <w:contextualSpacing/>
        <w:jc w:val="both"/>
        <w:rPr>
          <w:rFonts w:ascii="Arial" w:hAnsi="Arial" w:cs="Arial"/>
          <w:i/>
          <w:lang w:eastAsia="es-CR"/>
        </w:rPr>
      </w:pPr>
      <w:r w:rsidRPr="00930E22">
        <w:rPr>
          <w:rFonts w:ascii="Arial" w:hAnsi="Arial" w:cs="Arial"/>
          <w:i/>
          <w:lang w:eastAsia="es-CR"/>
        </w:rPr>
        <w:t>Recomendar al Consejo Institucional la reforma del tercer párrafo del artículo 51 del Estatuto Orgánico, de manera que se lea de la siguiente manera:</w:t>
      </w:r>
    </w:p>
    <w:p w:rsidR="00930E22" w:rsidRPr="00930E22" w:rsidRDefault="00930E22" w:rsidP="00930E22">
      <w:pPr>
        <w:ind w:left="426"/>
        <w:rPr>
          <w:rFonts w:ascii="Arial" w:hAnsi="Arial" w:cs="Arial"/>
          <w:i/>
          <w:sz w:val="20"/>
          <w:szCs w:val="20"/>
        </w:rPr>
      </w:pPr>
    </w:p>
    <w:p w:rsidR="00930E22" w:rsidRPr="00930E22" w:rsidRDefault="00930E22" w:rsidP="00930E22">
      <w:pPr>
        <w:ind w:left="993" w:right="1133"/>
        <w:contextualSpacing/>
        <w:jc w:val="both"/>
        <w:rPr>
          <w:rFonts w:ascii="Arial" w:hAnsi="Arial" w:cs="Arial"/>
          <w:i/>
          <w:lang w:eastAsia="es-CR"/>
        </w:rPr>
      </w:pPr>
      <w:r w:rsidRPr="00930E22">
        <w:rPr>
          <w:rFonts w:ascii="Arial" w:hAnsi="Arial" w:cs="Arial"/>
          <w:i/>
          <w:lang w:eastAsia="es-CR"/>
        </w:rPr>
        <w:t xml:space="preserve">Los departamentos académicos son aquellos que tienen la responsabilidad de ofrecer enseñanza, investigación y extensión. Podrán desarrollar tanto proyectos productivos como </w:t>
      </w:r>
      <w:r w:rsidRPr="00930E22">
        <w:rPr>
          <w:rFonts w:ascii="Arial" w:hAnsi="Arial" w:cs="Arial"/>
          <w:b/>
          <w:i/>
          <w:lang w:eastAsia="es-CR"/>
        </w:rPr>
        <w:t>actividades productivas,</w:t>
      </w:r>
      <w:r w:rsidRPr="00930E22">
        <w:rPr>
          <w:rFonts w:ascii="Arial" w:hAnsi="Arial" w:cs="Arial"/>
          <w:i/>
          <w:lang w:eastAsia="es-CR"/>
        </w:rPr>
        <w:t xml:space="preserve"> según sus posibilidades.</w:t>
      </w:r>
    </w:p>
    <w:p w:rsidR="00930E22" w:rsidRPr="00930E22" w:rsidRDefault="00930E22" w:rsidP="00930E22">
      <w:pPr>
        <w:spacing w:before="120"/>
        <w:ind w:left="-39"/>
        <w:jc w:val="both"/>
        <w:rPr>
          <w:rFonts w:ascii="Arial" w:hAnsi="Arial" w:cs="Arial"/>
        </w:rPr>
      </w:pPr>
    </w:p>
    <w:p w:rsidR="00930E22" w:rsidRPr="00930E22" w:rsidRDefault="00930E22" w:rsidP="00930E22">
      <w:pPr>
        <w:spacing w:after="240"/>
        <w:rPr>
          <w:rFonts w:ascii="Arial" w:hAnsi="Arial" w:cs="Arial"/>
          <w:b/>
        </w:rPr>
      </w:pPr>
      <w:r w:rsidRPr="00930E22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ACUERDA</w:t>
      </w:r>
      <w:r w:rsidRPr="00930E22">
        <w:rPr>
          <w:rFonts w:ascii="Arial" w:hAnsi="Arial" w:cs="Arial"/>
          <w:b/>
        </w:rPr>
        <w:t>:</w:t>
      </w:r>
    </w:p>
    <w:p w:rsidR="00930E22" w:rsidRPr="00930E22" w:rsidRDefault="00930E22" w:rsidP="00930E22">
      <w:pPr>
        <w:numPr>
          <w:ilvl w:val="0"/>
          <w:numId w:val="21"/>
        </w:numPr>
        <w:ind w:left="567" w:hanging="578"/>
        <w:contextualSpacing/>
        <w:jc w:val="both"/>
        <w:rPr>
          <w:rFonts w:ascii="Arial" w:hAnsi="Arial" w:cs="Arial"/>
          <w:color w:val="000000"/>
        </w:rPr>
      </w:pPr>
      <w:r w:rsidRPr="00930E22">
        <w:rPr>
          <w:rFonts w:ascii="Arial" w:hAnsi="Arial" w:cs="Arial"/>
          <w:color w:val="000000"/>
        </w:rPr>
        <w:t xml:space="preserve">Someter a consulta de la comunidad institucional por espacio de veinte días hábiles, la propuesta de modificación del </w:t>
      </w:r>
      <w:r w:rsidRPr="00930E22">
        <w:rPr>
          <w:rFonts w:ascii="Arial" w:hAnsi="Arial" w:cs="Arial"/>
          <w:b/>
          <w:color w:val="000000"/>
        </w:rPr>
        <w:t>tercer párrafo</w:t>
      </w:r>
      <w:r w:rsidRPr="00930E22">
        <w:rPr>
          <w:rFonts w:ascii="Arial" w:hAnsi="Arial" w:cs="Arial"/>
          <w:color w:val="000000"/>
        </w:rPr>
        <w:t xml:space="preserve"> del artículo 51 del Estatuto Orgánico, de manera que sea</w:t>
      </w:r>
      <w:r w:rsidRPr="00930E22">
        <w:rPr>
          <w:rFonts w:ascii="Arial" w:hAnsi="Arial" w:cs="Arial"/>
          <w:lang w:eastAsia="es-CR"/>
        </w:rPr>
        <w:t>:</w:t>
      </w:r>
    </w:p>
    <w:p w:rsidR="004F1CA4" w:rsidRPr="004F1CA4" w:rsidRDefault="004F1CA4" w:rsidP="004F1CA4">
      <w:pPr>
        <w:ind w:left="360" w:right="-91"/>
        <w:jc w:val="both"/>
        <w:rPr>
          <w:rFonts w:ascii="Arial" w:hAnsi="Arial" w:cs="Arial"/>
        </w:rPr>
      </w:pPr>
    </w:p>
    <w:p w:rsidR="009A1634" w:rsidRPr="004F1CA4" w:rsidRDefault="009A1634" w:rsidP="00E00132">
      <w:pPr>
        <w:ind w:left="360"/>
        <w:jc w:val="both"/>
        <w:rPr>
          <w:rFonts w:ascii="Arial" w:eastAsia="Cambria" w:hAnsi="Arial" w:cs="Arial"/>
          <w:b/>
          <w:lang w:eastAsia="en-US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0E22" w:rsidRPr="00930E22" w:rsidTr="000E7625">
        <w:tc>
          <w:tcPr>
            <w:tcW w:w="4247" w:type="dxa"/>
          </w:tcPr>
          <w:p w:rsidR="00930E22" w:rsidRPr="00930E22" w:rsidRDefault="00930E22" w:rsidP="00930E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0E22">
              <w:rPr>
                <w:rFonts w:ascii="Arial" w:hAnsi="Arial" w:cs="Arial"/>
                <w:b/>
                <w:sz w:val="22"/>
                <w:szCs w:val="22"/>
              </w:rPr>
              <w:t>Tercer Párrafo Artículo 51 Vigente</w:t>
            </w:r>
          </w:p>
        </w:tc>
        <w:tc>
          <w:tcPr>
            <w:tcW w:w="4247" w:type="dxa"/>
          </w:tcPr>
          <w:p w:rsidR="00930E22" w:rsidRPr="00930E22" w:rsidRDefault="00930E22" w:rsidP="00930E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0E22">
              <w:rPr>
                <w:rFonts w:ascii="Arial" w:hAnsi="Arial" w:cs="Arial"/>
                <w:b/>
                <w:sz w:val="22"/>
                <w:szCs w:val="22"/>
              </w:rPr>
              <w:t>Tercer Párrafo Artículo 51 Propuesto</w:t>
            </w:r>
          </w:p>
        </w:tc>
      </w:tr>
      <w:tr w:rsidR="00930E22" w:rsidRPr="00930E22" w:rsidTr="000E7625">
        <w:tc>
          <w:tcPr>
            <w:tcW w:w="4247" w:type="dxa"/>
          </w:tcPr>
          <w:p w:rsidR="00930E22" w:rsidRPr="00930E22" w:rsidRDefault="00930E22" w:rsidP="00930E22">
            <w:pPr>
              <w:ind w:left="171" w:right="424"/>
              <w:jc w:val="both"/>
              <w:rPr>
                <w:rFonts w:ascii="Arial" w:hAnsi="Arial" w:cs="Arial"/>
              </w:rPr>
            </w:pPr>
            <w:r w:rsidRPr="00930E22">
              <w:rPr>
                <w:rFonts w:ascii="Arial" w:hAnsi="Arial" w:cs="Arial"/>
              </w:rPr>
              <w:t>Los departamentos académicos son aquellos que tienen la responsabilidad de ofrecer enseñanza, investigación y extensión. Podrán desarrollar proyectos productivos según sus posibilidades”.</w:t>
            </w:r>
          </w:p>
          <w:p w:rsidR="00930E22" w:rsidRPr="00930E22" w:rsidRDefault="00930E22" w:rsidP="00930E22">
            <w:pPr>
              <w:jc w:val="both"/>
              <w:rPr>
                <w:rFonts w:ascii="Arial" w:hAnsi="Arial" w:cs="Arial"/>
              </w:rPr>
            </w:pPr>
          </w:p>
          <w:p w:rsidR="00930E22" w:rsidRPr="00930E22" w:rsidRDefault="00930E22" w:rsidP="00930E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930E22" w:rsidRPr="00930E22" w:rsidRDefault="00930E22" w:rsidP="00930E22">
            <w:pPr>
              <w:ind w:left="35" w:right="566"/>
              <w:jc w:val="both"/>
              <w:rPr>
                <w:rFonts w:ascii="Arial" w:hAnsi="Arial" w:cs="Arial"/>
                <w:lang w:eastAsia="es-CR"/>
              </w:rPr>
            </w:pPr>
            <w:r w:rsidRPr="00930E22">
              <w:rPr>
                <w:rFonts w:ascii="Arial" w:hAnsi="Arial" w:cs="Arial"/>
                <w:lang w:eastAsia="es-CR"/>
              </w:rPr>
              <w:t xml:space="preserve">Los departamentos académicos son aquellos que tienen la responsabilidad de ofrecer enseñanza, investigación y extensión. Podrán desarrollar tanto proyectos productivos como </w:t>
            </w:r>
            <w:r w:rsidRPr="00930E22">
              <w:rPr>
                <w:rFonts w:ascii="Arial" w:hAnsi="Arial" w:cs="Arial"/>
                <w:b/>
                <w:lang w:eastAsia="es-CR"/>
              </w:rPr>
              <w:t>actividades productivas,</w:t>
            </w:r>
            <w:r w:rsidRPr="00930E22">
              <w:rPr>
                <w:rFonts w:ascii="Arial" w:hAnsi="Arial" w:cs="Arial"/>
                <w:lang w:eastAsia="es-CR"/>
              </w:rPr>
              <w:t xml:space="preserve"> según sus posibilidades.</w:t>
            </w:r>
          </w:p>
          <w:p w:rsidR="00930E22" w:rsidRPr="00930E22" w:rsidRDefault="00930E22" w:rsidP="00930E22">
            <w:pPr>
              <w:jc w:val="both"/>
              <w:rPr>
                <w:rFonts w:ascii="Arial" w:hAnsi="Arial" w:cs="Arial"/>
              </w:rPr>
            </w:pPr>
          </w:p>
        </w:tc>
      </w:tr>
    </w:tbl>
    <w:p w:rsidR="00E00132" w:rsidRPr="009A1634" w:rsidRDefault="00E00132" w:rsidP="00E00132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930E22" w:rsidRPr="00930E22" w:rsidRDefault="00930E22" w:rsidP="00930E22">
      <w:pPr>
        <w:numPr>
          <w:ilvl w:val="0"/>
          <w:numId w:val="21"/>
        </w:numPr>
        <w:ind w:left="567" w:hanging="578"/>
        <w:contextualSpacing/>
        <w:jc w:val="both"/>
        <w:rPr>
          <w:rFonts w:ascii="Arial" w:hAnsi="Arial" w:cs="Arial"/>
        </w:rPr>
      </w:pPr>
      <w:r w:rsidRPr="00FE01C8">
        <w:rPr>
          <w:rFonts w:ascii="Arial" w:eastAsia="ヒラギノ角ゴ Pro W3" w:hAnsi="Arial" w:cs="Arial"/>
          <w:bCs/>
          <w:lang w:val="es-CR" w:eastAsia="es-CR"/>
        </w:rPr>
        <w:t>Comunicar</w:t>
      </w:r>
      <w:r w:rsidRPr="00A74C7D">
        <w:rPr>
          <w:rFonts w:ascii="Arial" w:hAnsi="Arial" w:cs="Arial"/>
          <w:iCs/>
        </w:rPr>
        <w:t>.</w:t>
      </w:r>
      <w:r w:rsidRPr="00A74C7D">
        <w:rPr>
          <w:rFonts w:ascii="Arial" w:hAnsi="Arial" w:cs="Arial"/>
        </w:rPr>
        <w:t xml:space="preserve"> </w:t>
      </w:r>
      <w:r w:rsidRPr="00A74C7D">
        <w:rPr>
          <w:rFonts w:ascii="Arial" w:hAnsi="Arial" w:cs="Arial"/>
          <w:b/>
        </w:rPr>
        <w:t>ACUERDO FIRME</w:t>
      </w:r>
      <w:r>
        <w:rPr>
          <w:rFonts w:ascii="Arial" w:hAnsi="Arial" w:cs="Arial"/>
          <w:b/>
        </w:rPr>
        <w:t>.</w:t>
      </w:r>
    </w:p>
    <w:p w:rsidR="00930E22" w:rsidRDefault="00930E22" w:rsidP="00930E22">
      <w:pPr>
        <w:contextualSpacing/>
        <w:jc w:val="both"/>
        <w:rPr>
          <w:rFonts w:ascii="Arial" w:hAnsi="Arial" w:cs="Arial"/>
          <w:b/>
        </w:rPr>
      </w:pPr>
    </w:p>
    <w:p w:rsidR="00930E22" w:rsidRPr="00F2030B" w:rsidRDefault="00930E22" w:rsidP="00930E22">
      <w:pPr>
        <w:contextualSpacing/>
        <w:jc w:val="both"/>
        <w:rPr>
          <w:rFonts w:ascii="Arial" w:hAnsi="Arial" w:cs="Arial"/>
          <w:sz w:val="22"/>
          <w:szCs w:val="22"/>
        </w:rPr>
      </w:pPr>
      <w:r w:rsidRPr="00F2030B">
        <w:rPr>
          <w:rFonts w:ascii="Arial" w:hAnsi="Arial" w:cs="Arial"/>
          <w:b/>
          <w:sz w:val="22"/>
          <w:szCs w:val="22"/>
        </w:rPr>
        <w:t>PALABRAS CLAVE</w:t>
      </w:r>
      <w:proofErr w:type="gramStart"/>
      <w:r w:rsidRPr="00F2030B">
        <w:rPr>
          <w:rFonts w:ascii="Arial" w:hAnsi="Arial" w:cs="Arial"/>
          <w:b/>
          <w:sz w:val="22"/>
          <w:szCs w:val="22"/>
        </w:rPr>
        <w:t xml:space="preserve">:  </w:t>
      </w:r>
      <w:r w:rsidR="00F2030B" w:rsidRPr="00F2030B">
        <w:rPr>
          <w:rFonts w:ascii="Arial" w:hAnsi="Arial" w:cs="Arial"/>
          <w:b/>
          <w:sz w:val="22"/>
          <w:szCs w:val="22"/>
        </w:rPr>
        <w:t>Consulta</w:t>
      </w:r>
      <w:proofErr w:type="gramEnd"/>
      <w:r w:rsidR="00F2030B" w:rsidRPr="00F2030B">
        <w:rPr>
          <w:rFonts w:ascii="Arial" w:hAnsi="Arial" w:cs="Arial"/>
          <w:b/>
          <w:sz w:val="22"/>
          <w:szCs w:val="22"/>
        </w:rPr>
        <w:t xml:space="preserve"> – comunidad institucional – Artículo 51</w:t>
      </w:r>
    </w:p>
    <w:p w:rsidR="00E00132" w:rsidRPr="00E00132" w:rsidRDefault="00E00132" w:rsidP="00930E22">
      <w:pPr>
        <w:ind w:left="567"/>
        <w:contextualSpacing/>
        <w:jc w:val="both"/>
        <w:rPr>
          <w:rFonts w:ascii="Arial" w:eastAsia="Cambria" w:hAnsi="Arial" w:cs="Arial"/>
          <w:b/>
          <w:sz w:val="22"/>
          <w:szCs w:val="22"/>
          <w:lang w:val="es-ES_tradnl" w:eastAsia="en-US"/>
        </w:rPr>
      </w:pPr>
    </w:p>
    <w:p w:rsidR="000D220C" w:rsidRPr="000D220C" w:rsidRDefault="000D220C" w:rsidP="000D220C">
      <w:pPr>
        <w:ind w:left="426" w:right="-91"/>
        <w:jc w:val="both"/>
        <w:rPr>
          <w:rFonts w:ascii="Arial" w:hAnsi="Arial" w:cs="Arial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EC73DD" w:rsidTr="008F3D1E">
        <w:trPr>
          <w:trHeight w:val="183"/>
        </w:trPr>
        <w:tc>
          <w:tcPr>
            <w:tcW w:w="4361" w:type="dxa"/>
          </w:tcPr>
          <w:p w:rsidR="00EC73DD" w:rsidRDefault="00EC73DD" w:rsidP="009C636A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</w:t>
            </w:r>
            <w:r w:rsidR="009C636A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l</w:t>
            </w:r>
          </w:p>
        </w:tc>
        <w:tc>
          <w:tcPr>
            <w:tcW w:w="4361" w:type="dxa"/>
          </w:tcPr>
          <w:p w:rsidR="00EC73DD" w:rsidRDefault="00EC73DD" w:rsidP="00E8765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EC73DD" w:rsidRDefault="00EC73DD" w:rsidP="00E87657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EC73DD" w:rsidRDefault="00EC73DD" w:rsidP="00E8765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EC73DD" w:rsidRDefault="00EC73DD" w:rsidP="00E8765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9C636A" w:rsidRDefault="009C636A" w:rsidP="009C636A">
      <w:pPr>
        <w:ind w:firstLine="34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  <w:bookmarkStart w:id="0" w:name="_GoBack"/>
      <w:bookmarkEnd w:id="0"/>
    </w:p>
    <w:p w:rsidR="009C636A" w:rsidRDefault="009C636A" w:rsidP="009C636A">
      <w:pPr>
        <w:ind w:firstLine="34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Asesoría Legal </w:t>
      </w:r>
    </w:p>
    <w:p w:rsidR="009C636A" w:rsidRDefault="009C636A" w:rsidP="009C636A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Comunicación y Mercadeo </w:t>
      </w:r>
    </w:p>
    <w:p w:rsidR="009C636A" w:rsidRDefault="009C636A" w:rsidP="009C636A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Centro de Archivo y Comunicaciones</w:t>
      </w:r>
    </w:p>
    <w:p w:rsidR="009C636A" w:rsidRDefault="009C636A" w:rsidP="009C636A">
      <w:pPr>
        <w:ind w:left="720" w:hanging="720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FEITEC</w:t>
      </w:r>
      <w:proofErr w:type="spellEnd"/>
    </w:p>
    <w:p w:rsidR="009C636A" w:rsidRDefault="009C636A" w:rsidP="009C636A">
      <w:pPr>
        <w:ind w:left="-567" w:firstLine="567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p w:rsidR="008D0FEC" w:rsidRDefault="008D0FEC" w:rsidP="009912AB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8D0FEC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40" w:rsidRDefault="00DE2B40">
      <w:r>
        <w:separator/>
      </w:r>
    </w:p>
  </w:endnote>
  <w:endnote w:type="continuationSeparator" w:id="0">
    <w:p w:rsidR="00DE2B40" w:rsidRDefault="00D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40" w:rsidRDefault="00DE2B40">
      <w:r>
        <w:separator/>
      </w:r>
    </w:p>
  </w:footnote>
  <w:footnote w:type="continuationSeparator" w:id="0">
    <w:p w:rsidR="00DE2B40" w:rsidRDefault="00DE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7D71B4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 w:rsidR="00930E22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930E22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930E22">
      <w:rPr>
        <w:rFonts w:ascii="Arial" w:eastAsia="Cambria" w:hAnsi="Arial" w:cs="Arial"/>
        <w:i/>
        <w:sz w:val="18"/>
        <w:szCs w:val="18"/>
        <w:lang w:val="es-ES_tradnl" w:eastAsia="x-none"/>
      </w:rPr>
      <w:t>06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930E22">
      <w:rPr>
        <w:rFonts w:ascii="Arial" w:eastAsia="Cambria" w:hAnsi="Arial" w:cs="Arial"/>
        <w:i/>
        <w:sz w:val="18"/>
        <w:szCs w:val="18"/>
        <w:lang w:val="es-ES_tradnl" w:eastAsia="x-none"/>
      </w:rPr>
      <w:t>setiembre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C636A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5D8"/>
    <w:multiLevelType w:val="hybridMultilevel"/>
    <w:tmpl w:val="5CAA4AF0"/>
    <w:lvl w:ilvl="0" w:tplc="924250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C52AE"/>
    <w:multiLevelType w:val="multilevel"/>
    <w:tmpl w:val="5E880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1136"/>
    <w:multiLevelType w:val="hybridMultilevel"/>
    <w:tmpl w:val="1E4246C0"/>
    <w:lvl w:ilvl="0" w:tplc="9F78457A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E165C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112137"/>
    <w:multiLevelType w:val="hybridMultilevel"/>
    <w:tmpl w:val="AA6CA650"/>
    <w:lvl w:ilvl="0" w:tplc="FC782FC8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A25"/>
    <w:multiLevelType w:val="hybridMultilevel"/>
    <w:tmpl w:val="98AA21B4"/>
    <w:lvl w:ilvl="0" w:tplc="60C84B88">
      <w:start w:val="1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F20DD2"/>
    <w:multiLevelType w:val="hybridMultilevel"/>
    <w:tmpl w:val="692AF032"/>
    <w:lvl w:ilvl="0" w:tplc="56AC8032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B780F"/>
    <w:multiLevelType w:val="hybridMultilevel"/>
    <w:tmpl w:val="9D4A950C"/>
    <w:lvl w:ilvl="0" w:tplc="549076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5028"/>
    <w:multiLevelType w:val="hybridMultilevel"/>
    <w:tmpl w:val="2F6A76EC"/>
    <w:lvl w:ilvl="0" w:tplc="E6E2F4DC">
      <w:start w:val="2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54B5"/>
    <w:multiLevelType w:val="hybridMultilevel"/>
    <w:tmpl w:val="1B70092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6BA4"/>
    <w:multiLevelType w:val="hybridMultilevel"/>
    <w:tmpl w:val="B6021C08"/>
    <w:lvl w:ilvl="0" w:tplc="E0EE9D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31F2"/>
    <w:multiLevelType w:val="hybridMultilevel"/>
    <w:tmpl w:val="83527562"/>
    <w:lvl w:ilvl="0" w:tplc="13889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824FDD"/>
    <w:multiLevelType w:val="hybridMultilevel"/>
    <w:tmpl w:val="DF2665AA"/>
    <w:lvl w:ilvl="0" w:tplc="7AA8E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0B21C56">
      <w:start w:val="1"/>
      <w:numFmt w:val="lowerLetter"/>
      <w:lvlText w:val="%2."/>
      <w:lvlJc w:val="left"/>
      <w:pPr>
        <w:ind w:left="1440" w:hanging="360"/>
      </w:pPr>
      <w:rPr>
        <w:b/>
        <w:strike w:val="0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0D1C376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3EE8"/>
    <w:multiLevelType w:val="hybridMultilevel"/>
    <w:tmpl w:val="EE189C06"/>
    <w:lvl w:ilvl="0" w:tplc="EC3EA92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576D4"/>
    <w:multiLevelType w:val="hybridMultilevel"/>
    <w:tmpl w:val="EE189C06"/>
    <w:lvl w:ilvl="0" w:tplc="EC3EA92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91548"/>
    <w:multiLevelType w:val="hybridMultilevel"/>
    <w:tmpl w:val="B56A1386"/>
    <w:lvl w:ilvl="0" w:tplc="B0B45BE4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13603E"/>
    <w:multiLevelType w:val="hybridMultilevel"/>
    <w:tmpl w:val="8974BD7A"/>
    <w:lvl w:ilvl="0" w:tplc="AC9C7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E4D"/>
    <w:multiLevelType w:val="hybridMultilevel"/>
    <w:tmpl w:val="66900886"/>
    <w:lvl w:ilvl="0" w:tplc="477A6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1769"/>
    <w:multiLevelType w:val="hybridMultilevel"/>
    <w:tmpl w:val="D2B88E86"/>
    <w:lvl w:ilvl="0" w:tplc="D9C01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1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15"/>
  </w:num>
  <w:num w:numId="10">
    <w:abstractNumId w:val="19"/>
  </w:num>
  <w:num w:numId="11">
    <w:abstractNumId w:val="3"/>
  </w:num>
  <w:num w:numId="12">
    <w:abstractNumId w:val="12"/>
  </w:num>
  <w:num w:numId="13">
    <w:abstractNumId w:val="6"/>
  </w:num>
  <w:num w:numId="14">
    <w:abstractNumId w:val="17"/>
  </w:num>
  <w:num w:numId="15">
    <w:abstractNumId w:val="18"/>
  </w:num>
  <w:num w:numId="16">
    <w:abstractNumId w:val="8"/>
  </w:num>
  <w:num w:numId="17">
    <w:abstractNumId w:val="14"/>
  </w:num>
  <w:num w:numId="18">
    <w:abstractNumId w:val="20"/>
  </w:num>
  <w:num w:numId="19">
    <w:abstractNumId w:val="16"/>
  </w:num>
  <w:num w:numId="20">
    <w:abstractNumId w:val="7"/>
  </w:num>
  <w:num w:numId="21">
    <w:abstractNumId w:val="13"/>
  </w:num>
  <w:num w:numId="22">
    <w:abstractNumId w:val="0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1DBE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0B05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7162"/>
    <w:rsid w:val="000E1F4D"/>
    <w:rsid w:val="000E420E"/>
    <w:rsid w:val="000E4FED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A33C3"/>
    <w:rsid w:val="001B1E0E"/>
    <w:rsid w:val="001B208D"/>
    <w:rsid w:val="001B59CC"/>
    <w:rsid w:val="001B7AB0"/>
    <w:rsid w:val="001C1124"/>
    <w:rsid w:val="001C1335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2A4C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044A8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1CA4"/>
    <w:rsid w:val="004F319C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3D7B"/>
    <w:rsid w:val="005447D0"/>
    <w:rsid w:val="00546B67"/>
    <w:rsid w:val="005578CB"/>
    <w:rsid w:val="005579A5"/>
    <w:rsid w:val="00561FD4"/>
    <w:rsid w:val="00563E83"/>
    <w:rsid w:val="0056589A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C51"/>
    <w:rsid w:val="005E6F3F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16EC"/>
    <w:rsid w:val="0074284B"/>
    <w:rsid w:val="00744C74"/>
    <w:rsid w:val="007512F6"/>
    <w:rsid w:val="0075179A"/>
    <w:rsid w:val="00751AB1"/>
    <w:rsid w:val="007553D4"/>
    <w:rsid w:val="00760AD1"/>
    <w:rsid w:val="00761133"/>
    <w:rsid w:val="007619FB"/>
    <w:rsid w:val="00763AF2"/>
    <w:rsid w:val="00767AF5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2DAF"/>
    <w:rsid w:val="007E7814"/>
    <w:rsid w:val="007F1052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7AFC"/>
    <w:rsid w:val="008434BA"/>
    <w:rsid w:val="00845D24"/>
    <w:rsid w:val="00851093"/>
    <w:rsid w:val="008522DF"/>
    <w:rsid w:val="008544DB"/>
    <w:rsid w:val="00862FA3"/>
    <w:rsid w:val="00862FDC"/>
    <w:rsid w:val="00863F94"/>
    <w:rsid w:val="00865845"/>
    <w:rsid w:val="008757CC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0E2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1634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C636A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69A0"/>
    <w:rsid w:val="00A405DB"/>
    <w:rsid w:val="00A54E67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4A78"/>
    <w:rsid w:val="00AA5259"/>
    <w:rsid w:val="00AA542A"/>
    <w:rsid w:val="00AA7CF3"/>
    <w:rsid w:val="00AB0454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2264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2251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0AC0"/>
    <w:rsid w:val="00C11B55"/>
    <w:rsid w:val="00C11CB1"/>
    <w:rsid w:val="00C16E0E"/>
    <w:rsid w:val="00C229BF"/>
    <w:rsid w:val="00C3150F"/>
    <w:rsid w:val="00C331DC"/>
    <w:rsid w:val="00C338DB"/>
    <w:rsid w:val="00C33B68"/>
    <w:rsid w:val="00C3580C"/>
    <w:rsid w:val="00C37602"/>
    <w:rsid w:val="00C47C47"/>
    <w:rsid w:val="00C540BB"/>
    <w:rsid w:val="00C54336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5E1A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687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C17C3"/>
    <w:rsid w:val="00DC2CBA"/>
    <w:rsid w:val="00DC33A5"/>
    <w:rsid w:val="00DC33AD"/>
    <w:rsid w:val="00DC34D3"/>
    <w:rsid w:val="00DC4940"/>
    <w:rsid w:val="00DC495A"/>
    <w:rsid w:val="00DC5266"/>
    <w:rsid w:val="00DC63D7"/>
    <w:rsid w:val="00DD46A3"/>
    <w:rsid w:val="00DD50B4"/>
    <w:rsid w:val="00DD739B"/>
    <w:rsid w:val="00DD760F"/>
    <w:rsid w:val="00DE0B28"/>
    <w:rsid w:val="00DE2B40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1E9F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1A0E"/>
    <w:rsid w:val="00F12D01"/>
    <w:rsid w:val="00F1317F"/>
    <w:rsid w:val="00F13905"/>
    <w:rsid w:val="00F14247"/>
    <w:rsid w:val="00F14918"/>
    <w:rsid w:val="00F1534E"/>
    <w:rsid w:val="00F2030B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630D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locked/>
    <w:rsid w:val="00930E2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E784-4F33-474D-8389-DBF802A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138</cp:revision>
  <cp:lastPrinted>2017-08-30T20:00:00Z</cp:lastPrinted>
  <dcterms:created xsi:type="dcterms:W3CDTF">2016-10-05T20:00:00Z</dcterms:created>
  <dcterms:modified xsi:type="dcterms:W3CDTF">2017-09-06T21:39:00Z</dcterms:modified>
</cp:coreProperties>
</file>