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59AB">
        <w:rPr>
          <w:rFonts w:ascii="Arial" w:hAnsi="Arial" w:cs="Arial"/>
          <w:b/>
          <w:bCs/>
          <w:iCs/>
          <w:sz w:val="26"/>
          <w:szCs w:val="22"/>
          <w:lang w:val="es-CR"/>
        </w:rPr>
        <w:t>6</w:t>
      </w:r>
      <w:r w:rsidR="00322BB1">
        <w:rPr>
          <w:rFonts w:ascii="Arial" w:hAnsi="Arial" w:cs="Arial"/>
          <w:b/>
          <w:bCs/>
          <w:iCs/>
          <w:sz w:val="26"/>
          <w:szCs w:val="22"/>
          <w:lang w:val="es-CR"/>
        </w:rPr>
        <w:t>63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6D4051"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F71E09" w:rsidRDefault="00F71E0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w:t>
            </w:r>
            <w:r w:rsidR="009E5D29">
              <w:rPr>
                <w:rFonts w:ascii="Arial" w:eastAsia="Cambria" w:hAnsi="Arial" w:cs="Arial"/>
                <w:sz w:val="22"/>
                <w:szCs w:val="22"/>
                <w:lang w:val="es-ES_tradnl" w:eastAsia="en-US"/>
              </w:rPr>
              <w:t>E</w:t>
            </w:r>
            <w:proofErr w:type="spellEnd"/>
            <w:r>
              <w:rPr>
                <w:rFonts w:ascii="Arial" w:eastAsia="Cambria" w:hAnsi="Arial" w:cs="Arial"/>
                <w:sz w:val="22"/>
                <w:szCs w:val="22"/>
                <w:lang w:val="es-ES_tradnl" w:eastAsia="en-US"/>
              </w:rPr>
              <w:t>. Nelson Ortega, Presidente Directorio Asamblea Institucional Representativa</w:t>
            </w:r>
          </w:p>
          <w:p w:rsidR="000D6061" w:rsidRPr="002D6978" w:rsidRDefault="000D6061" w:rsidP="00322BB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90010"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29</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22BB1" w:rsidRPr="00322BB1" w:rsidRDefault="007742A1" w:rsidP="00322BB1">
            <w:pPr>
              <w:ind w:left="67"/>
              <w:jc w:val="both"/>
              <w:rPr>
                <w:rFonts w:ascii="Arial" w:eastAsia="Cambria" w:hAnsi="Arial" w:cs="Arial"/>
                <w:b/>
                <w:color w:val="000000"/>
                <w:sz w:val="22"/>
                <w:szCs w:val="22"/>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9E5D29">
              <w:rPr>
                <w:rFonts w:ascii="Arial" w:eastAsia="Calibri" w:hAnsi="Arial" w:cs="Arial"/>
                <w:b/>
                <w:sz w:val="22"/>
                <w:szCs w:val="22"/>
              </w:rPr>
              <w:t>1</w:t>
            </w:r>
            <w:r w:rsidR="00322BB1">
              <w:rPr>
                <w:rFonts w:ascii="Arial" w:eastAsia="Calibri" w:hAnsi="Arial" w:cs="Arial"/>
                <w:b/>
                <w:sz w:val="22"/>
                <w:szCs w:val="22"/>
              </w:rPr>
              <w:t>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190010">
              <w:rPr>
                <w:rFonts w:ascii="Arial" w:eastAsia="Calibri" w:hAnsi="Arial" w:cs="Arial"/>
                <w:b/>
                <w:sz w:val="22"/>
                <w:szCs w:val="22"/>
              </w:rPr>
              <w:t>28</w:t>
            </w:r>
            <w:r w:rsidRPr="00267FAF">
              <w:rPr>
                <w:rFonts w:ascii="Arial" w:eastAsia="Calibri" w:hAnsi="Arial" w:cs="Arial"/>
                <w:b/>
                <w:sz w:val="22"/>
                <w:szCs w:val="22"/>
              </w:rPr>
              <w:t xml:space="preserve"> de </w:t>
            </w:r>
            <w:r w:rsidR="00190010">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w:t>
            </w:r>
            <w:r w:rsidR="00322BB1" w:rsidRPr="00322BB1">
              <w:rPr>
                <w:rFonts w:ascii="Arial" w:eastAsia="Cambria" w:hAnsi="Arial" w:cs="Arial"/>
                <w:b/>
                <w:color w:val="000000"/>
                <w:lang w:val="es-ES_tradnl" w:eastAsia="en-US"/>
              </w:rPr>
              <w:t xml:space="preserve"> </w:t>
            </w:r>
            <w:r w:rsidR="00322BB1" w:rsidRPr="00322BB1">
              <w:rPr>
                <w:rFonts w:ascii="Arial" w:eastAsia="Cambria" w:hAnsi="Arial" w:cs="Arial"/>
                <w:b/>
                <w:color w:val="000000"/>
                <w:sz w:val="22"/>
                <w:szCs w:val="22"/>
                <w:lang w:val="es-ES_tradnl" w:eastAsia="en-US"/>
              </w:rPr>
              <w:t>Solicitud a la Asamblea Institucional Representativa para que reforme el Artículo 101 del Estatuto Orgánico con el propósito de definir con precisión la instancia que debe consultar la propuesta de Políticas Específicas antes de su trámite de aprobación en el Consejo Institucional</w:t>
            </w:r>
          </w:p>
          <w:p w:rsidR="00CE5E1A" w:rsidRPr="00322BB1" w:rsidRDefault="001E08C0" w:rsidP="006D4051">
            <w:pPr>
              <w:jc w:val="both"/>
              <w:rPr>
                <w:sz w:val="22"/>
                <w:szCs w:val="22"/>
                <w:lang w:val="es-CR" w:eastAsia="es-CR"/>
              </w:rPr>
            </w:pPr>
            <w:r w:rsidRPr="00322BB1">
              <w:rPr>
                <w:rFonts w:ascii="Arial" w:eastAsia="Calibri" w:hAnsi="Arial" w:cs="Arial"/>
                <w:b/>
                <w:sz w:val="22"/>
                <w:szCs w:val="22"/>
              </w:rPr>
              <w:t xml:space="preserve">  </w:t>
            </w: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22BB1" w:rsidRDefault="00322BB1" w:rsidP="007742A1">
      <w:pPr>
        <w:jc w:val="both"/>
        <w:rPr>
          <w:rFonts w:ascii="Arial" w:eastAsia="Cambria" w:hAnsi="Arial" w:cs="Arial"/>
          <w:lang w:val="es-ES_tradnl" w:eastAsia="en-US"/>
        </w:rPr>
      </w:pPr>
    </w:p>
    <w:p w:rsidR="00322BB1" w:rsidRDefault="00322BB1" w:rsidP="007742A1">
      <w:pPr>
        <w:jc w:val="both"/>
        <w:rPr>
          <w:rFonts w:ascii="Arial" w:eastAsia="Cambria" w:hAnsi="Arial" w:cs="Arial"/>
          <w:lang w:val="es-ES_tradnl" w:eastAsia="en-US"/>
        </w:rPr>
      </w:pPr>
    </w:p>
    <w:p w:rsidR="00322BB1" w:rsidRPr="00322BB1" w:rsidRDefault="00322BB1" w:rsidP="00322BB1">
      <w:pPr>
        <w:ind w:left="1440" w:hanging="1440"/>
        <w:jc w:val="both"/>
        <w:rPr>
          <w:rFonts w:ascii="Arial" w:eastAsia="Cambria" w:hAnsi="Arial" w:cs="Arial"/>
          <w:b/>
          <w:caps/>
          <w:color w:val="000000"/>
          <w:lang w:val="es-ES_tradnl" w:eastAsia="en-US"/>
        </w:rPr>
      </w:pPr>
      <w:r w:rsidRPr="00322BB1">
        <w:rPr>
          <w:rFonts w:ascii="Arial" w:eastAsia="Cambria" w:hAnsi="Arial" w:cs="Arial"/>
          <w:b/>
          <w:caps/>
          <w:color w:val="000000"/>
          <w:lang w:val="es-ES_tradnl" w:eastAsia="en-US"/>
        </w:rPr>
        <w:t xml:space="preserve">resultando que: </w:t>
      </w:r>
    </w:p>
    <w:p w:rsidR="00322BB1" w:rsidRPr="00322BB1" w:rsidRDefault="00322BB1" w:rsidP="00322BB1">
      <w:pPr>
        <w:ind w:left="1276" w:hanging="1276"/>
        <w:jc w:val="both"/>
        <w:rPr>
          <w:rFonts w:ascii="Arial" w:eastAsia="Cambria" w:hAnsi="Arial" w:cs="Arial"/>
          <w:b/>
          <w:color w:val="000000"/>
          <w:lang w:val="es-ES_tradnl" w:eastAsia="en-US"/>
        </w:rPr>
      </w:pPr>
      <w:bookmarkStart w:id="0" w:name="_GoBack"/>
      <w:bookmarkEnd w:id="0"/>
    </w:p>
    <w:p w:rsidR="00322BB1" w:rsidRPr="00322BB1" w:rsidRDefault="00322BB1" w:rsidP="00322BB1">
      <w:pPr>
        <w:numPr>
          <w:ilvl w:val="0"/>
          <w:numId w:val="2"/>
        </w:numPr>
        <w:ind w:left="425" w:right="284" w:hanging="425"/>
        <w:jc w:val="both"/>
        <w:rPr>
          <w:rFonts w:ascii="Arial" w:hAnsi="Arial" w:cs="Arial"/>
          <w:color w:val="000000"/>
        </w:rPr>
      </w:pPr>
      <w:r w:rsidRPr="00322BB1">
        <w:rPr>
          <w:rFonts w:ascii="Arial" w:hAnsi="Arial" w:cs="Arial"/>
          <w:color w:val="000000"/>
        </w:rPr>
        <w:t>El Artículo 100 del Estatuto Orgánico indica lo siguiente:</w:t>
      </w:r>
    </w:p>
    <w:p w:rsidR="00322BB1" w:rsidRPr="00322BB1" w:rsidRDefault="00322BB1" w:rsidP="00322BB1">
      <w:pPr>
        <w:ind w:right="284"/>
        <w:jc w:val="both"/>
        <w:rPr>
          <w:rFonts w:ascii="Arial" w:hAnsi="Arial" w:cs="Arial"/>
          <w:color w:val="000000"/>
        </w:rPr>
      </w:pP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“Artículo 100</w:t>
      </w: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El Rector deberá formular y presentar anualmente al Consejo Institucional para su discusión y aprobación, las políticas específicas que propone utilizar para orientar la elaboración y la ejecución del Plan Anual Operativo y del Presupuesto institucional, en apego a lo dispuesto por el Plan estratégico institucional”.</w:t>
      </w:r>
    </w:p>
    <w:p w:rsidR="00322BB1" w:rsidRPr="00322BB1" w:rsidRDefault="00322BB1" w:rsidP="00322BB1">
      <w:pPr>
        <w:ind w:right="284"/>
        <w:jc w:val="both"/>
        <w:rPr>
          <w:rFonts w:ascii="Arial" w:hAnsi="Arial" w:cs="Arial"/>
          <w:color w:val="000000"/>
        </w:rPr>
      </w:pPr>
    </w:p>
    <w:p w:rsidR="00322BB1" w:rsidRPr="00322BB1" w:rsidRDefault="00322BB1" w:rsidP="00322BB1">
      <w:pPr>
        <w:numPr>
          <w:ilvl w:val="0"/>
          <w:numId w:val="2"/>
        </w:numPr>
        <w:ind w:left="425" w:right="284" w:hanging="425"/>
        <w:jc w:val="both"/>
        <w:rPr>
          <w:rFonts w:ascii="Arial" w:hAnsi="Arial" w:cs="Arial"/>
          <w:color w:val="000000"/>
        </w:rPr>
      </w:pPr>
      <w:r w:rsidRPr="00322BB1">
        <w:rPr>
          <w:rFonts w:ascii="Arial" w:hAnsi="Arial" w:cs="Arial"/>
          <w:color w:val="000000"/>
        </w:rPr>
        <w:t>El Artículo 101 del Estatuto Orgánico establece lo siguiente:</w:t>
      </w:r>
    </w:p>
    <w:p w:rsidR="00322BB1" w:rsidRPr="00322BB1" w:rsidRDefault="00322BB1" w:rsidP="00322BB1">
      <w:pPr>
        <w:ind w:right="284"/>
        <w:jc w:val="both"/>
        <w:rPr>
          <w:rFonts w:ascii="Arial" w:hAnsi="Arial" w:cs="Arial"/>
          <w:color w:val="000000"/>
        </w:rPr>
      </w:pP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“Artículo 101</w:t>
      </w: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322BB1" w:rsidRPr="00322BB1" w:rsidRDefault="00322BB1" w:rsidP="00322BB1">
      <w:pPr>
        <w:ind w:right="284"/>
        <w:jc w:val="both"/>
        <w:rPr>
          <w:rFonts w:ascii="Arial" w:hAnsi="Arial" w:cs="Arial"/>
          <w:color w:val="000000"/>
          <w:lang w:val="es-ES_tradnl"/>
        </w:rPr>
      </w:pPr>
    </w:p>
    <w:p w:rsidR="00322BB1" w:rsidRPr="00322BB1" w:rsidRDefault="00322BB1" w:rsidP="00322BB1">
      <w:pPr>
        <w:numPr>
          <w:ilvl w:val="0"/>
          <w:numId w:val="2"/>
        </w:numPr>
        <w:ind w:left="425" w:right="284" w:hanging="425"/>
        <w:jc w:val="both"/>
        <w:rPr>
          <w:rFonts w:ascii="Arial" w:hAnsi="Arial" w:cs="Arial"/>
          <w:color w:val="000000"/>
        </w:rPr>
      </w:pPr>
      <w:r w:rsidRPr="00322BB1">
        <w:rPr>
          <w:rFonts w:ascii="Arial" w:hAnsi="Arial" w:cs="Arial"/>
          <w:color w:val="000000"/>
        </w:rPr>
        <w:t>El Artículo 138 del Estatuto Orgánico reza lo siguiente:</w:t>
      </w:r>
    </w:p>
    <w:p w:rsidR="00322BB1" w:rsidRPr="00322BB1" w:rsidRDefault="00322BB1" w:rsidP="00322BB1">
      <w:pPr>
        <w:ind w:right="284"/>
        <w:jc w:val="both"/>
        <w:rPr>
          <w:rFonts w:ascii="Arial" w:hAnsi="Arial" w:cs="Arial"/>
          <w:color w:val="000000"/>
        </w:rPr>
      </w:pP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“Artículo 138</w:t>
      </w: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Las reformas e interpretaciones al Estatuto Orgánico por parte de la Asamblea Institucional Representativa deberán tramitarse de acuerdo con los procedimientos establecidos al efecto en el Estatuto Orgánico y en el Reglamento de la Asamblea Institucional Representativa”.</w:t>
      </w:r>
    </w:p>
    <w:p w:rsidR="00322BB1" w:rsidRPr="00322BB1" w:rsidRDefault="00322BB1" w:rsidP="00322BB1">
      <w:pPr>
        <w:rPr>
          <w:rFonts w:ascii="Cambria" w:eastAsia="Cambria" w:hAnsi="Cambria"/>
          <w:lang w:val="es-ES_tradnl" w:eastAsia="en-US"/>
        </w:rPr>
      </w:pPr>
    </w:p>
    <w:p w:rsidR="00322BB1" w:rsidRPr="00322BB1" w:rsidRDefault="00322BB1" w:rsidP="00322BB1">
      <w:pPr>
        <w:numPr>
          <w:ilvl w:val="0"/>
          <w:numId w:val="2"/>
        </w:numPr>
        <w:ind w:left="425" w:right="284" w:hanging="425"/>
        <w:jc w:val="both"/>
        <w:rPr>
          <w:rFonts w:ascii="Arial" w:hAnsi="Arial" w:cs="Arial"/>
          <w:color w:val="000000"/>
        </w:rPr>
      </w:pPr>
      <w:r w:rsidRPr="00322BB1">
        <w:rPr>
          <w:rFonts w:ascii="Arial" w:hAnsi="Arial" w:cs="Arial"/>
          <w:color w:val="000000"/>
        </w:rPr>
        <w:t>El Artículo 139 del Estatuto Orgánico reza lo siguiente:</w:t>
      </w:r>
    </w:p>
    <w:p w:rsidR="00322BB1" w:rsidRPr="00322BB1" w:rsidRDefault="00322BB1" w:rsidP="00322BB1">
      <w:pPr>
        <w:rPr>
          <w:rFonts w:ascii="Cambria" w:eastAsia="Cambria" w:hAnsi="Cambria"/>
          <w:lang w:eastAsia="en-US"/>
        </w:rPr>
      </w:pP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“Artículo 139</w:t>
      </w: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La Asamblea Institucional Representativa cuenta con plenas facultades para reformar e interpretar el Estatuto Orgánico en su totalidad.</w:t>
      </w:r>
    </w:p>
    <w:p w:rsidR="00322BB1" w:rsidRPr="00322BB1" w:rsidRDefault="00322BB1" w:rsidP="00322BB1">
      <w:pPr>
        <w:ind w:left="426" w:right="333"/>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lastRenderedPageBreak/>
        <w:t>En particular, serán de competencia exclusiva de la Asamblea Institucional Representativa, las reformas e interpretaciones del Estatuto Orgánico indicadas a continuación:</w:t>
      </w:r>
    </w:p>
    <w:p w:rsidR="00322BB1" w:rsidRPr="00322BB1" w:rsidRDefault="00322BB1" w:rsidP="00322BB1">
      <w:pPr>
        <w:ind w:left="426" w:right="333"/>
        <w:jc w:val="both"/>
        <w:rPr>
          <w:rFonts w:ascii="Arial" w:eastAsia="Cambria" w:hAnsi="Arial" w:cs="Arial"/>
          <w:i/>
          <w:sz w:val="22"/>
          <w:szCs w:val="22"/>
          <w:lang w:val="es-ES_tradnl" w:eastAsia="en-US"/>
        </w:rPr>
      </w:pP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a. Las referidas a la integración y funciones de la Asamblea Institucional</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b. Las referidas a la integración y funciones del Congreso Institucional</w:t>
      </w:r>
    </w:p>
    <w:p w:rsidR="00322BB1" w:rsidRPr="00322BB1" w:rsidRDefault="00322BB1" w:rsidP="00322BB1">
      <w:pPr>
        <w:ind w:left="993" w:hanging="285"/>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c. Las referidas a la integración y funciones del Directorio de la Asamblea Institucional Representativa</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d. Las referidas a la integración y funciones del Consejo Institucional</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e. Las referidas a la integración y funciones del Tribunal Institucional Electoral</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f.  Las referidas a las funciones del rector</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g. Las referidas a los fines y principios del Instituto</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h. Las referidas al capítulo de reformas del Estatuto Orgánico</w:t>
      </w:r>
    </w:p>
    <w:p w:rsidR="00322BB1" w:rsidRPr="00322BB1" w:rsidRDefault="00322BB1" w:rsidP="00322BB1">
      <w:pPr>
        <w:ind w:left="708"/>
        <w:jc w:val="both"/>
        <w:rPr>
          <w:rFonts w:ascii="Arial" w:eastAsia="Cambria" w:hAnsi="Arial" w:cs="Arial"/>
          <w:i/>
          <w:sz w:val="22"/>
          <w:szCs w:val="22"/>
          <w:lang w:val="es-ES_tradnl" w:eastAsia="en-US"/>
        </w:rPr>
      </w:pPr>
      <w:r w:rsidRPr="00322BB1">
        <w:rPr>
          <w:rFonts w:ascii="Arial" w:eastAsia="Cambria" w:hAnsi="Arial" w:cs="Arial"/>
          <w:i/>
          <w:sz w:val="22"/>
          <w:szCs w:val="22"/>
          <w:lang w:val="es-ES_tradnl" w:eastAsia="en-US"/>
        </w:rPr>
        <w:t>i.  La reforma total del Estatuto Orgánico”</w:t>
      </w:r>
    </w:p>
    <w:p w:rsidR="00322BB1" w:rsidRPr="00322BB1" w:rsidRDefault="00322BB1" w:rsidP="00322BB1">
      <w:pPr>
        <w:ind w:right="284"/>
        <w:jc w:val="both"/>
        <w:rPr>
          <w:rFonts w:ascii="Arial" w:hAnsi="Arial" w:cs="Arial"/>
          <w:color w:val="000000"/>
          <w:lang w:val="es-CR"/>
        </w:rPr>
      </w:pPr>
    </w:p>
    <w:p w:rsidR="00322BB1" w:rsidRPr="00322BB1" w:rsidRDefault="00322BB1" w:rsidP="00322BB1">
      <w:pPr>
        <w:ind w:left="1440" w:hanging="1440"/>
        <w:jc w:val="both"/>
        <w:rPr>
          <w:rFonts w:ascii="Arial" w:eastAsia="Cambria" w:hAnsi="Arial" w:cs="Arial"/>
          <w:b/>
          <w:caps/>
          <w:color w:val="000000"/>
          <w:lang w:val="es-ES_tradnl" w:eastAsia="en-US"/>
        </w:rPr>
      </w:pPr>
      <w:r w:rsidRPr="00322BB1">
        <w:rPr>
          <w:rFonts w:ascii="Arial" w:eastAsia="Cambria" w:hAnsi="Arial" w:cs="Arial"/>
          <w:b/>
          <w:caps/>
          <w:color w:val="000000"/>
          <w:lang w:val="es-ES_tradnl" w:eastAsia="en-US"/>
        </w:rPr>
        <w:t xml:space="preserve">Considerando que: </w:t>
      </w:r>
    </w:p>
    <w:p w:rsidR="00322BB1" w:rsidRPr="00322BB1" w:rsidRDefault="00322BB1" w:rsidP="00322BB1">
      <w:pPr>
        <w:ind w:right="284"/>
        <w:jc w:val="both"/>
        <w:rPr>
          <w:rFonts w:ascii="Arial" w:hAnsi="Arial" w:cs="Arial"/>
          <w:color w:val="000000"/>
        </w:rPr>
      </w:pPr>
    </w:p>
    <w:p w:rsidR="00322BB1" w:rsidRPr="00322BB1" w:rsidRDefault="00322BB1" w:rsidP="00322BB1">
      <w:pPr>
        <w:numPr>
          <w:ilvl w:val="0"/>
          <w:numId w:val="4"/>
        </w:numPr>
        <w:ind w:right="49"/>
        <w:jc w:val="both"/>
        <w:rPr>
          <w:rFonts w:ascii="Arial" w:hAnsi="Arial" w:cs="Arial"/>
          <w:color w:val="000000"/>
        </w:rPr>
      </w:pPr>
      <w:r w:rsidRPr="00322BB1">
        <w:rPr>
          <w:rFonts w:ascii="Arial" w:hAnsi="Arial" w:cs="Arial"/>
          <w:color w:val="000000"/>
        </w:rPr>
        <w:t>El Artículo 101 del Estatuto Orgánico no es claro en cuál instancia es la que tiene competencia para hacer la consulta de la propuesta de políticas específicas a la comunidad institucional; si la Rectoría, que es la que formula o el Consejo Institucional, que es el que aprueba.</w:t>
      </w:r>
    </w:p>
    <w:p w:rsidR="00322BB1" w:rsidRPr="00322BB1" w:rsidRDefault="00322BB1" w:rsidP="00322BB1">
      <w:pPr>
        <w:ind w:right="49"/>
        <w:jc w:val="both"/>
        <w:rPr>
          <w:rFonts w:ascii="Arial" w:hAnsi="Arial" w:cs="Arial"/>
          <w:color w:val="000000"/>
        </w:rPr>
      </w:pPr>
    </w:p>
    <w:p w:rsidR="00322BB1" w:rsidRPr="00322BB1" w:rsidRDefault="00322BB1" w:rsidP="00322BB1">
      <w:pPr>
        <w:numPr>
          <w:ilvl w:val="0"/>
          <w:numId w:val="4"/>
        </w:numPr>
        <w:ind w:right="49"/>
        <w:jc w:val="both"/>
        <w:rPr>
          <w:rFonts w:ascii="Arial" w:hAnsi="Arial" w:cs="Arial"/>
          <w:color w:val="000000"/>
        </w:rPr>
      </w:pPr>
      <w:r w:rsidRPr="00322BB1">
        <w:rPr>
          <w:rFonts w:ascii="Arial" w:hAnsi="Arial" w:cs="Arial"/>
          <w:color w:val="000000"/>
        </w:rPr>
        <w:t>La práctica predominante en la Institución ha sido que la consulta la haga la Rectoría. No obstante, a partir del año 2015 el Consejo Institucional detectó la necesidad de que sea ese ente el que haga la consulta, dado que la propuesta original que presenta el Rector suele recibir modificaciones en el proceso interno de análisis en las Comisiones Permanentes, sobre las que no tiene oportunidad de pronunciase la comunidad institucional si la consulta se limita a la realizada por la Rectoría.</w:t>
      </w:r>
    </w:p>
    <w:p w:rsidR="00322BB1" w:rsidRPr="00322BB1" w:rsidRDefault="00322BB1" w:rsidP="00322BB1">
      <w:pPr>
        <w:ind w:left="708"/>
        <w:rPr>
          <w:rFonts w:ascii="Arial" w:eastAsia="Calibri" w:hAnsi="Arial" w:cs="Arial"/>
          <w:color w:val="000000"/>
          <w:lang w:val="es-CR"/>
        </w:rPr>
      </w:pPr>
    </w:p>
    <w:p w:rsidR="00322BB1" w:rsidRPr="00322BB1" w:rsidRDefault="00322BB1" w:rsidP="00322BB1">
      <w:pPr>
        <w:numPr>
          <w:ilvl w:val="0"/>
          <w:numId w:val="4"/>
        </w:numPr>
        <w:ind w:right="49"/>
        <w:jc w:val="both"/>
        <w:rPr>
          <w:rFonts w:ascii="Arial" w:hAnsi="Arial" w:cs="Arial"/>
          <w:color w:val="000000"/>
        </w:rPr>
      </w:pPr>
      <w:r w:rsidRPr="00322BB1">
        <w:rPr>
          <w:rFonts w:ascii="Arial" w:hAnsi="Arial" w:cs="Arial"/>
          <w:color w:val="000000"/>
        </w:rPr>
        <w:t>Si la consulta de la propuesta de Políticas Específicas la realiza el Consejo Institucional, se abre la posibilidad de que el texto en consulta sea el formulado por el Rector modificado por las Comisiones internas del Consejo Institucional, y por tanto, un documento próximo al que se discutirá y aprobará en el Consejo Institucional.</w:t>
      </w:r>
    </w:p>
    <w:p w:rsidR="00322BB1" w:rsidRPr="00322BB1" w:rsidRDefault="00322BB1" w:rsidP="00322BB1">
      <w:pPr>
        <w:ind w:left="708"/>
        <w:rPr>
          <w:rFonts w:ascii="Arial" w:eastAsia="Calibri" w:hAnsi="Arial" w:cs="Arial"/>
          <w:color w:val="000000"/>
          <w:lang w:val="es-CR"/>
        </w:rPr>
      </w:pPr>
    </w:p>
    <w:p w:rsidR="00322BB1" w:rsidRPr="00322BB1" w:rsidRDefault="00322BB1" w:rsidP="00322BB1">
      <w:pPr>
        <w:numPr>
          <w:ilvl w:val="0"/>
          <w:numId w:val="4"/>
        </w:numPr>
        <w:ind w:right="49"/>
        <w:jc w:val="both"/>
        <w:rPr>
          <w:rFonts w:ascii="Arial" w:hAnsi="Arial" w:cs="Arial"/>
          <w:color w:val="000000"/>
        </w:rPr>
      </w:pPr>
      <w:r w:rsidRPr="00322BB1">
        <w:rPr>
          <w:rFonts w:ascii="Arial" w:hAnsi="Arial" w:cs="Arial"/>
          <w:color w:val="000000"/>
        </w:rPr>
        <w:t xml:space="preserve">Es práctica consolidada que el Consejo Institucional someta diversos temas y propuestas a consulta de la comunidad institucional, en algunas ocasiones por aplicación de la normativa que así lo indica y en otras por iniciativa propia. La experiencia generada en el Consejo Institucional, y especialmente por la Secretaría del Consejo Institucional, será favorablemente aprovechada si la consulta indicada en el Artículo 101 del Estatuto Orgánico la realiza el Consejo Institucional. </w:t>
      </w:r>
    </w:p>
    <w:p w:rsidR="00322BB1" w:rsidRPr="00322BB1" w:rsidRDefault="00322BB1" w:rsidP="00322BB1">
      <w:pPr>
        <w:ind w:left="708"/>
        <w:rPr>
          <w:rFonts w:ascii="Arial" w:eastAsia="Calibri" w:hAnsi="Arial" w:cs="Arial"/>
          <w:color w:val="000000"/>
          <w:lang w:val="es-CR"/>
        </w:rPr>
      </w:pPr>
    </w:p>
    <w:p w:rsidR="00322BB1" w:rsidRPr="00322BB1" w:rsidRDefault="00322BB1" w:rsidP="00322BB1">
      <w:pPr>
        <w:numPr>
          <w:ilvl w:val="0"/>
          <w:numId w:val="4"/>
        </w:numPr>
        <w:ind w:right="49"/>
        <w:jc w:val="both"/>
        <w:rPr>
          <w:rFonts w:ascii="Arial" w:hAnsi="Arial" w:cs="Arial"/>
          <w:color w:val="000000"/>
        </w:rPr>
      </w:pPr>
      <w:r w:rsidRPr="00322BB1">
        <w:rPr>
          <w:rFonts w:ascii="Arial" w:hAnsi="Arial" w:cs="Arial"/>
          <w:color w:val="000000"/>
          <w:lang w:val="es-CR"/>
        </w:rPr>
        <w:t xml:space="preserve">Una reforma del Artículo 101 debe ser realizada por la Asamblea Institucional Representativa, en consideración de lo indicado en el artículo 139 del Estatuto Orgánico del ITCR. </w:t>
      </w:r>
    </w:p>
    <w:p w:rsidR="00322BB1" w:rsidRDefault="00322BB1" w:rsidP="00322BB1">
      <w:pPr>
        <w:pStyle w:val="Prrafodelista"/>
        <w:rPr>
          <w:rFonts w:ascii="Arial" w:hAnsi="Arial" w:cs="Arial"/>
          <w:color w:val="000000"/>
        </w:rPr>
      </w:pPr>
    </w:p>
    <w:p w:rsidR="00322BB1" w:rsidRDefault="00322BB1" w:rsidP="00322BB1">
      <w:pPr>
        <w:ind w:right="49"/>
        <w:jc w:val="both"/>
        <w:rPr>
          <w:rFonts w:ascii="Arial" w:hAnsi="Arial" w:cs="Arial"/>
          <w:color w:val="000000"/>
        </w:rPr>
      </w:pPr>
    </w:p>
    <w:p w:rsidR="00322BB1" w:rsidRDefault="00322BB1" w:rsidP="00322BB1">
      <w:pPr>
        <w:pStyle w:val="Prrafodelista"/>
        <w:rPr>
          <w:rFonts w:ascii="Arial" w:hAnsi="Arial" w:cs="Arial"/>
          <w:color w:val="000000"/>
        </w:rPr>
      </w:pPr>
    </w:p>
    <w:p w:rsidR="00322BB1" w:rsidRDefault="00322BB1" w:rsidP="00322BB1">
      <w:pPr>
        <w:ind w:right="49"/>
        <w:jc w:val="both"/>
        <w:rPr>
          <w:rFonts w:ascii="Arial" w:hAnsi="Arial" w:cs="Arial"/>
          <w:color w:val="000000"/>
        </w:rPr>
      </w:pPr>
    </w:p>
    <w:p w:rsidR="00322BB1" w:rsidRPr="00322BB1" w:rsidRDefault="00322BB1" w:rsidP="00322BB1">
      <w:pPr>
        <w:ind w:right="49"/>
        <w:jc w:val="both"/>
        <w:rPr>
          <w:rFonts w:ascii="Arial" w:hAnsi="Arial" w:cs="Arial"/>
          <w:color w:val="000000"/>
        </w:rPr>
      </w:pPr>
    </w:p>
    <w:p w:rsidR="00322BB1" w:rsidRPr="00322BB1" w:rsidRDefault="00322BB1" w:rsidP="00322BB1">
      <w:pPr>
        <w:ind w:right="49"/>
        <w:jc w:val="both"/>
        <w:rPr>
          <w:rFonts w:ascii="Arial" w:hAnsi="Arial" w:cs="Arial"/>
          <w:color w:val="000000"/>
        </w:rPr>
      </w:pPr>
    </w:p>
    <w:p w:rsidR="00322BB1" w:rsidRPr="00322BB1" w:rsidRDefault="00322BB1" w:rsidP="00322BB1">
      <w:pPr>
        <w:rPr>
          <w:rFonts w:ascii="Arial" w:eastAsia="Cambria" w:hAnsi="Arial" w:cs="Arial"/>
          <w:b/>
          <w:color w:val="000000"/>
          <w:lang w:val="es-ES_tradnl" w:eastAsia="en-US"/>
        </w:rPr>
      </w:pPr>
      <w:r w:rsidRPr="00322BB1">
        <w:rPr>
          <w:rFonts w:ascii="Arial" w:eastAsia="Cambria" w:hAnsi="Arial" w:cs="Arial"/>
          <w:b/>
          <w:color w:val="000000"/>
          <w:lang w:val="es-ES_tradnl" w:eastAsia="en-US"/>
        </w:rPr>
        <w:t>SE</w:t>
      </w:r>
      <w:r>
        <w:rPr>
          <w:rFonts w:ascii="Arial" w:eastAsia="Cambria" w:hAnsi="Arial" w:cs="Arial"/>
          <w:b/>
          <w:color w:val="000000"/>
          <w:lang w:val="es-ES_tradnl" w:eastAsia="en-US"/>
        </w:rPr>
        <w:t xml:space="preserve"> ACUERDA</w:t>
      </w:r>
      <w:r w:rsidRPr="00322BB1">
        <w:rPr>
          <w:rFonts w:ascii="Arial" w:eastAsia="Cambria" w:hAnsi="Arial" w:cs="Arial"/>
          <w:b/>
          <w:color w:val="000000"/>
          <w:lang w:val="es-ES_tradnl" w:eastAsia="en-US"/>
        </w:rPr>
        <w:t>:</w:t>
      </w:r>
    </w:p>
    <w:p w:rsidR="00322BB1" w:rsidRPr="00322BB1" w:rsidRDefault="00322BB1" w:rsidP="00322BB1">
      <w:pPr>
        <w:rPr>
          <w:rFonts w:ascii="Cambria" w:eastAsia="Cambria" w:hAnsi="Cambria"/>
          <w:b/>
          <w:i/>
          <w:color w:val="000000"/>
          <w:sz w:val="20"/>
          <w:szCs w:val="20"/>
          <w:lang w:val="es-ES_tradnl" w:eastAsia="en-US"/>
        </w:rPr>
      </w:pPr>
    </w:p>
    <w:p w:rsidR="00322BB1" w:rsidRPr="00322BB1" w:rsidRDefault="00322BB1" w:rsidP="00322BB1">
      <w:pPr>
        <w:numPr>
          <w:ilvl w:val="0"/>
          <w:numId w:val="46"/>
        </w:numPr>
        <w:ind w:left="426" w:hanging="426"/>
        <w:jc w:val="both"/>
        <w:rPr>
          <w:rFonts w:ascii="Arial" w:eastAsia="Calibri" w:hAnsi="Arial" w:cs="Arial"/>
          <w:color w:val="000000"/>
          <w:lang w:val="es-CR"/>
        </w:rPr>
      </w:pPr>
      <w:r w:rsidRPr="00322BB1">
        <w:rPr>
          <w:rFonts w:ascii="Arial" w:eastAsia="Calibri" w:hAnsi="Arial" w:cs="Arial"/>
          <w:color w:val="000000"/>
          <w:lang w:val="es-CR"/>
        </w:rPr>
        <w:t>Solicitar a la Asamblea Institucional Representativa que modifique el Artículo 101 del Estatuto Orgánico, en los siguientes términos:</w:t>
      </w:r>
    </w:p>
    <w:p w:rsidR="00322BB1" w:rsidRPr="00322BB1" w:rsidRDefault="00322BB1" w:rsidP="00322BB1">
      <w:pPr>
        <w:jc w:val="both"/>
        <w:rPr>
          <w:rFonts w:ascii="Arial" w:eastAsia="Cambria" w:hAnsi="Arial" w:cs="Arial"/>
          <w:b/>
          <w:color w:val="000000"/>
          <w:sz w:val="22"/>
          <w:szCs w:val="22"/>
          <w:lang w:val="es-ES_tradnl" w:eastAsia="en-US"/>
        </w:rPr>
      </w:pPr>
    </w:p>
    <w:p w:rsidR="00322BB1" w:rsidRPr="00322BB1" w:rsidRDefault="00322BB1" w:rsidP="00322BB1">
      <w:pPr>
        <w:jc w:val="both"/>
        <w:rPr>
          <w:rFonts w:ascii="Arial" w:eastAsia="Cambria" w:hAnsi="Arial" w:cs="Arial"/>
          <w:b/>
          <w:color w:val="000000"/>
          <w:sz w:val="22"/>
          <w:szCs w:val="22"/>
          <w:lang w:val="es-ES_tradnl" w:eastAsia="en-US"/>
        </w:rPr>
      </w:pPr>
    </w:p>
    <w:tbl>
      <w:tblPr>
        <w:tblStyle w:val="Tablaconcuadrcula6"/>
        <w:tblW w:w="0" w:type="auto"/>
        <w:tblLook w:val="04A0" w:firstRow="1" w:lastRow="0" w:firstColumn="1" w:lastColumn="0" w:noHBand="0" w:noVBand="1"/>
      </w:tblPr>
      <w:tblGrid>
        <w:gridCol w:w="4414"/>
        <w:gridCol w:w="4414"/>
      </w:tblGrid>
      <w:tr w:rsidR="00322BB1" w:rsidRPr="00322BB1" w:rsidTr="006C2BDB">
        <w:tc>
          <w:tcPr>
            <w:tcW w:w="4414" w:type="dxa"/>
          </w:tcPr>
          <w:p w:rsidR="00322BB1" w:rsidRPr="00322BB1" w:rsidRDefault="00322BB1" w:rsidP="00322BB1">
            <w:pPr>
              <w:jc w:val="center"/>
              <w:rPr>
                <w:rFonts w:ascii="Arial" w:eastAsia="Cambria" w:hAnsi="Arial" w:cs="Arial"/>
                <w:b/>
                <w:color w:val="000000"/>
                <w:sz w:val="22"/>
                <w:szCs w:val="22"/>
                <w:lang w:val="es-ES_tradnl" w:eastAsia="en-US"/>
              </w:rPr>
            </w:pPr>
            <w:r w:rsidRPr="00322BB1">
              <w:rPr>
                <w:rFonts w:ascii="Arial" w:eastAsia="Cambria" w:hAnsi="Arial" w:cs="Arial"/>
                <w:b/>
                <w:color w:val="000000"/>
                <w:sz w:val="22"/>
                <w:szCs w:val="22"/>
                <w:lang w:val="es-ES_tradnl" w:eastAsia="en-US"/>
              </w:rPr>
              <w:t>Texto vigente</w:t>
            </w:r>
          </w:p>
        </w:tc>
        <w:tc>
          <w:tcPr>
            <w:tcW w:w="4414" w:type="dxa"/>
          </w:tcPr>
          <w:p w:rsidR="00322BB1" w:rsidRPr="00322BB1" w:rsidRDefault="00322BB1" w:rsidP="00322BB1">
            <w:pPr>
              <w:jc w:val="center"/>
              <w:rPr>
                <w:rFonts w:ascii="Arial" w:eastAsia="Cambria" w:hAnsi="Arial" w:cs="Arial"/>
                <w:b/>
                <w:color w:val="000000"/>
                <w:sz w:val="22"/>
                <w:szCs w:val="22"/>
                <w:lang w:val="es-ES_tradnl" w:eastAsia="en-US"/>
              </w:rPr>
            </w:pPr>
            <w:r w:rsidRPr="00322BB1">
              <w:rPr>
                <w:rFonts w:ascii="Arial" w:eastAsia="Cambria" w:hAnsi="Arial" w:cs="Arial"/>
                <w:b/>
                <w:color w:val="000000"/>
                <w:sz w:val="22"/>
                <w:szCs w:val="22"/>
                <w:lang w:val="es-ES_tradnl" w:eastAsia="en-US"/>
              </w:rPr>
              <w:t>Texto propuesto</w:t>
            </w:r>
          </w:p>
        </w:tc>
      </w:tr>
      <w:tr w:rsidR="00322BB1" w:rsidRPr="00322BB1" w:rsidTr="006C2BDB">
        <w:tc>
          <w:tcPr>
            <w:tcW w:w="4414" w:type="dxa"/>
          </w:tcPr>
          <w:p w:rsidR="00322BB1" w:rsidRPr="00322BB1" w:rsidRDefault="00322BB1" w:rsidP="00322BB1">
            <w:pPr>
              <w:ind w:left="284"/>
              <w:jc w:val="both"/>
              <w:rPr>
                <w:rFonts w:ascii="Arial" w:eastAsia="Cambria" w:hAnsi="Arial" w:cs="Arial"/>
                <w:lang w:val="es-ES_tradnl" w:eastAsia="en-US"/>
              </w:rPr>
            </w:pPr>
            <w:r w:rsidRPr="00322BB1">
              <w:rPr>
                <w:rFonts w:ascii="Arial" w:eastAsia="Cambria" w:hAnsi="Arial" w:cs="Arial"/>
                <w:lang w:val="es-ES_tradnl" w:eastAsia="en-US"/>
              </w:rPr>
              <w:t>Artículo 101</w:t>
            </w:r>
          </w:p>
          <w:p w:rsidR="00322BB1" w:rsidRPr="00322BB1" w:rsidRDefault="00322BB1" w:rsidP="00322BB1">
            <w:pPr>
              <w:ind w:left="426" w:right="333"/>
              <w:jc w:val="both"/>
              <w:rPr>
                <w:rFonts w:ascii="Arial" w:eastAsia="Cambria" w:hAnsi="Arial" w:cs="Arial"/>
                <w:lang w:val="es-ES_tradnl" w:eastAsia="en-US"/>
              </w:rPr>
            </w:pPr>
          </w:p>
          <w:p w:rsidR="00322BB1" w:rsidRPr="00322BB1" w:rsidRDefault="00322BB1" w:rsidP="00322BB1">
            <w:pPr>
              <w:ind w:left="426" w:right="333"/>
              <w:jc w:val="both"/>
              <w:rPr>
                <w:rFonts w:ascii="Arial" w:eastAsia="Cambria" w:hAnsi="Arial" w:cs="Arial"/>
                <w:lang w:val="es-ES_tradnl" w:eastAsia="en-US"/>
              </w:rPr>
            </w:pPr>
            <w:r w:rsidRPr="00322BB1">
              <w:rPr>
                <w:rFonts w:ascii="Arial" w:eastAsia="Cambria" w:hAnsi="Arial" w:cs="Arial"/>
                <w:lang w:val="es-ES_tradnl" w:eastAsia="en-US"/>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tc>
        <w:tc>
          <w:tcPr>
            <w:tcW w:w="4414" w:type="dxa"/>
          </w:tcPr>
          <w:p w:rsidR="00322BB1" w:rsidRPr="00322BB1" w:rsidRDefault="00322BB1" w:rsidP="00322BB1">
            <w:pPr>
              <w:ind w:left="284"/>
              <w:jc w:val="both"/>
              <w:rPr>
                <w:rFonts w:ascii="Arial" w:eastAsia="Cambria" w:hAnsi="Arial" w:cs="Arial"/>
                <w:lang w:val="es-ES_tradnl" w:eastAsia="en-US"/>
              </w:rPr>
            </w:pPr>
            <w:r w:rsidRPr="00322BB1">
              <w:rPr>
                <w:rFonts w:ascii="Arial" w:eastAsia="Cambria" w:hAnsi="Arial" w:cs="Arial"/>
                <w:lang w:val="es-ES_tradnl" w:eastAsia="en-US"/>
              </w:rPr>
              <w:t>Artículo 101</w:t>
            </w:r>
          </w:p>
          <w:p w:rsidR="00322BB1" w:rsidRPr="00322BB1" w:rsidRDefault="00322BB1" w:rsidP="00322BB1">
            <w:pPr>
              <w:ind w:left="284"/>
              <w:jc w:val="both"/>
              <w:rPr>
                <w:rFonts w:ascii="Arial" w:eastAsia="Cambria" w:hAnsi="Arial" w:cs="Arial"/>
                <w:lang w:val="es-ES_tradnl" w:eastAsia="en-US"/>
              </w:rPr>
            </w:pPr>
          </w:p>
          <w:p w:rsidR="00322BB1" w:rsidRPr="00322BB1" w:rsidRDefault="00322BB1" w:rsidP="00322BB1">
            <w:pPr>
              <w:ind w:left="284"/>
              <w:jc w:val="both"/>
              <w:rPr>
                <w:rFonts w:ascii="Arial" w:eastAsia="Cambria" w:hAnsi="Arial" w:cs="Arial"/>
                <w:lang w:val="es-ES_tradnl" w:eastAsia="en-US"/>
              </w:rPr>
            </w:pPr>
            <w:r w:rsidRPr="00322BB1">
              <w:rPr>
                <w:rFonts w:ascii="Arial" w:eastAsia="Cambria" w:hAnsi="Arial" w:cs="Arial"/>
                <w:lang w:val="es-ES_tradnl" w:eastAsia="en-US"/>
              </w:rPr>
              <w:t xml:space="preserve">Las propuestas para crear, modificar, o eliminar Políticas Específicas, deberán </w:t>
            </w:r>
            <w:r w:rsidRPr="00322BB1">
              <w:rPr>
                <w:rFonts w:ascii="Arial" w:eastAsia="Cambria" w:hAnsi="Arial" w:cs="Arial"/>
                <w:b/>
                <w:lang w:val="es-ES_tradnl" w:eastAsia="en-US"/>
              </w:rPr>
              <w:t>ser consultadas a la comunidad institucional</w:t>
            </w:r>
            <w:r w:rsidRPr="00322BB1">
              <w:rPr>
                <w:rFonts w:ascii="Arial" w:eastAsia="Cambria" w:hAnsi="Arial" w:cs="Arial"/>
                <w:lang w:val="es-ES_tradnl" w:eastAsia="en-US"/>
              </w:rPr>
              <w:t xml:space="preserve"> </w:t>
            </w:r>
            <w:r w:rsidRPr="00322BB1">
              <w:rPr>
                <w:rFonts w:ascii="Arial" w:eastAsia="Cambria" w:hAnsi="Arial" w:cs="Arial"/>
                <w:b/>
                <w:lang w:val="es-ES_tradnl" w:eastAsia="en-US"/>
              </w:rPr>
              <w:t xml:space="preserve">por parte del Consejo Institucional </w:t>
            </w:r>
            <w:r w:rsidRPr="00322BB1">
              <w:rPr>
                <w:rFonts w:ascii="Arial" w:eastAsia="Cambria" w:hAnsi="Arial" w:cs="Arial"/>
                <w:lang w:val="es-ES_tradnl" w:eastAsia="en-US"/>
              </w:rPr>
              <w:t>con</w:t>
            </w:r>
            <w:r w:rsidRPr="00322BB1">
              <w:rPr>
                <w:rFonts w:ascii="Arial" w:eastAsia="Cambria" w:hAnsi="Arial" w:cs="Arial"/>
                <w:b/>
                <w:lang w:val="es-ES_tradnl" w:eastAsia="en-US"/>
              </w:rPr>
              <w:t xml:space="preserve"> </w:t>
            </w:r>
            <w:r w:rsidRPr="00322BB1">
              <w:rPr>
                <w:rFonts w:ascii="Arial" w:eastAsia="Cambria" w:hAnsi="Arial" w:cs="Arial"/>
                <w:lang w:val="es-ES_tradnl" w:eastAsia="en-US"/>
              </w:rPr>
              <w:t xml:space="preserve">al menos </w:t>
            </w:r>
            <w:r w:rsidRPr="00322BB1">
              <w:rPr>
                <w:rFonts w:ascii="Arial" w:eastAsia="Cambria" w:hAnsi="Arial" w:cs="Arial"/>
                <w:b/>
                <w:lang w:val="es-ES_tradnl" w:eastAsia="en-US"/>
              </w:rPr>
              <w:t>diez días hábiles</w:t>
            </w:r>
            <w:r w:rsidRPr="00322BB1">
              <w:rPr>
                <w:rFonts w:ascii="Arial" w:eastAsia="Cambria" w:hAnsi="Arial" w:cs="Arial"/>
                <w:lang w:val="es-ES_tradnl" w:eastAsia="en-US"/>
              </w:rPr>
              <w:t xml:space="preserve">, antes de su discusión y aprobación en el pleno de este órgano, para que los interesados envíen las observaciones que estimen pertinentes. </w:t>
            </w:r>
          </w:p>
          <w:p w:rsidR="00322BB1" w:rsidRPr="00322BB1" w:rsidRDefault="00322BB1" w:rsidP="00322BB1">
            <w:pPr>
              <w:jc w:val="both"/>
              <w:rPr>
                <w:rFonts w:ascii="Arial" w:eastAsia="Cambria" w:hAnsi="Arial" w:cs="Arial"/>
                <w:b/>
                <w:color w:val="000000"/>
                <w:sz w:val="22"/>
                <w:szCs w:val="22"/>
                <w:lang w:val="es-ES_tradnl" w:eastAsia="en-US"/>
              </w:rPr>
            </w:pPr>
          </w:p>
        </w:tc>
      </w:tr>
    </w:tbl>
    <w:p w:rsidR="00322BB1" w:rsidRPr="00322BB1" w:rsidRDefault="00322BB1" w:rsidP="00322BB1">
      <w:pPr>
        <w:jc w:val="both"/>
        <w:rPr>
          <w:rFonts w:ascii="Arial" w:eastAsia="Cambria" w:hAnsi="Arial" w:cs="Arial"/>
          <w:b/>
          <w:color w:val="000000"/>
          <w:sz w:val="22"/>
          <w:szCs w:val="22"/>
          <w:lang w:val="es-ES_tradnl" w:eastAsia="en-US"/>
        </w:rPr>
      </w:pPr>
    </w:p>
    <w:p w:rsidR="00322BB1" w:rsidRPr="00322BB1" w:rsidRDefault="00322BB1" w:rsidP="00322BB1">
      <w:pPr>
        <w:jc w:val="both"/>
        <w:rPr>
          <w:rFonts w:ascii="Arial" w:eastAsia="Cambria" w:hAnsi="Arial" w:cs="Arial"/>
          <w:b/>
          <w:color w:val="000000"/>
          <w:sz w:val="22"/>
          <w:szCs w:val="22"/>
          <w:lang w:val="es-ES_tradnl" w:eastAsia="en-US"/>
        </w:rPr>
      </w:pPr>
    </w:p>
    <w:p w:rsidR="00322BB1" w:rsidRPr="00322BB1" w:rsidRDefault="00322BB1" w:rsidP="00322BB1">
      <w:pPr>
        <w:numPr>
          <w:ilvl w:val="0"/>
          <w:numId w:val="46"/>
        </w:numPr>
        <w:ind w:left="426" w:hanging="426"/>
        <w:jc w:val="both"/>
        <w:rPr>
          <w:rFonts w:ascii="Arial" w:eastAsia="Calibri" w:hAnsi="Arial" w:cs="Arial"/>
          <w:color w:val="000000"/>
          <w:sz w:val="22"/>
          <w:szCs w:val="22"/>
          <w:lang w:val="es-CR"/>
        </w:rPr>
      </w:pPr>
      <w:r w:rsidRPr="00322BB1">
        <w:rPr>
          <w:rFonts w:ascii="Arial" w:eastAsia="Cambria" w:hAnsi="Arial" w:cs="Arial"/>
          <w:lang w:val="es-ES_tradnl" w:eastAsia="en-US"/>
        </w:rPr>
        <w:t>Adjuntar la propuesta de reforma al artículo 101 del Estatuto Orgánico del ITCR, en el formato utilizado por el Directorio de la Asamblea Institucional.</w:t>
      </w:r>
    </w:p>
    <w:p w:rsidR="00322BB1" w:rsidRPr="00322BB1" w:rsidRDefault="00322BB1" w:rsidP="00322BB1">
      <w:pPr>
        <w:ind w:left="426"/>
        <w:jc w:val="both"/>
        <w:rPr>
          <w:rFonts w:ascii="Arial" w:eastAsia="Calibri" w:hAnsi="Arial" w:cs="Arial"/>
          <w:color w:val="000000"/>
          <w:sz w:val="22"/>
          <w:szCs w:val="22"/>
          <w:lang w:val="es-CR"/>
        </w:rPr>
      </w:pPr>
    </w:p>
    <w:p w:rsidR="00322BB1" w:rsidRPr="00322BB1" w:rsidRDefault="00322BB1" w:rsidP="007742A1">
      <w:pPr>
        <w:numPr>
          <w:ilvl w:val="0"/>
          <w:numId w:val="46"/>
        </w:numPr>
        <w:ind w:left="426" w:hanging="426"/>
        <w:jc w:val="both"/>
        <w:rPr>
          <w:rFonts w:ascii="Arial" w:eastAsia="Calibri" w:hAnsi="Arial" w:cs="Arial"/>
          <w:color w:val="000000"/>
          <w:sz w:val="22"/>
          <w:szCs w:val="22"/>
          <w:lang w:val="es-CR"/>
        </w:rPr>
      </w:pPr>
      <w:r w:rsidRPr="00322BB1">
        <w:rPr>
          <w:rFonts w:ascii="Arial" w:eastAsia="Cambria" w:hAnsi="Arial" w:cs="Arial"/>
          <w:lang w:val="es-ES_tradnl" w:eastAsia="en-US"/>
        </w:rPr>
        <w:t>Designar a los miembros de la Comisión de Estatuto Orgánico, para que concilie en caso de que se requiera en el trámite desarrollado por la AIR.</w:t>
      </w:r>
    </w:p>
    <w:p w:rsidR="009E5D29" w:rsidRDefault="009E5D29" w:rsidP="007742A1">
      <w:pPr>
        <w:jc w:val="both"/>
        <w:rPr>
          <w:rFonts w:ascii="Arial" w:eastAsia="Cambria" w:hAnsi="Arial" w:cs="Arial"/>
          <w:lang w:val="es-ES_tradnl" w:eastAsia="en-US"/>
        </w:rPr>
      </w:pPr>
    </w:p>
    <w:p w:rsidR="00BD426A" w:rsidRDefault="00BD426A" w:rsidP="00322BB1">
      <w:pPr>
        <w:numPr>
          <w:ilvl w:val="0"/>
          <w:numId w:val="46"/>
        </w:numPr>
        <w:ind w:left="426" w:hanging="426"/>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9E5D29" w:rsidRDefault="009E5D29" w:rsidP="009E5D29">
      <w:pPr>
        <w:pBdr>
          <w:top w:val="nil"/>
          <w:left w:val="nil"/>
          <w:bottom w:val="nil"/>
          <w:right w:val="nil"/>
          <w:between w:val="nil"/>
        </w:pBdr>
        <w:jc w:val="both"/>
        <w:textAlignment w:val="baseline"/>
        <w:rPr>
          <w:rFonts w:ascii="Arial" w:hAnsi="Arial" w:cs="Arial"/>
          <w:b/>
          <w:lang w:val="es-CR"/>
        </w:rPr>
      </w:pPr>
    </w:p>
    <w:p w:rsidR="00322BB1" w:rsidRPr="00322BB1" w:rsidRDefault="00322BB1" w:rsidP="00322BB1">
      <w:pPr>
        <w:jc w:val="both"/>
        <w:rPr>
          <w:rFonts w:ascii="Arial" w:eastAsia="Cambria" w:hAnsi="Arial" w:cs="Arial"/>
          <w:b/>
          <w:color w:val="000000"/>
          <w:lang w:val="es-ES_tradnl" w:eastAsia="en-US"/>
        </w:rPr>
      </w:pPr>
      <w:r w:rsidRPr="00322BB1">
        <w:rPr>
          <w:rFonts w:ascii="Arial" w:eastAsia="Cambria" w:hAnsi="Arial" w:cs="Arial"/>
          <w:b/>
          <w:color w:val="000000"/>
          <w:sz w:val="22"/>
          <w:szCs w:val="22"/>
          <w:lang w:val="es-ES_tradnl" w:eastAsia="en-US"/>
        </w:rPr>
        <w:t>Palabras Clave</w:t>
      </w:r>
      <w:proofErr w:type="gramStart"/>
      <w:r w:rsidRPr="00322BB1">
        <w:rPr>
          <w:rFonts w:ascii="Arial" w:eastAsia="Cambria" w:hAnsi="Arial" w:cs="Arial"/>
          <w:b/>
          <w:color w:val="000000"/>
          <w:sz w:val="22"/>
          <w:szCs w:val="22"/>
          <w:lang w:val="es-ES_tradnl" w:eastAsia="en-US"/>
        </w:rPr>
        <w:t xml:space="preserve">:  </w:t>
      </w:r>
      <w:r w:rsidRPr="00322BB1">
        <w:rPr>
          <w:rFonts w:ascii="Arial" w:eastAsia="Cambria" w:hAnsi="Arial" w:cs="Arial"/>
          <w:color w:val="000000"/>
          <w:sz w:val="22"/>
          <w:szCs w:val="22"/>
          <w:lang w:val="es-ES_tradnl" w:eastAsia="en-US"/>
        </w:rPr>
        <w:t>Artículo</w:t>
      </w:r>
      <w:proofErr w:type="gramEnd"/>
      <w:r w:rsidRPr="00322BB1">
        <w:rPr>
          <w:rFonts w:ascii="Arial" w:eastAsia="Cambria" w:hAnsi="Arial" w:cs="Arial"/>
          <w:color w:val="000000"/>
          <w:sz w:val="22"/>
          <w:szCs w:val="22"/>
          <w:lang w:val="es-ES_tradnl" w:eastAsia="en-US"/>
        </w:rPr>
        <w:t xml:space="preserve"> 101, reforma, Estatuto Orgánico, Políticas Específicas</w:t>
      </w:r>
      <w:r w:rsidRPr="00322BB1">
        <w:rPr>
          <w:rFonts w:ascii="Arial" w:eastAsia="Cambria" w:hAnsi="Arial" w:cs="Arial"/>
          <w:b/>
          <w:color w:val="000000"/>
          <w:sz w:val="22"/>
          <w:szCs w:val="22"/>
          <w:lang w:val="es-ES_tradnl" w:eastAsia="en-US"/>
        </w:rPr>
        <w:tab/>
        <w:t xml:space="preserve"> </w:t>
      </w:r>
    </w:p>
    <w:p w:rsidR="00322BB1" w:rsidRPr="00322BB1" w:rsidRDefault="00322BB1" w:rsidP="00322BB1">
      <w:pPr>
        <w:spacing w:after="200" w:line="276" w:lineRule="auto"/>
        <w:rPr>
          <w:rFonts w:ascii="Arial" w:eastAsia="Cambria" w:hAnsi="Arial" w:cs="Arial"/>
          <w:b/>
          <w:color w:val="000000"/>
          <w:lang w:val="es-ES_tradnl" w:eastAsia="en-US"/>
        </w:rPr>
      </w:pPr>
    </w:p>
    <w:p w:rsidR="009E5D29" w:rsidRPr="00322BB1" w:rsidRDefault="009E5D29" w:rsidP="009E5D29">
      <w:pPr>
        <w:pBdr>
          <w:top w:val="nil"/>
          <w:left w:val="nil"/>
          <w:bottom w:val="nil"/>
          <w:right w:val="nil"/>
          <w:between w:val="nil"/>
        </w:pBdr>
        <w:jc w:val="both"/>
        <w:textAlignment w:val="baseline"/>
        <w:rPr>
          <w:rFonts w:ascii="Arial" w:hAnsi="Arial" w:cs="Arial"/>
          <w:b/>
          <w:lang w:val="es-ES_tradnl"/>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9E5D29" w:rsidTr="006C2BDB">
        <w:trPr>
          <w:trHeight w:val="183"/>
        </w:trPr>
        <w:tc>
          <w:tcPr>
            <w:tcW w:w="4361" w:type="dxa"/>
          </w:tcPr>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9E5D29" w:rsidRDefault="009E5D29" w:rsidP="006C2BD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9E5D29" w:rsidRDefault="009E5D29" w:rsidP="006C2BDB">
            <w:pPr>
              <w:ind w:left="-567" w:firstLine="567"/>
              <w:jc w:val="both"/>
              <w:rPr>
                <w:rFonts w:ascii="Arial" w:eastAsia="Cambria" w:hAnsi="Arial" w:cs="Arial"/>
                <w:b/>
                <w:sz w:val="16"/>
                <w:szCs w:val="16"/>
                <w:lang w:val="es-ES_tradnl" w:eastAsia="en-US"/>
              </w:rPr>
            </w:pPr>
          </w:p>
          <w:p w:rsidR="009E5D29" w:rsidRDefault="009E5D29" w:rsidP="006C2BDB">
            <w:pPr>
              <w:ind w:left="-567" w:firstLine="567"/>
              <w:jc w:val="both"/>
              <w:rPr>
                <w:rFonts w:ascii="Arial" w:eastAsia="Cambria" w:hAnsi="Arial" w:cs="Arial"/>
                <w:b/>
                <w:sz w:val="16"/>
                <w:szCs w:val="16"/>
                <w:lang w:val="es-ES_tradnl" w:eastAsia="en-US"/>
              </w:rPr>
            </w:pPr>
          </w:p>
        </w:tc>
        <w:tc>
          <w:tcPr>
            <w:tcW w:w="4361" w:type="dxa"/>
          </w:tcPr>
          <w:p w:rsidR="009E5D29" w:rsidRDefault="009E5D29"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9E5D29" w:rsidRDefault="009E5D29" w:rsidP="006C2BD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9E5D29" w:rsidRDefault="009E5D29"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9E5D29" w:rsidRDefault="009E5D29" w:rsidP="006C2BD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9E5D29" w:rsidRDefault="009E5D29" w:rsidP="006C2BDB">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9E5D29" w:rsidRDefault="009E5D29" w:rsidP="006C2BDB">
            <w:pPr>
              <w:ind w:left="-567" w:firstLine="567"/>
              <w:jc w:val="both"/>
              <w:rPr>
                <w:rFonts w:ascii="Arial" w:eastAsia="Cambria" w:hAnsi="Arial" w:cs="Arial"/>
                <w:b/>
                <w:sz w:val="16"/>
                <w:szCs w:val="16"/>
                <w:lang w:val="es-ES_tradnl" w:eastAsia="en-US"/>
              </w:rPr>
            </w:pPr>
          </w:p>
          <w:p w:rsidR="009E5D29" w:rsidRDefault="009E5D29" w:rsidP="006C2BDB">
            <w:pPr>
              <w:jc w:val="both"/>
              <w:rPr>
                <w:rFonts w:ascii="Arial" w:eastAsia="Cambria" w:hAnsi="Arial" w:cs="Arial"/>
                <w:b/>
                <w:sz w:val="16"/>
                <w:szCs w:val="16"/>
                <w:lang w:val="es-ES_tradnl" w:eastAsia="en-US"/>
              </w:rPr>
            </w:pPr>
          </w:p>
          <w:p w:rsidR="009E5D29" w:rsidRDefault="009E5D29" w:rsidP="006C2BDB">
            <w:pPr>
              <w:rPr>
                <w:rFonts w:ascii="Arial" w:eastAsia="Cambria" w:hAnsi="Arial" w:cs="Arial"/>
                <w:b/>
                <w:sz w:val="16"/>
                <w:szCs w:val="16"/>
                <w:lang w:val="es-CR" w:eastAsia="en-US"/>
              </w:rPr>
            </w:pPr>
          </w:p>
        </w:tc>
        <w:tc>
          <w:tcPr>
            <w:tcW w:w="4361" w:type="dxa"/>
          </w:tcPr>
          <w:p w:rsidR="009E5D29" w:rsidRDefault="009E5D29" w:rsidP="006C2BDB">
            <w:pPr>
              <w:jc w:val="both"/>
              <w:rPr>
                <w:rFonts w:ascii="Arial" w:eastAsia="Cambria" w:hAnsi="Arial" w:cs="Arial"/>
                <w:b/>
                <w:sz w:val="16"/>
                <w:szCs w:val="16"/>
                <w:lang w:val="es-ES_tradnl" w:eastAsia="en-US"/>
              </w:rPr>
            </w:pPr>
          </w:p>
        </w:tc>
        <w:tc>
          <w:tcPr>
            <w:tcW w:w="5103" w:type="dxa"/>
          </w:tcPr>
          <w:p w:rsidR="009E5D29" w:rsidRDefault="009E5D29" w:rsidP="006C2BD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03" w:rsidRDefault="005F4103">
      <w:r>
        <w:separator/>
      </w:r>
    </w:p>
  </w:endnote>
  <w:endnote w:type="continuationSeparator" w:id="0">
    <w:p w:rsidR="005F4103" w:rsidRDefault="005F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03" w:rsidRDefault="005F4103">
      <w:r>
        <w:separator/>
      </w:r>
    </w:p>
  </w:footnote>
  <w:footnote w:type="continuationSeparator" w:id="0">
    <w:p w:rsidR="005F4103" w:rsidRDefault="005F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3040</w:t>
    </w:r>
    <w:r w:rsidRPr="00D958BC">
      <w:rPr>
        <w:rFonts w:ascii="Arial" w:eastAsia="Cambria" w:hAnsi="Arial" w:cs="Arial"/>
        <w:i/>
        <w:sz w:val="18"/>
        <w:szCs w:val="18"/>
        <w:lang w:val="es-ES_tradnl" w:eastAsia="x-none"/>
      </w:rPr>
      <w:t xml:space="preserve">, Artículo </w:t>
    </w:r>
    <w:r w:rsidR="009E5D29">
      <w:rPr>
        <w:rFonts w:ascii="Arial" w:eastAsia="Cambria" w:hAnsi="Arial" w:cs="Arial"/>
        <w:i/>
        <w:sz w:val="18"/>
        <w:szCs w:val="18"/>
        <w:lang w:val="es-ES_tradnl" w:eastAsia="x-none"/>
      </w:rPr>
      <w:t>1</w:t>
    </w:r>
    <w:r w:rsidR="00322BB1">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28 de setiembre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22BB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B5F46E9"/>
    <w:multiLevelType w:val="multilevel"/>
    <w:tmpl w:val="4592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D1D1EC8"/>
    <w:multiLevelType w:val="multilevel"/>
    <w:tmpl w:val="1908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E96EBA"/>
    <w:multiLevelType w:val="multilevel"/>
    <w:tmpl w:val="2E166254"/>
    <w:lvl w:ilvl="0">
      <w:start w:val="1"/>
      <w:numFmt w:val="decimal"/>
      <w:lvlText w:val="%1."/>
      <w:lvlJc w:val="left"/>
      <w:pPr>
        <w:tabs>
          <w:tab w:val="num" w:pos="360"/>
        </w:tabs>
        <w:ind w:left="36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8BE7ED4"/>
    <w:multiLevelType w:val="hybridMultilevel"/>
    <w:tmpl w:val="2CD2F73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D603A58"/>
    <w:multiLevelType w:val="hybridMultilevel"/>
    <w:tmpl w:val="2CD2F73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4BFE0B3D"/>
    <w:multiLevelType w:val="hybridMultilevel"/>
    <w:tmpl w:val="F16677B4"/>
    <w:lvl w:ilvl="0" w:tplc="B7ACE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2413C20"/>
    <w:multiLevelType w:val="multilevel"/>
    <w:tmpl w:val="94CA7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DD5797D"/>
    <w:multiLevelType w:val="hybridMultilevel"/>
    <w:tmpl w:val="B5A61FBE"/>
    <w:lvl w:ilvl="0" w:tplc="3710D5E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8" w15:restartNumberingAfterBreak="0">
    <w:nsid w:val="6BD62F1C"/>
    <w:multiLevelType w:val="multilevel"/>
    <w:tmpl w:val="6840D0D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2"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1"/>
  </w:num>
  <w:num w:numId="2">
    <w:abstractNumId w:val="10"/>
  </w:num>
  <w:num w:numId="3">
    <w:abstractNumId w:val="19"/>
  </w:num>
  <w:num w:numId="4">
    <w:abstractNumId w:val="42"/>
  </w:num>
  <w:num w:numId="5">
    <w:abstractNumId w:val="26"/>
  </w:num>
  <w:num w:numId="6">
    <w:abstractNumId w:val="11"/>
  </w:num>
  <w:num w:numId="7">
    <w:abstractNumId w:val="14"/>
  </w:num>
  <w:num w:numId="8">
    <w:abstractNumId w:val="15"/>
  </w:num>
  <w:num w:numId="9">
    <w:abstractNumId w:val="26"/>
  </w:num>
  <w:num w:numId="10">
    <w:abstractNumId w:val="13"/>
  </w:num>
  <w:num w:numId="11">
    <w:abstractNumId w:val="29"/>
  </w:num>
  <w:num w:numId="12">
    <w:abstractNumId w:val="23"/>
  </w:num>
  <w:num w:numId="13">
    <w:abstractNumId w:val="0"/>
  </w:num>
  <w:num w:numId="14">
    <w:abstractNumId w:val="17"/>
  </w:num>
  <w:num w:numId="15">
    <w:abstractNumId w:val="40"/>
  </w:num>
  <w:num w:numId="16">
    <w:abstractNumId w:val="37"/>
  </w:num>
  <w:num w:numId="17">
    <w:abstractNumId w:val="6"/>
  </w:num>
  <w:num w:numId="18">
    <w:abstractNumId w:val="25"/>
  </w:num>
  <w:num w:numId="19">
    <w:abstractNumId w:val="4"/>
  </w:num>
  <w:num w:numId="20">
    <w:abstractNumId w:val="22"/>
  </w:num>
  <w:num w:numId="21">
    <w:abstractNumId w:val="3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9"/>
  </w:num>
  <w:num w:numId="26">
    <w:abstractNumId w:val="24"/>
  </w:num>
  <w:num w:numId="27">
    <w:abstractNumId w:val="20"/>
  </w:num>
  <w:num w:numId="28">
    <w:abstractNumId w:val="7"/>
  </w:num>
  <w:num w:numId="29">
    <w:abstractNumId w:val="36"/>
  </w:num>
  <w:num w:numId="30">
    <w:abstractNumId w:val="31"/>
  </w:num>
  <w:num w:numId="31">
    <w:abstractNumId w:val="35"/>
  </w:num>
  <w:num w:numId="32">
    <w:abstractNumId w:val="43"/>
  </w:num>
  <w:num w:numId="33">
    <w:abstractNumId w:val="16"/>
  </w:num>
  <w:num w:numId="34">
    <w:abstractNumId w:val="2"/>
  </w:num>
  <w:num w:numId="35">
    <w:abstractNumId w:val="32"/>
  </w:num>
  <w:num w:numId="36">
    <w:abstractNumId w:val="34"/>
  </w:num>
  <w:num w:numId="37">
    <w:abstractNumId w:val="41"/>
  </w:num>
  <w:num w:numId="38">
    <w:abstractNumId w:val="5"/>
  </w:num>
  <w:num w:numId="39">
    <w:abstractNumId w:val="30"/>
    <w:lvlOverride w:ilvl="0">
      <w:lvl w:ilvl="0">
        <w:start w:val="1"/>
        <w:numFmt w:val="decimal"/>
        <w:lvlText w:val="%1."/>
        <w:lvlJc w:val="left"/>
        <w:pPr>
          <w:ind w:left="360" w:hanging="360"/>
        </w:pPr>
        <w:rPr>
          <w:rFonts w:ascii="Arial" w:hAnsi="Arial" w:cs="Arial" w:hint="default"/>
          <w:b/>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0">
    <w:abstractNumId w:val="38"/>
  </w:num>
  <w:num w:numId="41">
    <w:abstractNumId w:val="12"/>
  </w:num>
  <w:num w:numId="42">
    <w:abstractNumId w:val="8"/>
    <w:lvlOverride w:ilvl="0">
      <w:lvl w:ilvl="0">
        <w:numFmt w:val="lowerLetter"/>
        <w:lvlText w:val="%1."/>
        <w:lvlJc w:val="left"/>
      </w:lvl>
    </w:lvlOverride>
  </w:num>
  <w:num w:numId="43">
    <w:abstractNumId w:val="27"/>
  </w:num>
  <w:num w:numId="44">
    <w:abstractNumId w:val="18"/>
  </w:num>
  <w:num w:numId="45">
    <w:abstractNumId w:val="21"/>
  </w:num>
  <w:num w:numId="4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40A"/>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41CF"/>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2BB1"/>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32DC"/>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4103"/>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4051"/>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5D29"/>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1E09"/>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322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6D5B-C95E-4A0C-86B7-17C3C128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152</cp:revision>
  <cp:lastPrinted>2017-09-29T16:52:00Z</cp:lastPrinted>
  <dcterms:created xsi:type="dcterms:W3CDTF">2016-10-05T20:00:00Z</dcterms:created>
  <dcterms:modified xsi:type="dcterms:W3CDTF">2017-09-29T17:37:00Z</dcterms:modified>
</cp:coreProperties>
</file>