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302A99">
        <w:rPr>
          <w:rFonts w:ascii="Arial" w:hAnsi="Arial" w:cs="Arial"/>
          <w:b/>
          <w:bCs/>
          <w:iCs/>
          <w:sz w:val="26"/>
          <w:szCs w:val="22"/>
          <w:lang w:val="es-CR"/>
        </w:rPr>
        <w:t>880</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F41044" w:rsidRPr="00ED5B24" w:rsidRDefault="00190010" w:rsidP="00337455">
            <w:pPr>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Dr. Julio Calvo Alvarado</w:t>
            </w:r>
            <w:r w:rsidR="0090700F" w:rsidRPr="00ED5B24">
              <w:rPr>
                <w:rFonts w:ascii="Arial" w:eastAsia="Cambria" w:hAnsi="Arial" w:cs="Arial"/>
                <w:sz w:val="20"/>
                <w:szCs w:val="20"/>
                <w:lang w:val="es-ES_tradnl" w:eastAsia="en-US"/>
              </w:rPr>
              <w:t>, Rector</w:t>
            </w:r>
          </w:p>
          <w:p w:rsidR="00E65876" w:rsidRDefault="00302A99" w:rsidP="006B1D76">
            <w:pPr>
              <w:ind w:left="45"/>
              <w:jc w:val="both"/>
              <w:rPr>
                <w:rFonts w:ascii="Arial" w:hAnsi="Arial" w:cs="Arial"/>
                <w:sz w:val="22"/>
                <w:szCs w:val="22"/>
                <w:lang w:val="es-CR"/>
              </w:rPr>
            </w:pPr>
            <w:r w:rsidRPr="00302A99">
              <w:rPr>
                <w:rFonts w:ascii="Arial" w:hAnsi="Arial" w:cs="Arial"/>
                <w:sz w:val="22"/>
                <w:szCs w:val="22"/>
                <w:lang w:val="es-CR"/>
              </w:rPr>
              <w:t xml:space="preserve">Licda. Ana Julia Araya Alfaro, Jefa de Área, Área de Comisiones Legislativa </w:t>
            </w:r>
            <w:proofErr w:type="gramStart"/>
            <w:r w:rsidRPr="00302A99">
              <w:rPr>
                <w:rFonts w:ascii="Arial" w:hAnsi="Arial" w:cs="Arial"/>
                <w:sz w:val="22"/>
                <w:szCs w:val="22"/>
                <w:lang w:val="es-CR"/>
              </w:rPr>
              <w:t>II  Asamblea</w:t>
            </w:r>
            <w:proofErr w:type="gramEnd"/>
            <w:r w:rsidRPr="00302A99">
              <w:rPr>
                <w:rFonts w:ascii="Arial" w:hAnsi="Arial" w:cs="Arial"/>
                <w:sz w:val="22"/>
                <w:szCs w:val="22"/>
                <w:lang w:val="es-CR"/>
              </w:rPr>
              <w:t xml:space="preserve"> Legislativa</w:t>
            </w:r>
          </w:p>
          <w:p w:rsidR="00302A99" w:rsidRPr="00302A99" w:rsidRDefault="00302A99" w:rsidP="006B1D76">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w:t>
            </w:r>
            <w:r w:rsidR="006B1D76">
              <w:rPr>
                <w:rFonts w:ascii="Arial" w:eastAsia="Cambria" w:hAnsi="Arial" w:cs="Arial"/>
                <w:sz w:val="22"/>
                <w:szCs w:val="22"/>
                <w:lang w:val="es-ES_tradnl" w:eastAsia="en-US"/>
              </w:rPr>
              <w:t>s</w:t>
            </w:r>
            <w:r>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FA3C47"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6B1D76">
              <w:rPr>
                <w:rFonts w:ascii="Arial" w:eastAsia="Cambria" w:hAnsi="Arial" w:cs="Arial"/>
                <w:b/>
                <w:sz w:val="22"/>
                <w:szCs w:val="22"/>
                <w:lang w:val="es-ES_tradnl" w:eastAsia="en-US"/>
              </w:rPr>
              <w:t>9</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841F61">
              <w:rPr>
                <w:rFonts w:ascii="Arial" w:eastAsia="Cambria" w:hAnsi="Arial" w:cs="Arial"/>
                <w:b/>
                <w:sz w:val="22"/>
                <w:szCs w:val="22"/>
                <w:lang w:val="es-ES_tradnl" w:eastAsia="en-US"/>
              </w:rPr>
              <w:t>noviem</w:t>
            </w:r>
            <w:r w:rsidR="00AA0A77">
              <w:rPr>
                <w:rFonts w:ascii="Arial" w:eastAsia="Cambria" w:hAnsi="Arial" w:cs="Arial"/>
                <w:b/>
                <w:sz w:val="22"/>
                <w:szCs w:val="22"/>
                <w:lang w:val="es-ES_tradnl" w:eastAsia="en-US"/>
              </w:rPr>
              <w:t>b</w:t>
            </w:r>
            <w:r w:rsidR="00190010">
              <w:rPr>
                <w:rFonts w:ascii="Arial" w:eastAsia="Cambria" w:hAnsi="Arial" w:cs="Arial"/>
                <w:b/>
                <w:sz w:val="22"/>
                <w:szCs w:val="22"/>
                <w:lang w:val="es-ES_tradnl" w:eastAsia="en-US"/>
              </w:rPr>
              <w:t>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887FCC" w:rsidRPr="006B1D76" w:rsidRDefault="007742A1" w:rsidP="00887FCC">
            <w:pPr>
              <w:jc w:val="both"/>
              <w:rPr>
                <w:rFonts w:ascii="Arial" w:hAnsi="Arial" w:cs="Arial"/>
                <w:b/>
                <w:sz w:val="22"/>
                <w:szCs w:val="22"/>
                <w:u w:val="single"/>
                <w:lang w:val="es-CR"/>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190010">
              <w:rPr>
                <w:rFonts w:ascii="Arial" w:eastAsia="Calibri" w:hAnsi="Arial" w:cs="Arial"/>
                <w:b/>
                <w:sz w:val="22"/>
                <w:szCs w:val="22"/>
              </w:rPr>
              <w:t>4</w:t>
            </w:r>
            <w:r w:rsidR="006B1D76">
              <w:rPr>
                <w:rFonts w:ascii="Arial" w:eastAsia="Calibri" w:hAnsi="Arial" w:cs="Arial"/>
                <w:b/>
                <w:sz w:val="22"/>
                <w:szCs w:val="22"/>
              </w:rPr>
              <w:t>9</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302A99">
              <w:rPr>
                <w:rFonts w:ascii="Arial" w:eastAsia="Calibri" w:hAnsi="Arial" w:cs="Arial"/>
                <w:b/>
                <w:sz w:val="22"/>
                <w:szCs w:val="22"/>
              </w:rPr>
              <w:t>8,</w:t>
            </w:r>
            <w:r w:rsidRPr="00267FAF">
              <w:rPr>
                <w:rFonts w:ascii="Arial" w:eastAsia="Calibri" w:hAnsi="Arial" w:cs="Arial"/>
                <w:b/>
                <w:sz w:val="22"/>
                <w:szCs w:val="22"/>
              </w:rPr>
              <w:t xml:space="preserve"> del </w:t>
            </w:r>
            <w:r w:rsidR="00FA3C47">
              <w:rPr>
                <w:rFonts w:ascii="Arial" w:eastAsia="Calibri" w:hAnsi="Arial" w:cs="Arial"/>
                <w:b/>
                <w:sz w:val="22"/>
                <w:szCs w:val="22"/>
              </w:rPr>
              <w:t>2</w:t>
            </w:r>
            <w:r w:rsidR="006B1D76">
              <w:rPr>
                <w:rFonts w:ascii="Arial" w:eastAsia="Calibri" w:hAnsi="Arial" w:cs="Arial"/>
                <w:b/>
                <w:sz w:val="22"/>
                <w:szCs w:val="22"/>
              </w:rPr>
              <w:t>9</w:t>
            </w:r>
            <w:r w:rsidRPr="00267FAF">
              <w:rPr>
                <w:rFonts w:ascii="Arial" w:eastAsia="Calibri" w:hAnsi="Arial" w:cs="Arial"/>
                <w:b/>
                <w:sz w:val="22"/>
                <w:szCs w:val="22"/>
              </w:rPr>
              <w:t xml:space="preserve"> de </w:t>
            </w:r>
            <w:r w:rsidR="00841F61">
              <w:rPr>
                <w:rFonts w:ascii="Arial" w:eastAsia="Calibri" w:hAnsi="Arial" w:cs="Arial"/>
                <w:b/>
                <w:sz w:val="22"/>
                <w:szCs w:val="22"/>
              </w:rPr>
              <w:t>noviem</w:t>
            </w:r>
            <w:r w:rsidR="00AA0A77">
              <w:rPr>
                <w:rFonts w:ascii="Arial" w:eastAsia="Calibri" w:hAnsi="Arial" w:cs="Arial"/>
                <w:b/>
                <w:sz w:val="22"/>
                <w:szCs w:val="22"/>
              </w:rPr>
              <w:t>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457DD8">
              <w:rPr>
                <w:rFonts w:ascii="Arial" w:eastAsia="Calibri" w:hAnsi="Arial" w:cs="Arial"/>
                <w:b/>
                <w:sz w:val="22"/>
                <w:szCs w:val="22"/>
              </w:rPr>
              <w:t xml:space="preserve">. </w:t>
            </w:r>
            <w:r w:rsidR="00FA3C47">
              <w:rPr>
                <w:rFonts w:ascii="Arial" w:eastAsia="Calibri" w:hAnsi="Arial" w:cs="Arial"/>
                <w:b/>
                <w:sz w:val="22"/>
                <w:szCs w:val="22"/>
              </w:rPr>
              <w:t xml:space="preserve"> </w:t>
            </w:r>
            <w:r w:rsidR="006B1D76" w:rsidRPr="006B1D76">
              <w:rPr>
                <w:rFonts w:ascii="Arial" w:eastAsia="Cambria" w:hAnsi="Arial" w:cs="Arial"/>
                <w:b/>
                <w:bCs/>
                <w:sz w:val="22"/>
                <w:szCs w:val="22"/>
                <w:lang w:val="es-CR" w:eastAsia="en-US"/>
              </w:rPr>
              <w:t>Pronunciamiento del Consejo Institucional del ITCR, sobre el Proyecto de Ley “Reforma de los artículos 176 y 184, y adición de un transitorio a la Constitución Política, para la estabilidad económica y presupuestaria, expediente Nº 20.179</w:t>
            </w:r>
          </w:p>
          <w:p w:rsidR="00CE5E1A" w:rsidRPr="007F1052" w:rsidRDefault="00CE5E1A" w:rsidP="00887FCC">
            <w:pPr>
              <w:jc w:val="both"/>
              <w:rPr>
                <w:rFonts w:ascii="Arial" w:eastAsia="Cambria" w:hAnsi="Arial" w:cs="Arial"/>
                <w:b/>
                <w:sz w:val="20"/>
                <w:szCs w:val="20"/>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302A99" w:rsidRDefault="00302A99" w:rsidP="007742A1">
      <w:pPr>
        <w:jc w:val="both"/>
        <w:rPr>
          <w:rFonts w:ascii="Arial" w:eastAsia="Cambria" w:hAnsi="Arial" w:cs="Arial"/>
          <w:lang w:val="es-ES_tradnl" w:eastAsia="en-US"/>
        </w:rPr>
      </w:pPr>
    </w:p>
    <w:p w:rsidR="00302A99" w:rsidRPr="00302A99" w:rsidRDefault="00302A99" w:rsidP="00302A99">
      <w:pPr>
        <w:contextualSpacing/>
        <w:jc w:val="both"/>
        <w:outlineLvl w:val="0"/>
        <w:rPr>
          <w:rFonts w:ascii="Arial" w:hAnsi="Arial" w:cs="Arial"/>
          <w:b/>
        </w:rPr>
      </w:pPr>
      <w:r w:rsidRPr="00302A99">
        <w:rPr>
          <w:rFonts w:ascii="Arial" w:hAnsi="Arial" w:cs="Arial"/>
          <w:b/>
        </w:rPr>
        <w:t>RESULTANDO QUE:</w:t>
      </w:r>
    </w:p>
    <w:p w:rsidR="00302A99" w:rsidRPr="00302A99" w:rsidRDefault="00302A99" w:rsidP="00302A99">
      <w:pPr>
        <w:contextualSpacing/>
        <w:jc w:val="both"/>
        <w:outlineLvl w:val="0"/>
        <w:rPr>
          <w:rFonts w:ascii="Arial" w:hAnsi="Arial" w:cs="Arial"/>
          <w:b/>
        </w:rPr>
      </w:pPr>
    </w:p>
    <w:p w:rsidR="00302A99" w:rsidRPr="00302A99" w:rsidRDefault="00302A99" w:rsidP="00302A99">
      <w:pPr>
        <w:numPr>
          <w:ilvl w:val="0"/>
          <w:numId w:val="2"/>
        </w:numPr>
        <w:ind w:left="360"/>
        <w:jc w:val="both"/>
        <w:rPr>
          <w:rFonts w:ascii="Arial" w:hAnsi="Arial" w:cs="Arial"/>
          <w:lang w:val="es-CR"/>
        </w:rPr>
      </w:pPr>
      <w:r w:rsidRPr="00302A99">
        <w:rPr>
          <w:rFonts w:ascii="Arial" w:hAnsi="Arial" w:cs="Arial"/>
          <w:lang w:val="es-CR"/>
        </w:rPr>
        <w:t>El Artículo 88 de la Constitución Política de la República de Costa Rica prescribe:</w:t>
      </w:r>
    </w:p>
    <w:p w:rsidR="00302A99" w:rsidRPr="00302A99" w:rsidRDefault="00302A99" w:rsidP="00302A99">
      <w:pPr>
        <w:ind w:left="360"/>
        <w:jc w:val="both"/>
        <w:rPr>
          <w:rFonts w:ascii="Arial" w:hAnsi="Arial" w:cs="Arial"/>
          <w:lang w:val="es-CR"/>
        </w:rPr>
      </w:pPr>
    </w:p>
    <w:p w:rsidR="00302A99" w:rsidRPr="00302A99" w:rsidRDefault="00302A99" w:rsidP="00302A99">
      <w:pPr>
        <w:ind w:left="1080" w:right="689"/>
        <w:jc w:val="both"/>
        <w:rPr>
          <w:rFonts w:ascii="Arial" w:hAnsi="Arial" w:cs="Arial"/>
          <w:i/>
          <w:sz w:val="22"/>
          <w:szCs w:val="22"/>
          <w:lang w:val="es-CR"/>
        </w:rPr>
      </w:pPr>
      <w:r w:rsidRPr="00302A99">
        <w:rPr>
          <w:rFonts w:ascii="Arial" w:hAnsi="Arial" w:cs="Arial"/>
          <w:i/>
          <w:sz w:val="20"/>
          <w:szCs w:val="20"/>
          <w:lang w:val="es-CR"/>
        </w:rPr>
        <w:t>“</w:t>
      </w:r>
      <w:r w:rsidRPr="00302A99">
        <w:rPr>
          <w:rFonts w:ascii="Arial" w:hAnsi="Arial" w:cs="Arial"/>
          <w:i/>
          <w:sz w:val="22"/>
          <w:szCs w:val="22"/>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302A99" w:rsidRPr="00302A99" w:rsidRDefault="00302A99" w:rsidP="00302A99">
      <w:pPr>
        <w:ind w:left="1080" w:right="689"/>
        <w:jc w:val="both"/>
        <w:rPr>
          <w:rFonts w:ascii="Arial" w:hAnsi="Arial" w:cs="Arial"/>
          <w:i/>
          <w:sz w:val="20"/>
          <w:szCs w:val="20"/>
          <w:lang w:val="es-CR"/>
        </w:rPr>
      </w:pPr>
    </w:p>
    <w:p w:rsidR="00302A99" w:rsidRPr="00302A99" w:rsidRDefault="00302A99" w:rsidP="00302A99">
      <w:pPr>
        <w:ind w:left="1080" w:right="689"/>
        <w:jc w:val="both"/>
        <w:rPr>
          <w:rFonts w:ascii="Arial" w:hAnsi="Arial" w:cs="Arial"/>
          <w:i/>
          <w:sz w:val="20"/>
          <w:szCs w:val="20"/>
          <w:lang w:val="es-CR"/>
        </w:rPr>
      </w:pPr>
    </w:p>
    <w:p w:rsidR="00302A99" w:rsidRPr="00302A99" w:rsidRDefault="00302A99" w:rsidP="00302A99">
      <w:pPr>
        <w:numPr>
          <w:ilvl w:val="0"/>
          <w:numId w:val="2"/>
        </w:numPr>
        <w:ind w:left="360"/>
        <w:jc w:val="both"/>
        <w:rPr>
          <w:rFonts w:ascii="Arial" w:hAnsi="Arial" w:cs="Arial"/>
          <w:lang w:val="es-CR"/>
        </w:rPr>
      </w:pPr>
      <w:r w:rsidRPr="00302A99">
        <w:rPr>
          <w:rFonts w:ascii="Arial" w:hAnsi="Arial" w:cs="Arial"/>
          <w:lang w:val="es-CR"/>
        </w:rPr>
        <w:t>El Estatuto Orgánico del Instituto Tecnológico de Costa Rica, en el Artículo 18, inciso i) señala:</w:t>
      </w:r>
    </w:p>
    <w:p w:rsidR="00302A99" w:rsidRPr="00302A99" w:rsidRDefault="00302A99" w:rsidP="00302A99">
      <w:pPr>
        <w:ind w:left="1080" w:right="689"/>
        <w:jc w:val="both"/>
        <w:rPr>
          <w:rFonts w:ascii="Arial" w:hAnsi="Arial" w:cs="Arial"/>
          <w:i/>
          <w:sz w:val="20"/>
          <w:szCs w:val="20"/>
          <w:lang w:val="es-CR"/>
        </w:rPr>
      </w:pPr>
    </w:p>
    <w:p w:rsidR="00302A99" w:rsidRPr="00302A99" w:rsidRDefault="00302A99" w:rsidP="00302A99">
      <w:pPr>
        <w:ind w:left="1080" w:right="689"/>
        <w:jc w:val="both"/>
        <w:rPr>
          <w:rFonts w:ascii="Arial" w:hAnsi="Arial" w:cs="Arial"/>
          <w:i/>
          <w:sz w:val="22"/>
          <w:szCs w:val="22"/>
          <w:lang w:val="es-CR"/>
        </w:rPr>
      </w:pPr>
      <w:r w:rsidRPr="00302A99">
        <w:rPr>
          <w:rFonts w:ascii="Arial" w:hAnsi="Arial" w:cs="Arial"/>
          <w:i/>
          <w:sz w:val="22"/>
          <w:szCs w:val="22"/>
          <w:lang w:val="es-CR"/>
        </w:rPr>
        <w:t>“Son funciones del Consejo Institucional:</w:t>
      </w:r>
    </w:p>
    <w:p w:rsidR="00302A99" w:rsidRPr="00302A99" w:rsidRDefault="00302A99" w:rsidP="00302A99">
      <w:pPr>
        <w:ind w:left="1080" w:right="689"/>
        <w:jc w:val="both"/>
        <w:rPr>
          <w:rFonts w:ascii="Arial" w:hAnsi="Arial" w:cs="Arial"/>
          <w:i/>
          <w:sz w:val="22"/>
          <w:szCs w:val="22"/>
          <w:lang w:val="es-CR"/>
        </w:rPr>
      </w:pPr>
      <w:r w:rsidRPr="00302A99">
        <w:rPr>
          <w:rFonts w:ascii="Arial" w:hAnsi="Arial" w:cs="Arial"/>
          <w:i/>
          <w:sz w:val="22"/>
          <w:szCs w:val="22"/>
          <w:lang w:val="es-CR"/>
        </w:rPr>
        <w:t>…</w:t>
      </w:r>
    </w:p>
    <w:p w:rsidR="00302A99" w:rsidRPr="00302A99" w:rsidRDefault="00302A99" w:rsidP="00302A99">
      <w:pPr>
        <w:ind w:left="1080" w:right="689"/>
        <w:jc w:val="both"/>
        <w:rPr>
          <w:rFonts w:ascii="Arial" w:hAnsi="Arial" w:cs="Arial"/>
          <w:i/>
          <w:sz w:val="22"/>
          <w:szCs w:val="22"/>
          <w:lang w:val="es-CR"/>
        </w:rPr>
      </w:pPr>
      <w:r w:rsidRPr="00302A99">
        <w:rPr>
          <w:rFonts w:ascii="Arial" w:hAnsi="Arial" w:cs="Arial"/>
          <w:i/>
          <w:sz w:val="22"/>
          <w:szCs w:val="22"/>
          <w:lang w:val="es-CR"/>
        </w:rPr>
        <w:t>Evacuar las consultas a que se refiere el Artículo 88 de la Constitución Política de la República”.</w:t>
      </w:r>
    </w:p>
    <w:p w:rsidR="00302A99" w:rsidRPr="00302A99" w:rsidRDefault="00302A99" w:rsidP="00302A99">
      <w:pPr>
        <w:ind w:right="689"/>
        <w:jc w:val="both"/>
        <w:rPr>
          <w:rFonts w:ascii="Arial" w:hAnsi="Arial" w:cs="Arial"/>
          <w:i/>
          <w:sz w:val="20"/>
          <w:szCs w:val="20"/>
          <w:lang w:val="es-CR"/>
        </w:rPr>
      </w:pPr>
    </w:p>
    <w:p w:rsidR="00302A99" w:rsidRPr="00302A99" w:rsidRDefault="00302A99" w:rsidP="00302A99">
      <w:pPr>
        <w:contextualSpacing/>
        <w:jc w:val="both"/>
        <w:outlineLvl w:val="0"/>
        <w:rPr>
          <w:rFonts w:ascii="Arial" w:hAnsi="Arial" w:cs="Arial"/>
          <w:b/>
        </w:rPr>
      </w:pPr>
      <w:r w:rsidRPr="00302A99">
        <w:rPr>
          <w:rFonts w:ascii="Arial" w:hAnsi="Arial" w:cs="Arial"/>
          <w:b/>
        </w:rPr>
        <w:t>CONSIDERANDO QUE:</w:t>
      </w:r>
    </w:p>
    <w:p w:rsidR="00302A99" w:rsidRPr="00302A99" w:rsidRDefault="00302A99" w:rsidP="00302A99">
      <w:pPr>
        <w:contextualSpacing/>
        <w:jc w:val="both"/>
        <w:outlineLvl w:val="0"/>
        <w:rPr>
          <w:rFonts w:ascii="Arial" w:hAnsi="Arial" w:cs="Arial"/>
          <w:b/>
        </w:rPr>
      </w:pPr>
    </w:p>
    <w:p w:rsidR="00302A99" w:rsidRPr="00302A99" w:rsidRDefault="00302A99" w:rsidP="00302A99">
      <w:pPr>
        <w:numPr>
          <w:ilvl w:val="0"/>
          <w:numId w:val="41"/>
        </w:numPr>
        <w:ind w:left="426" w:hanging="426"/>
        <w:jc w:val="both"/>
        <w:rPr>
          <w:rFonts w:ascii="Arial" w:hAnsi="Arial" w:cs="Arial"/>
          <w:lang w:val="es-CR"/>
        </w:rPr>
      </w:pPr>
      <w:r w:rsidRPr="00302A99">
        <w:rPr>
          <w:rFonts w:ascii="Arial" w:hAnsi="Arial" w:cs="Arial"/>
          <w:lang w:val="es-CR"/>
        </w:rPr>
        <w:t xml:space="preserve">La Secretaría del Consejo Institucional recibe mediante correo electrónico el oficio </w:t>
      </w:r>
      <w:r w:rsidRPr="00302A99">
        <w:rPr>
          <w:rFonts w:ascii="Arial" w:eastAsia="Calibri" w:hAnsi="Arial" w:cs="Arial"/>
          <w:lang w:eastAsia="en-US"/>
        </w:rPr>
        <w:t>AL-CE2017-050-2017</w:t>
      </w:r>
      <w:r w:rsidRPr="00302A99">
        <w:rPr>
          <w:rFonts w:ascii="Arial" w:hAnsi="Arial" w:cs="Arial"/>
          <w:lang w:val="es-CR"/>
        </w:rPr>
        <w:t xml:space="preserve">, con fecha de recibido 9 de noviembre de 2017, suscrito por la Licda. Ana Julia Araya Alfaro, Jefa de Área, Área de Comisiones Legislativa II de la Asamblea Legislativa, dirigido al Dr. Julio Calvo, Rector, en el cual solicita criterio sobre el Proyecto de Ley </w:t>
      </w:r>
      <w:r w:rsidRPr="00302A99">
        <w:rPr>
          <w:rFonts w:ascii="Arial" w:eastAsia="SimSun" w:hAnsi="Arial" w:cs="Arial"/>
          <w:b/>
          <w:iCs/>
          <w:lang w:val="es-ES_tradnl" w:eastAsia="en-US"/>
        </w:rPr>
        <w:t>“</w:t>
      </w:r>
      <w:r w:rsidRPr="00302A99">
        <w:rPr>
          <w:rFonts w:ascii="Arial" w:hAnsi="Arial" w:cs="Arial"/>
          <w:lang w:val="es-CR"/>
        </w:rPr>
        <w:t>Reforma de los Artículos 176 y 184 y adición de un transitorio a la Constitución Política para estabilidad económica y presupuestaria”, Expediente No. 20.179.</w:t>
      </w:r>
    </w:p>
    <w:p w:rsidR="00302A99" w:rsidRPr="00302A99" w:rsidRDefault="00302A99" w:rsidP="00302A99">
      <w:pPr>
        <w:ind w:left="426"/>
        <w:jc w:val="both"/>
        <w:rPr>
          <w:rFonts w:ascii="Arial" w:hAnsi="Arial" w:cs="Arial"/>
          <w:lang w:val="es-CR"/>
        </w:rPr>
      </w:pPr>
    </w:p>
    <w:p w:rsidR="00302A99" w:rsidRPr="00302A99" w:rsidRDefault="00302A99" w:rsidP="00302A99">
      <w:pPr>
        <w:numPr>
          <w:ilvl w:val="0"/>
          <w:numId w:val="41"/>
        </w:numPr>
        <w:ind w:left="426" w:hanging="426"/>
        <w:jc w:val="both"/>
        <w:rPr>
          <w:rFonts w:ascii="Arial" w:hAnsi="Arial" w:cs="Arial"/>
          <w:lang w:val="es-CR"/>
        </w:rPr>
      </w:pPr>
      <w:r w:rsidRPr="00302A99">
        <w:rPr>
          <w:rFonts w:ascii="Arial" w:hAnsi="Arial" w:cs="Arial"/>
          <w:lang w:val="es-CR"/>
        </w:rPr>
        <w:lastRenderedPageBreak/>
        <w:t xml:space="preserve">El precitado oficio fue conocido por el Consejo Institucional, en la Sesión No. </w:t>
      </w:r>
      <w:r w:rsidRPr="00302A99">
        <w:rPr>
          <w:rFonts w:ascii="Arial" w:eastAsia="Cambria" w:hAnsi="Arial" w:cs="Arial"/>
          <w:lang w:val="es-ES_tradnl" w:eastAsia="en-US"/>
        </w:rPr>
        <w:t>3047, celebrada el día 15 de noviembre del 2017</w:t>
      </w:r>
      <w:r w:rsidRPr="00302A99">
        <w:rPr>
          <w:rFonts w:ascii="Arial" w:hAnsi="Arial" w:cs="Arial"/>
          <w:lang w:val="es-CR"/>
        </w:rPr>
        <w:t xml:space="preserve"> y se dispone remitirlo en consulta a las siguientes instancias: Vicerrectoría de Administración, oficina de Asesoría Legal, Comisión Asesora para dictaminar Proyectos de Ley.</w:t>
      </w:r>
    </w:p>
    <w:p w:rsidR="00302A99" w:rsidRPr="00302A99" w:rsidRDefault="00302A99" w:rsidP="00302A99">
      <w:pPr>
        <w:ind w:left="708"/>
        <w:rPr>
          <w:rFonts w:ascii="Arial" w:hAnsi="Arial" w:cs="Arial"/>
          <w:highlight w:val="cyan"/>
          <w:lang w:val="es-CR"/>
        </w:rPr>
      </w:pPr>
    </w:p>
    <w:p w:rsidR="00302A99" w:rsidRPr="00302A99" w:rsidRDefault="00302A99" w:rsidP="00302A99">
      <w:pPr>
        <w:numPr>
          <w:ilvl w:val="0"/>
          <w:numId w:val="41"/>
        </w:numPr>
        <w:ind w:left="426" w:hanging="426"/>
        <w:jc w:val="both"/>
        <w:rPr>
          <w:rFonts w:ascii="Arial" w:hAnsi="Arial" w:cs="Arial"/>
          <w:lang w:val="es-CR"/>
        </w:rPr>
      </w:pPr>
      <w:r w:rsidRPr="00302A99">
        <w:rPr>
          <w:rFonts w:ascii="Arial" w:hAnsi="Arial" w:cs="Arial"/>
          <w:lang w:val="es-CR"/>
        </w:rPr>
        <w:t>Lista de oficios anexos:</w:t>
      </w:r>
    </w:p>
    <w:p w:rsidR="00302A99" w:rsidRPr="00302A99" w:rsidRDefault="00302A99" w:rsidP="00302A99">
      <w:pPr>
        <w:ind w:left="708"/>
        <w:rPr>
          <w:rFonts w:ascii="Arial" w:hAnsi="Arial" w:cs="Arial"/>
          <w:lang w:val="es-CR"/>
        </w:rPr>
      </w:pPr>
    </w:p>
    <w:p w:rsidR="00302A99" w:rsidRPr="00302A99" w:rsidRDefault="00302A99" w:rsidP="00302A99">
      <w:pPr>
        <w:ind w:left="360"/>
        <w:jc w:val="both"/>
        <w:rPr>
          <w:rFonts w:ascii="Arial" w:hAnsi="Arial" w:cs="Arial"/>
          <w:b/>
          <w:sz w:val="22"/>
          <w:szCs w:val="22"/>
          <w:lang w:val="es-CR"/>
        </w:rPr>
      </w:pPr>
      <w:r w:rsidRPr="00302A99">
        <w:rPr>
          <w:rFonts w:ascii="Arial" w:hAnsi="Arial" w:cs="Arial"/>
          <w:b/>
          <w:sz w:val="22"/>
          <w:szCs w:val="22"/>
          <w:lang w:val="es-CR"/>
        </w:rPr>
        <w:t>Anexo 1</w:t>
      </w:r>
    </w:p>
    <w:tbl>
      <w:tblPr>
        <w:tblW w:w="850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095"/>
      </w:tblGrid>
      <w:tr w:rsidR="00302A99" w:rsidRPr="00302A99" w:rsidTr="008A3834">
        <w:trPr>
          <w:trHeight w:val="398"/>
        </w:trPr>
        <w:tc>
          <w:tcPr>
            <w:tcW w:w="2409"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Oficio</w:t>
            </w:r>
          </w:p>
        </w:tc>
        <w:tc>
          <w:tcPr>
            <w:tcW w:w="6095"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Asunto</w:t>
            </w:r>
          </w:p>
        </w:tc>
      </w:tr>
      <w:tr w:rsidR="00302A99" w:rsidRPr="00302A99" w:rsidTr="008A3834">
        <w:tc>
          <w:tcPr>
            <w:tcW w:w="2409" w:type="dxa"/>
            <w:shd w:val="clear" w:color="auto" w:fill="auto"/>
          </w:tcPr>
          <w:p w:rsidR="00302A99" w:rsidRPr="00302A99" w:rsidRDefault="00302A99" w:rsidP="00302A99">
            <w:pPr>
              <w:jc w:val="both"/>
              <w:rPr>
                <w:rFonts w:ascii="Arial" w:hAnsi="Arial" w:cs="Arial"/>
                <w:sz w:val="22"/>
                <w:szCs w:val="22"/>
                <w:lang w:val="es-CR"/>
              </w:rPr>
            </w:pPr>
            <w:r w:rsidRPr="00302A99">
              <w:rPr>
                <w:rFonts w:ascii="Arial" w:hAnsi="Arial" w:cs="Arial"/>
                <w:sz w:val="22"/>
                <w:szCs w:val="22"/>
                <w:lang w:val="es-CR"/>
              </w:rPr>
              <w:t>AL-CE2017-050-2017, del 15 de noviembre de 2017 de la Asamblea Legislativa</w:t>
            </w:r>
          </w:p>
        </w:tc>
        <w:tc>
          <w:tcPr>
            <w:tcW w:w="6095" w:type="dxa"/>
            <w:shd w:val="clear" w:color="auto" w:fill="auto"/>
          </w:tcPr>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Solicitud de criterio al Instituto Tecnológico de Costa Rica sobre el Proyecto de Ley “Reforma de los Artículos 176 y 184 y adición de un transitorio a la Constitución Política para estabilidad económica y presupuestaria”, Expediente No. 20.179</w:t>
            </w:r>
          </w:p>
          <w:p w:rsidR="00302A99" w:rsidRPr="00302A99" w:rsidRDefault="00302A99" w:rsidP="00302A99">
            <w:pPr>
              <w:jc w:val="both"/>
              <w:rPr>
                <w:rFonts w:ascii="Arial" w:eastAsia="Cambria" w:hAnsi="Arial" w:cs="Arial"/>
                <w:bCs/>
                <w:iCs/>
                <w:sz w:val="22"/>
                <w:szCs w:val="22"/>
                <w:lang w:val="es-ES_tradnl" w:eastAsia="en-US"/>
              </w:rPr>
            </w:pPr>
          </w:p>
        </w:tc>
      </w:tr>
    </w:tbl>
    <w:p w:rsidR="00302A99" w:rsidRPr="00302A99" w:rsidRDefault="00302A99" w:rsidP="00302A99">
      <w:pPr>
        <w:ind w:left="360"/>
        <w:jc w:val="both"/>
        <w:rPr>
          <w:rFonts w:ascii="Arial" w:hAnsi="Arial" w:cs="Arial"/>
          <w:b/>
          <w:sz w:val="22"/>
          <w:szCs w:val="22"/>
          <w:lang w:val="es-CR"/>
        </w:rPr>
      </w:pPr>
    </w:p>
    <w:p w:rsidR="00302A99" w:rsidRPr="00302A99" w:rsidRDefault="00302A99" w:rsidP="00302A99">
      <w:pPr>
        <w:ind w:left="360"/>
        <w:jc w:val="both"/>
        <w:rPr>
          <w:rFonts w:ascii="Arial" w:hAnsi="Arial" w:cs="Arial"/>
          <w:b/>
          <w:sz w:val="22"/>
          <w:szCs w:val="22"/>
          <w:lang w:val="es-CR"/>
        </w:rPr>
      </w:pPr>
      <w:r w:rsidRPr="00302A99">
        <w:rPr>
          <w:rFonts w:ascii="Arial" w:hAnsi="Arial" w:cs="Arial"/>
          <w:b/>
          <w:sz w:val="22"/>
          <w:szCs w:val="22"/>
          <w:lang w:val="es-CR"/>
        </w:rPr>
        <w:t>Anexo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02A99" w:rsidRPr="00302A99" w:rsidTr="008A3834">
        <w:tc>
          <w:tcPr>
            <w:tcW w:w="1937"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Oficio</w:t>
            </w:r>
          </w:p>
        </w:tc>
        <w:tc>
          <w:tcPr>
            <w:tcW w:w="6374"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Asunto</w:t>
            </w:r>
          </w:p>
        </w:tc>
      </w:tr>
      <w:tr w:rsidR="00302A99" w:rsidRPr="00302A99" w:rsidTr="008A3834">
        <w:tc>
          <w:tcPr>
            <w:tcW w:w="1937" w:type="dxa"/>
            <w:shd w:val="clear" w:color="auto" w:fill="auto"/>
          </w:tcPr>
          <w:p w:rsidR="00302A99" w:rsidRPr="00302A99" w:rsidRDefault="00302A99" w:rsidP="00302A99">
            <w:pPr>
              <w:jc w:val="both"/>
              <w:rPr>
                <w:rFonts w:ascii="Arial" w:hAnsi="Arial" w:cs="Arial"/>
                <w:sz w:val="22"/>
                <w:szCs w:val="22"/>
              </w:rPr>
            </w:pPr>
            <w:r w:rsidRPr="00302A99">
              <w:rPr>
                <w:rFonts w:ascii="Arial" w:hAnsi="Arial" w:cs="Arial"/>
                <w:sz w:val="22"/>
                <w:szCs w:val="22"/>
              </w:rPr>
              <w:t>SCI-804-2017, del 15 de noviembre  de 2017</w:t>
            </w:r>
          </w:p>
        </w:tc>
        <w:tc>
          <w:tcPr>
            <w:tcW w:w="6374" w:type="dxa"/>
            <w:shd w:val="clear" w:color="auto" w:fill="auto"/>
          </w:tcPr>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Solicitud de criterio a la Vicerrectoría de Administración, Oficina de Asesoría Legal, sobre el Proyecto de Ley “Reforma de los Artículos 176 y 184 y adición de un transitorio a la Constitución Política para estabilidad económica y presupuestaria”, Expediente No. 20.179</w:t>
            </w:r>
          </w:p>
        </w:tc>
      </w:tr>
    </w:tbl>
    <w:p w:rsidR="00302A99" w:rsidRPr="00302A99" w:rsidRDefault="00302A99" w:rsidP="00302A99">
      <w:pPr>
        <w:jc w:val="both"/>
        <w:rPr>
          <w:rFonts w:ascii="Arial" w:hAnsi="Arial" w:cs="Arial"/>
          <w:b/>
          <w:sz w:val="22"/>
          <w:szCs w:val="22"/>
          <w:lang w:val="es-CR"/>
        </w:rPr>
      </w:pPr>
    </w:p>
    <w:p w:rsidR="00302A99" w:rsidRPr="00302A99" w:rsidRDefault="00302A99" w:rsidP="00302A99">
      <w:pPr>
        <w:ind w:left="360"/>
        <w:jc w:val="both"/>
        <w:rPr>
          <w:rFonts w:ascii="Arial" w:hAnsi="Arial" w:cs="Arial"/>
          <w:b/>
          <w:sz w:val="22"/>
          <w:szCs w:val="22"/>
          <w:lang w:val="es-CR"/>
        </w:rPr>
      </w:pPr>
      <w:r w:rsidRPr="00302A99">
        <w:rPr>
          <w:rFonts w:ascii="Arial" w:hAnsi="Arial" w:cs="Arial"/>
          <w:b/>
          <w:sz w:val="22"/>
          <w:szCs w:val="22"/>
          <w:lang w:val="es-CR"/>
        </w:rPr>
        <w:t>Anexo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02A99" w:rsidRPr="00302A99" w:rsidTr="008A3834">
        <w:tc>
          <w:tcPr>
            <w:tcW w:w="1937"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Oficio</w:t>
            </w:r>
          </w:p>
        </w:tc>
        <w:tc>
          <w:tcPr>
            <w:tcW w:w="6374"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Asunto</w:t>
            </w:r>
          </w:p>
        </w:tc>
      </w:tr>
      <w:tr w:rsidR="00302A99" w:rsidRPr="00302A99" w:rsidTr="008A3834">
        <w:tc>
          <w:tcPr>
            <w:tcW w:w="1937" w:type="dxa"/>
            <w:shd w:val="clear" w:color="auto" w:fill="auto"/>
          </w:tcPr>
          <w:p w:rsidR="00302A99" w:rsidRPr="00302A99" w:rsidRDefault="00302A99" w:rsidP="00302A99">
            <w:pPr>
              <w:jc w:val="both"/>
              <w:rPr>
                <w:rFonts w:ascii="Arial" w:hAnsi="Arial" w:cs="Arial"/>
                <w:sz w:val="22"/>
                <w:szCs w:val="22"/>
              </w:rPr>
            </w:pPr>
            <w:r w:rsidRPr="00302A99">
              <w:rPr>
                <w:rFonts w:ascii="Arial" w:hAnsi="Arial" w:cs="Arial"/>
                <w:sz w:val="22"/>
                <w:szCs w:val="22"/>
              </w:rPr>
              <w:t>SCI-810-2017, del 16 de noviembre  de 2017</w:t>
            </w:r>
          </w:p>
        </w:tc>
        <w:tc>
          <w:tcPr>
            <w:tcW w:w="6374" w:type="dxa"/>
            <w:shd w:val="clear" w:color="auto" w:fill="auto"/>
          </w:tcPr>
          <w:p w:rsidR="00302A99" w:rsidRPr="00302A99" w:rsidRDefault="00302A99" w:rsidP="00302A99">
            <w:pPr>
              <w:jc w:val="both"/>
              <w:rPr>
                <w:rFonts w:ascii="Arial" w:hAnsi="Arial" w:cs="Arial"/>
                <w:sz w:val="22"/>
                <w:szCs w:val="22"/>
                <w:lang w:val="es-ES_tradnl"/>
              </w:rPr>
            </w:pPr>
            <w:r w:rsidRPr="00302A99">
              <w:rPr>
                <w:rFonts w:ascii="Arial" w:eastAsia="Cambria" w:hAnsi="Arial" w:cs="Arial"/>
                <w:bCs/>
                <w:iCs/>
                <w:sz w:val="22"/>
                <w:szCs w:val="22"/>
                <w:lang w:val="es-ES_tradnl" w:eastAsia="en-US"/>
              </w:rPr>
              <w:t>Solicitud de criterio a la Comisión de Asesora para Dictaminar Proyectos de Ley, sobre el Proyecto de Ley “Reforma de los Artículos 176 y 184 y adición de un transitorio a la Constitución Política para estabilidad económica y presupuestaria”, Expediente No. 20.179</w:t>
            </w:r>
          </w:p>
        </w:tc>
      </w:tr>
    </w:tbl>
    <w:p w:rsidR="00302A99" w:rsidRPr="00302A99" w:rsidRDefault="00302A99" w:rsidP="00302A99">
      <w:pPr>
        <w:ind w:left="360"/>
        <w:jc w:val="both"/>
        <w:rPr>
          <w:rFonts w:ascii="Arial" w:hAnsi="Arial" w:cs="Arial"/>
          <w:b/>
          <w:sz w:val="22"/>
          <w:szCs w:val="22"/>
          <w:lang w:val="es-CR"/>
        </w:rPr>
      </w:pPr>
    </w:p>
    <w:p w:rsidR="00302A99" w:rsidRPr="00302A99" w:rsidRDefault="00302A99" w:rsidP="00302A99">
      <w:pPr>
        <w:ind w:left="360"/>
        <w:jc w:val="both"/>
        <w:rPr>
          <w:rFonts w:ascii="Arial" w:hAnsi="Arial" w:cs="Arial"/>
          <w:b/>
          <w:sz w:val="22"/>
          <w:szCs w:val="22"/>
          <w:lang w:val="es-CR"/>
        </w:rPr>
      </w:pPr>
      <w:r w:rsidRPr="00302A99">
        <w:rPr>
          <w:rFonts w:ascii="Arial" w:hAnsi="Arial" w:cs="Arial"/>
          <w:b/>
          <w:sz w:val="22"/>
          <w:szCs w:val="22"/>
          <w:lang w:val="es-CR"/>
        </w:rPr>
        <w:t>Anexo 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02A99" w:rsidRPr="00302A99" w:rsidTr="008A3834">
        <w:tc>
          <w:tcPr>
            <w:tcW w:w="1937"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Oficio</w:t>
            </w:r>
          </w:p>
        </w:tc>
        <w:tc>
          <w:tcPr>
            <w:tcW w:w="6374"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Asunto</w:t>
            </w:r>
          </w:p>
        </w:tc>
      </w:tr>
      <w:tr w:rsidR="00302A99" w:rsidRPr="00302A99" w:rsidTr="008A3834">
        <w:tc>
          <w:tcPr>
            <w:tcW w:w="1937" w:type="dxa"/>
            <w:shd w:val="clear" w:color="auto" w:fill="auto"/>
          </w:tcPr>
          <w:p w:rsidR="00302A99" w:rsidRPr="00302A99" w:rsidRDefault="00302A99" w:rsidP="00302A99">
            <w:pPr>
              <w:jc w:val="both"/>
              <w:rPr>
                <w:rFonts w:ascii="Arial" w:hAnsi="Arial" w:cs="Arial"/>
                <w:sz w:val="22"/>
                <w:szCs w:val="22"/>
              </w:rPr>
            </w:pPr>
            <w:r w:rsidRPr="00302A99">
              <w:rPr>
                <w:rFonts w:ascii="Arial" w:hAnsi="Arial" w:cs="Arial"/>
                <w:sz w:val="22"/>
                <w:szCs w:val="22"/>
              </w:rPr>
              <w:t>COPAL-01-11-2017, del 16 de noviembre  de 2017</w:t>
            </w:r>
          </w:p>
        </w:tc>
        <w:tc>
          <w:tcPr>
            <w:tcW w:w="6374" w:type="dxa"/>
            <w:shd w:val="clear" w:color="auto" w:fill="auto"/>
          </w:tcPr>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Pronunciamiento de la Comisión Asesora para Dictaminar Proyectos de Ley, sobre el Proyecto de Ley “Reforma de los Artículos 176 y 184 y adición de un transitorio a la Constitución Política para estabilidad económica y presupuestaria”, Expediente No. 20.179.</w:t>
            </w:r>
          </w:p>
          <w:p w:rsidR="00302A99" w:rsidRPr="00302A99" w:rsidRDefault="00302A99" w:rsidP="00302A99">
            <w:pPr>
              <w:jc w:val="both"/>
              <w:rPr>
                <w:rFonts w:ascii="Arial" w:eastAsia="Cambria" w:hAnsi="Arial" w:cs="Arial"/>
                <w:bCs/>
                <w:iCs/>
                <w:sz w:val="22"/>
                <w:szCs w:val="22"/>
                <w:lang w:val="es-ES_tradnl" w:eastAsia="en-US"/>
              </w:rPr>
            </w:pPr>
          </w:p>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Emiten sus observaciones y recomiendan lo siguiente:</w:t>
            </w:r>
          </w:p>
          <w:p w:rsidR="00302A99" w:rsidRPr="00302A99" w:rsidRDefault="00302A99" w:rsidP="00302A99">
            <w:pPr>
              <w:jc w:val="both"/>
              <w:rPr>
                <w:rFonts w:ascii="Arial" w:eastAsia="Cambria" w:hAnsi="Arial" w:cs="Arial"/>
                <w:bCs/>
                <w:iCs/>
                <w:sz w:val="22"/>
                <w:szCs w:val="22"/>
                <w:lang w:val="es-ES_tradnl" w:eastAsia="en-US"/>
              </w:rPr>
            </w:pPr>
          </w:p>
          <w:p w:rsidR="00302A99" w:rsidRPr="00302A99" w:rsidRDefault="00302A99" w:rsidP="00302A99">
            <w:pPr>
              <w:numPr>
                <w:ilvl w:val="0"/>
                <w:numId w:val="42"/>
              </w:numPr>
              <w:spacing w:after="160" w:line="259" w:lineRule="auto"/>
              <w:ind w:left="459" w:hanging="425"/>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 xml:space="preserve">Esta Comisión recomienda no apoyar el presente Proyecto de Ley ante la perspectiva de una eventual transgresión de la Autonomía Universitaria. </w:t>
            </w:r>
          </w:p>
          <w:p w:rsidR="00302A99" w:rsidRPr="00302A99" w:rsidRDefault="00302A99" w:rsidP="00302A99">
            <w:pPr>
              <w:numPr>
                <w:ilvl w:val="0"/>
                <w:numId w:val="42"/>
              </w:numPr>
              <w:spacing w:after="160" w:line="259" w:lineRule="auto"/>
              <w:ind w:left="459" w:hanging="425"/>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Por la trascendencia del tema se considera recomendable que el asunto sea conocido por el Consejo Nacional de Rectores CONARE.</w:t>
            </w:r>
          </w:p>
        </w:tc>
      </w:tr>
    </w:tbl>
    <w:p w:rsidR="00302A99" w:rsidRDefault="00302A99" w:rsidP="00302A99">
      <w:pPr>
        <w:jc w:val="both"/>
        <w:rPr>
          <w:rFonts w:ascii="Arial" w:hAnsi="Arial" w:cs="Arial"/>
          <w:sz w:val="22"/>
          <w:szCs w:val="22"/>
          <w:lang w:val="es-CR"/>
        </w:rPr>
      </w:pPr>
    </w:p>
    <w:p w:rsidR="00302A99" w:rsidRDefault="00302A99" w:rsidP="00302A99">
      <w:pPr>
        <w:jc w:val="both"/>
        <w:rPr>
          <w:rFonts w:ascii="Arial" w:hAnsi="Arial" w:cs="Arial"/>
          <w:sz w:val="22"/>
          <w:szCs w:val="22"/>
          <w:lang w:val="es-CR"/>
        </w:rPr>
      </w:pPr>
    </w:p>
    <w:p w:rsidR="00302A99" w:rsidRDefault="00302A99" w:rsidP="00302A99">
      <w:pPr>
        <w:jc w:val="both"/>
        <w:rPr>
          <w:rFonts w:ascii="Arial" w:hAnsi="Arial" w:cs="Arial"/>
          <w:sz w:val="22"/>
          <w:szCs w:val="22"/>
          <w:lang w:val="es-CR"/>
        </w:rPr>
      </w:pPr>
    </w:p>
    <w:p w:rsidR="00302A99" w:rsidRPr="00302A99" w:rsidRDefault="00302A99" w:rsidP="00302A99">
      <w:pPr>
        <w:jc w:val="both"/>
        <w:rPr>
          <w:rFonts w:ascii="Arial" w:hAnsi="Arial" w:cs="Arial"/>
          <w:sz w:val="22"/>
          <w:szCs w:val="22"/>
          <w:lang w:val="es-CR"/>
        </w:rPr>
      </w:pPr>
    </w:p>
    <w:p w:rsidR="00302A99" w:rsidRPr="00302A99" w:rsidRDefault="00302A99" w:rsidP="00302A99">
      <w:pPr>
        <w:ind w:left="360"/>
        <w:jc w:val="both"/>
        <w:rPr>
          <w:rFonts w:ascii="Arial" w:hAnsi="Arial" w:cs="Arial"/>
          <w:b/>
          <w:sz w:val="22"/>
          <w:szCs w:val="22"/>
          <w:lang w:val="es-CR"/>
        </w:rPr>
      </w:pPr>
      <w:r w:rsidRPr="00302A99">
        <w:rPr>
          <w:rFonts w:ascii="Arial" w:hAnsi="Arial" w:cs="Arial"/>
          <w:b/>
          <w:sz w:val="22"/>
          <w:szCs w:val="22"/>
          <w:lang w:val="es-CR"/>
        </w:rPr>
        <w:lastRenderedPageBreak/>
        <w:t>Anexo 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374"/>
      </w:tblGrid>
      <w:tr w:rsidR="00302A99" w:rsidRPr="00302A99" w:rsidTr="008A3834">
        <w:tc>
          <w:tcPr>
            <w:tcW w:w="1937"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Oficio</w:t>
            </w:r>
          </w:p>
        </w:tc>
        <w:tc>
          <w:tcPr>
            <w:tcW w:w="6374" w:type="dxa"/>
            <w:shd w:val="clear" w:color="auto" w:fill="auto"/>
          </w:tcPr>
          <w:p w:rsidR="00302A99" w:rsidRPr="00302A99" w:rsidRDefault="00302A99" w:rsidP="00302A99">
            <w:pPr>
              <w:jc w:val="center"/>
              <w:rPr>
                <w:rFonts w:ascii="Arial" w:hAnsi="Arial" w:cs="Arial"/>
                <w:sz w:val="22"/>
                <w:szCs w:val="22"/>
              </w:rPr>
            </w:pPr>
            <w:r w:rsidRPr="00302A99">
              <w:rPr>
                <w:rFonts w:ascii="Arial" w:hAnsi="Arial" w:cs="Arial"/>
                <w:sz w:val="22"/>
                <w:szCs w:val="22"/>
              </w:rPr>
              <w:t>Asunto</w:t>
            </w:r>
          </w:p>
        </w:tc>
      </w:tr>
      <w:tr w:rsidR="00302A99" w:rsidRPr="00302A99" w:rsidTr="008A3834">
        <w:tc>
          <w:tcPr>
            <w:tcW w:w="1937" w:type="dxa"/>
            <w:shd w:val="clear" w:color="auto" w:fill="auto"/>
          </w:tcPr>
          <w:p w:rsidR="00302A99" w:rsidRPr="00302A99" w:rsidRDefault="00302A99" w:rsidP="00302A99">
            <w:pPr>
              <w:jc w:val="both"/>
              <w:rPr>
                <w:rFonts w:ascii="Arial" w:hAnsi="Arial" w:cs="Arial"/>
                <w:sz w:val="22"/>
                <w:szCs w:val="22"/>
              </w:rPr>
            </w:pPr>
            <w:r w:rsidRPr="00302A99">
              <w:rPr>
                <w:rFonts w:ascii="Arial" w:hAnsi="Arial" w:cs="Arial"/>
                <w:sz w:val="22"/>
                <w:szCs w:val="22"/>
              </w:rPr>
              <w:t>VAD-874-2017, del 22 de noviembre  de 2017 y DFC-1812-2017 del 21 de noviembre 2017</w:t>
            </w:r>
          </w:p>
        </w:tc>
        <w:tc>
          <w:tcPr>
            <w:tcW w:w="6374" w:type="dxa"/>
            <w:shd w:val="clear" w:color="auto" w:fill="auto"/>
          </w:tcPr>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Pronunciamiento de la Vicerrectoría de Administración sobre el Proyecto de Ley “Reforma de los Artículos 176 y 184 y adición de un transitorio a la Constitución Política para estabilidad económica y presupuestaria”, Expediente No. 20.179, preparado por el Departamento de Financiero Contable según oficio DFC-1812-2017</w:t>
            </w:r>
          </w:p>
          <w:p w:rsidR="00302A99" w:rsidRPr="00302A99" w:rsidRDefault="00302A99" w:rsidP="00302A99">
            <w:pPr>
              <w:jc w:val="both"/>
              <w:rPr>
                <w:rFonts w:ascii="Arial" w:eastAsia="Cambria" w:hAnsi="Arial" w:cs="Arial"/>
                <w:bCs/>
                <w:iCs/>
                <w:sz w:val="22"/>
                <w:szCs w:val="22"/>
                <w:lang w:val="es-ES_tradnl" w:eastAsia="en-US"/>
              </w:rPr>
            </w:pPr>
          </w:p>
          <w:p w:rsidR="00302A99" w:rsidRPr="00302A99" w:rsidRDefault="00302A99" w:rsidP="00302A99">
            <w:pPr>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Entre sus observaciones señalan lo siguiente:</w:t>
            </w:r>
          </w:p>
          <w:p w:rsidR="00302A99" w:rsidRPr="00302A99" w:rsidRDefault="00302A99" w:rsidP="00302A99">
            <w:pPr>
              <w:ind w:firstLine="176"/>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w:t>
            </w:r>
          </w:p>
          <w:p w:rsidR="00302A99" w:rsidRPr="00302A99" w:rsidRDefault="00302A99" w:rsidP="00302A99">
            <w:pPr>
              <w:jc w:val="both"/>
              <w:rPr>
                <w:rFonts w:ascii="Arial" w:eastAsia="Cambria" w:hAnsi="Arial" w:cs="Arial"/>
                <w:bCs/>
                <w:iCs/>
                <w:sz w:val="22"/>
                <w:szCs w:val="22"/>
                <w:lang w:val="es-ES_tradnl" w:eastAsia="en-US"/>
              </w:rPr>
            </w:pPr>
          </w:p>
          <w:p w:rsidR="00302A99" w:rsidRPr="00302A99" w:rsidRDefault="00302A99" w:rsidP="00302A99">
            <w:pPr>
              <w:numPr>
                <w:ilvl w:val="0"/>
                <w:numId w:val="40"/>
              </w:numPr>
              <w:tabs>
                <w:tab w:val="num" w:pos="459"/>
              </w:tabs>
              <w:ind w:left="459" w:hanging="283"/>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 xml:space="preserve">Al ser una Política País, esta debe ser clara y concisa, en lo cual se excede el Proyecto de Ley, ya que establece prácticamente todo un procedimiento de qué hacer en caso de que se apruebe un presupuesto deficitario, hasta estableciendo medidas de contención del gasto, con lo cual se excedieron los Legisladores en el Proyecto, ya que estas reglas generales podrían estar contenidas como excepción en otro tipo de Ley o Reglamento, como por ejemplo en la Ley N° 8131 Administración Financiera de la República y Presupuestos Públicos, en caso de que por una situación justificada País como catástrofes naturales, recesión económica o situaciones de emergencia extraordinaria, por lo que deba aprobarse un presupuesto deficitario, tal como se indicó en el punto anterior.  </w:t>
            </w:r>
          </w:p>
          <w:p w:rsidR="00302A99" w:rsidRPr="00302A99" w:rsidRDefault="00302A99" w:rsidP="00302A99">
            <w:pPr>
              <w:numPr>
                <w:ilvl w:val="0"/>
                <w:numId w:val="40"/>
              </w:numPr>
              <w:tabs>
                <w:tab w:val="num" w:pos="459"/>
              </w:tabs>
              <w:ind w:left="459" w:hanging="283"/>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De acuerdo con el transitorio, la modificación se aplicaría a partir del Presupuesto 2018, lo cual a estas alturas del año es prácticamente imposible aplicar.</w:t>
            </w:r>
          </w:p>
          <w:p w:rsidR="00302A99" w:rsidRPr="00302A99" w:rsidRDefault="00302A99" w:rsidP="00302A99">
            <w:pPr>
              <w:ind w:left="566" w:hanging="283"/>
              <w:contextualSpacing/>
              <w:jc w:val="both"/>
              <w:rPr>
                <w:rFonts w:ascii="Arial" w:eastAsia="Cambria" w:hAnsi="Arial" w:cs="Arial"/>
                <w:bCs/>
                <w:iCs/>
                <w:sz w:val="22"/>
                <w:szCs w:val="22"/>
                <w:lang w:val="es-ES_tradnl" w:eastAsia="en-US"/>
              </w:rPr>
            </w:pPr>
          </w:p>
          <w:p w:rsidR="00302A99" w:rsidRPr="00302A99" w:rsidRDefault="00302A99" w:rsidP="00302A99">
            <w:pPr>
              <w:ind w:left="566" w:hanging="532"/>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Recomiendan:</w:t>
            </w:r>
          </w:p>
          <w:p w:rsidR="00302A99" w:rsidRPr="00302A99" w:rsidRDefault="00302A99" w:rsidP="00302A99">
            <w:pPr>
              <w:ind w:left="459"/>
              <w:contextualSpacing/>
              <w:jc w:val="both"/>
              <w:rPr>
                <w:rFonts w:ascii="Arial" w:eastAsia="Cambria" w:hAnsi="Arial" w:cs="Arial"/>
                <w:bCs/>
                <w:iCs/>
                <w:sz w:val="22"/>
                <w:szCs w:val="22"/>
                <w:lang w:val="es-ES_tradnl" w:eastAsia="en-US"/>
              </w:rPr>
            </w:pPr>
          </w:p>
          <w:p w:rsidR="00302A99" w:rsidRPr="00302A99" w:rsidRDefault="00302A99" w:rsidP="00302A99">
            <w:pPr>
              <w:numPr>
                <w:ilvl w:val="0"/>
                <w:numId w:val="43"/>
              </w:numPr>
              <w:ind w:left="459" w:hanging="283"/>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 xml:space="preserve">Considerando las observaciones expuestas, el Instituto Tecnológico de Costa Rica no debería apoyar la iniciativa del Proyecto de Ley 20.179, para modificar los Artículos Nº 176 y Nº 184 de la Constitución Política, por considerarse innecesaria en el contexto normativo actual. </w:t>
            </w:r>
          </w:p>
          <w:p w:rsidR="00302A99" w:rsidRPr="00302A99" w:rsidRDefault="00302A99" w:rsidP="00302A99">
            <w:pPr>
              <w:ind w:left="459"/>
              <w:contextualSpacing/>
              <w:jc w:val="both"/>
              <w:rPr>
                <w:rFonts w:ascii="Arial" w:eastAsia="Cambria" w:hAnsi="Arial" w:cs="Arial"/>
                <w:bCs/>
                <w:iCs/>
                <w:sz w:val="22"/>
                <w:szCs w:val="22"/>
                <w:lang w:val="es-ES_tradnl" w:eastAsia="en-US"/>
              </w:rPr>
            </w:pPr>
            <w:r w:rsidRPr="00302A99">
              <w:rPr>
                <w:rFonts w:ascii="Arial" w:eastAsia="Cambria" w:hAnsi="Arial" w:cs="Arial"/>
                <w:bCs/>
                <w:iCs/>
                <w:sz w:val="22"/>
                <w:szCs w:val="22"/>
                <w:lang w:val="es-ES_tradnl" w:eastAsia="en-US"/>
              </w:rPr>
              <w:t>…”</w:t>
            </w:r>
          </w:p>
          <w:p w:rsidR="00302A99" w:rsidRPr="00302A99" w:rsidRDefault="00302A99" w:rsidP="00302A99">
            <w:pPr>
              <w:contextualSpacing/>
              <w:jc w:val="both"/>
              <w:rPr>
                <w:rFonts w:ascii="Arial" w:eastAsia="Cambria" w:hAnsi="Arial" w:cs="Arial"/>
                <w:bCs/>
                <w:iCs/>
                <w:sz w:val="22"/>
                <w:szCs w:val="22"/>
                <w:lang w:val="es-ES_tradnl" w:eastAsia="en-US"/>
              </w:rPr>
            </w:pPr>
          </w:p>
        </w:tc>
      </w:tr>
    </w:tbl>
    <w:p w:rsidR="00302A99" w:rsidRPr="00302A99" w:rsidRDefault="00302A99" w:rsidP="00302A99">
      <w:pPr>
        <w:jc w:val="both"/>
        <w:rPr>
          <w:rFonts w:ascii="Arial" w:hAnsi="Arial" w:cs="Arial"/>
          <w:sz w:val="22"/>
          <w:szCs w:val="22"/>
          <w:lang w:val="es-ES_tradnl"/>
        </w:rPr>
      </w:pPr>
    </w:p>
    <w:p w:rsidR="00302A99" w:rsidRPr="00302A99" w:rsidRDefault="00302A99" w:rsidP="00302A99">
      <w:pPr>
        <w:jc w:val="both"/>
        <w:rPr>
          <w:rFonts w:ascii="Arial" w:hAnsi="Arial" w:cs="Arial"/>
          <w:sz w:val="22"/>
          <w:szCs w:val="22"/>
        </w:rPr>
      </w:pPr>
    </w:p>
    <w:p w:rsidR="00302A99" w:rsidRPr="00302A99" w:rsidRDefault="00302A99" w:rsidP="00302A99">
      <w:pPr>
        <w:jc w:val="both"/>
        <w:rPr>
          <w:rFonts w:ascii="Arial" w:hAnsi="Arial" w:cs="Arial"/>
          <w:b/>
        </w:rPr>
      </w:pPr>
      <w:r w:rsidRPr="00302A99">
        <w:rPr>
          <w:rFonts w:ascii="Arial" w:hAnsi="Arial" w:cs="Arial"/>
          <w:b/>
        </w:rPr>
        <w:t>SE</w:t>
      </w:r>
      <w:r>
        <w:rPr>
          <w:rFonts w:ascii="Arial" w:hAnsi="Arial" w:cs="Arial"/>
          <w:b/>
        </w:rPr>
        <w:t xml:space="preserve"> ACUERDA</w:t>
      </w:r>
      <w:r w:rsidRPr="00302A99">
        <w:rPr>
          <w:rFonts w:ascii="Arial" w:hAnsi="Arial" w:cs="Arial"/>
          <w:b/>
        </w:rPr>
        <w:t>:</w:t>
      </w:r>
    </w:p>
    <w:p w:rsidR="00302A99" w:rsidRPr="00302A99" w:rsidRDefault="00302A99" w:rsidP="00302A99">
      <w:pPr>
        <w:jc w:val="both"/>
        <w:rPr>
          <w:rFonts w:ascii="Arial" w:hAnsi="Arial" w:cs="Arial"/>
        </w:rPr>
      </w:pPr>
    </w:p>
    <w:p w:rsidR="00302A99" w:rsidRPr="00302A99" w:rsidRDefault="00302A99" w:rsidP="00302A99">
      <w:pPr>
        <w:numPr>
          <w:ilvl w:val="0"/>
          <w:numId w:val="39"/>
        </w:numPr>
        <w:ind w:left="426" w:hanging="426"/>
        <w:jc w:val="both"/>
        <w:rPr>
          <w:rFonts w:ascii="Arial" w:eastAsia="Cambria" w:hAnsi="Arial" w:cs="Arial"/>
          <w:lang w:eastAsia="en-US"/>
        </w:rPr>
      </w:pPr>
      <w:r w:rsidRPr="00302A99">
        <w:rPr>
          <w:rFonts w:ascii="Arial" w:eastAsia="Cambria" w:hAnsi="Arial" w:cs="Arial"/>
          <w:lang w:eastAsia="en-US"/>
        </w:rPr>
        <w:softHyphen/>
      </w:r>
      <w:r w:rsidRPr="00302A99">
        <w:rPr>
          <w:rFonts w:ascii="Arial" w:eastAsia="Cambria" w:hAnsi="Arial" w:cs="Arial"/>
          <w:lang w:eastAsia="en-US"/>
        </w:rPr>
        <w:softHyphen/>
      </w:r>
      <w:r w:rsidRPr="00302A99">
        <w:rPr>
          <w:rFonts w:ascii="Arial" w:eastAsia="Cambria" w:hAnsi="Arial" w:cs="Arial"/>
          <w:lang w:eastAsia="en-US"/>
        </w:rPr>
        <w:softHyphen/>
      </w:r>
      <w:r w:rsidRPr="00302A99">
        <w:rPr>
          <w:rFonts w:ascii="Arial" w:eastAsia="Cambria" w:hAnsi="Arial" w:cs="Arial"/>
          <w:lang w:eastAsia="en-US"/>
        </w:rPr>
        <w:softHyphen/>
      </w:r>
      <w:r w:rsidRPr="00302A99">
        <w:rPr>
          <w:rFonts w:ascii="Arial" w:eastAsia="Cambria" w:hAnsi="Arial" w:cs="Arial"/>
          <w:lang w:eastAsia="en-US"/>
        </w:rPr>
        <w:softHyphen/>
      </w:r>
      <w:r w:rsidRPr="00302A99">
        <w:rPr>
          <w:rFonts w:ascii="Arial" w:eastAsia="Cambria" w:hAnsi="Arial" w:cs="Arial"/>
          <w:lang w:eastAsia="en-US"/>
        </w:rPr>
        <w:softHyphen/>
        <w:t xml:space="preserve">No apoyar el Proyecto de </w:t>
      </w:r>
      <w:r w:rsidRPr="00302A99">
        <w:rPr>
          <w:rFonts w:ascii="Arial" w:eastAsia="Cambria" w:hAnsi="Arial" w:cs="Arial"/>
          <w:bCs/>
          <w:iCs/>
          <w:lang w:val="es-ES_tradnl" w:eastAsia="en-US"/>
        </w:rPr>
        <w:t xml:space="preserve">Ley </w:t>
      </w:r>
      <w:r w:rsidRPr="00302A99">
        <w:rPr>
          <w:rFonts w:ascii="Arial" w:eastAsia="Cambria" w:hAnsi="Arial" w:cs="Arial"/>
          <w:lang w:eastAsia="en-US"/>
        </w:rPr>
        <w:t>“Reforma de los Artículos 176 y 184 y adición de un transitorio a la Constitución Política para estabilidad económica y presupuestaria”, Expediente No. 20.179, en razón de la posible transgresión de la Autonomía Universitaria y las eventuales implicaciones que este tendría a nivel País.</w:t>
      </w:r>
    </w:p>
    <w:p w:rsidR="00302A99" w:rsidRPr="00302A99" w:rsidRDefault="00302A99" w:rsidP="00302A99">
      <w:pPr>
        <w:ind w:left="426"/>
        <w:jc w:val="both"/>
        <w:rPr>
          <w:rFonts w:ascii="Arial" w:eastAsia="Cambria" w:hAnsi="Arial" w:cs="Arial"/>
          <w:lang w:eastAsia="en-US"/>
        </w:rPr>
      </w:pPr>
    </w:p>
    <w:p w:rsidR="00302A99" w:rsidRPr="00302A99" w:rsidRDefault="00302A99" w:rsidP="00302A99">
      <w:pPr>
        <w:numPr>
          <w:ilvl w:val="0"/>
          <w:numId w:val="39"/>
        </w:numPr>
        <w:ind w:left="426" w:hanging="426"/>
        <w:jc w:val="both"/>
        <w:rPr>
          <w:rFonts w:ascii="Arial" w:eastAsia="Cambria" w:hAnsi="Arial" w:cs="Arial"/>
          <w:lang w:eastAsia="en-US"/>
        </w:rPr>
      </w:pPr>
      <w:r w:rsidRPr="00302A99">
        <w:rPr>
          <w:rFonts w:ascii="Arial" w:eastAsia="Cambria" w:hAnsi="Arial" w:cs="Arial"/>
          <w:lang w:eastAsia="en-US"/>
        </w:rPr>
        <w:t>Remitir al Área de Comisiones Legislativas II de la Asamblea Legislativa, las recomendaciones emitidas por los entes consultados de esta Institución, para lo que considere pertinente.</w:t>
      </w:r>
    </w:p>
    <w:p w:rsidR="00302A99" w:rsidRPr="00302A99" w:rsidRDefault="00302A99" w:rsidP="00302A99">
      <w:pPr>
        <w:ind w:left="708"/>
        <w:rPr>
          <w:rFonts w:ascii="Arial" w:eastAsia="Cambria" w:hAnsi="Arial" w:cs="Arial"/>
          <w:lang w:eastAsia="en-US"/>
        </w:rPr>
      </w:pPr>
    </w:p>
    <w:p w:rsidR="00302A99" w:rsidRPr="00302A99" w:rsidRDefault="00302A99" w:rsidP="00302A99">
      <w:pPr>
        <w:numPr>
          <w:ilvl w:val="0"/>
          <w:numId w:val="39"/>
        </w:numPr>
        <w:ind w:left="426" w:hanging="426"/>
        <w:jc w:val="both"/>
        <w:rPr>
          <w:rFonts w:ascii="Arial" w:eastAsia="Cambria" w:hAnsi="Arial" w:cs="Arial"/>
          <w:lang w:eastAsia="en-US"/>
        </w:rPr>
      </w:pPr>
      <w:r w:rsidRPr="00302A99">
        <w:rPr>
          <w:rFonts w:ascii="Arial" w:eastAsia="Cambria" w:hAnsi="Arial" w:cs="Arial"/>
          <w:lang w:eastAsia="en-US"/>
        </w:rPr>
        <w:lastRenderedPageBreak/>
        <w:t>Solicitar al señor Rector que eleve al Consejo Nacional de Rectores, para que se pronuncie y de seguimiento a este Proyecto de Ley en la Asamblea Legislativa, debido a la trascendencia del mismo.</w:t>
      </w:r>
    </w:p>
    <w:p w:rsidR="00672D32" w:rsidRDefault="00672D32" w:rsidP="00672D32">
      <w:pPr>
        <w:jc w:val="both"/>
        <w:rPr>
          <w:rFonts w:ascii="Arial" w:hAnsi="Arial" w:cs="Arial"/>
          <w:b/>
          <w:lang w:val="es-CR"/>
        </w:rPr>
      </w:pPr>
    </w:p>
    <w:p w:rsidR="00887FCC" w:rsidRDefault="002204D7" w:rsidP="00302A99">
      <w:pPr>
        <w:numPr>
          <w:ilvl w:val="0"/>
          <w:numId w:val="39"/>
        </w:numPr>
        <w:ind w:left="426" w:hanging="426"/>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4F7EB0" w:rsidRDefault="004F7EB0" w:rsidP="00672D32">
      <w:pPr>
        <w:jc w:val="both"/>
        <w:rPr>
          <w:rFonts w:ascii="Arial" w:hAnsi="Arial" w:cs="Arial"/>
          <w:b/>
          <w:sz w:val="22"/>
          <w:szCs w:val="22"/>
          <w:lang w:val="es-CR"/>
        </w:rPr>
      </w:pPr>
    </w:p>
    <w:p w:rsidR="00302A99" w:rsidRDefault="00302A99" w:rsidP="00302A99">
      <w:pPr>
        <w:autoSpaceDE w:val="0"/>
        <w:autoSpaceDN w:val="0"/>
        <w:adjustRightInd w:val="0"/>
        <w:ind w:right="-91"/>
        <w:jc w:val="both"/>
        <w:rPr>
          <w:rFonts w:ascii="Arial" w:hAnsi="Arial" w:cs="Arial"/>
          <w:b/>
          <w:sz w:val="20"/>
          <w:szCs w:val="20"/>
          <w:lang w:val="es-CR"/>
        </w:rPr>
      </w:pPr>
    </w:p>
    <w:p w:rsidR="00302A99" w:rsidRPr="00302A99" w:rsidRDefault="00302A99" w:rsidP="00302A99">
      <w:pPr>
        <w:autoSpaceDE w:val="0"/>
        <w:autoSpaceDN w:val="0"/>
        <w:adjustRightInd w:val="0"/>
        <w:ind w:right="-91"/>
        <w:jc w:val="both"/>
        <w:rPr>
          <w:rFonts w:ascii="Arial" w:eastAsia="Cambria" w:hAnsi="Arial" w:cs="Arial"/>
          <w:b/>
          <w:lang w:val="es-CR" w:eastAsia="en-US"/>
        </w:rPr>
      </w:pPr>
      <w:r w:rsidRPr="00302A99">
        <w:rPr>
          <w:rFonts w:ascii="Arial" w:hAnsi="Arial" w:cs="Arial"/>
          <w:b/>
          <w:sz w:val="20"/>
          <w:szCs w:val="20"/>
          <w:lang w:val="es-CR"/>
        </w:rPr>
        <w:t>PALABRAS CLAVE:   Proyecto-Ley-Reforma-Artíuclos-176-184-Transitorio-Constitución-Política-Estabilidad-Económica-Presupuestaria-20.179</w:t>
      </w:r>
    </w:p>
    <w:p w:rsidR="00302A99" w:rsidRPr="00302A99" w:rsidRDefault="00302A99" w:rsidP="00302A99">
      <w:pPr>
        <w:jc w:val="both"/>
        <w:rPr>
          <w:rFonts w:ascii="Arial" w:hAnsi="Arial" w:cs="Arial"/>
          <w:lang w:val="es-CR"/>
        </w:rPr>
      </w:pPr>
    </w:p>
    <w:p w:rsidR="004F7EB0" w:rsidRPr="00302A99" w:rsidRDefault="004F7EB0" w:rsidP="00672D32">
      <w:pPr>
        <w:jc w:val="both"/>
        <w:rPr>
          <w:rFonts w:ascii="Arial" w:hAnsi="Arial" w:cs="Arial"/>
          <w:b/>
          <w:sz w:val="22"/>
          <w:szCs w:val="22"/>
          <w:lang w:val="es-CR"/>
        </w:rPr>
      </w:pPr>
    </w:p>
    <w:p w:rsidR="001A214B" w:rsidRDefault="001A214B" w:rsidP="00672D32">
      <w:pPr>
        <w:jc w:val="both"/>
        <w:rPr>
          <w:rFonts w:ascii="Arial" w:hAnsi="Arial" w:cs="Arial"/>
          <w:b/>
          <w:sz w:val="22"/>
          <w:szCs w:val="22"/>
          <w:lang w:val="es-CR"/>
        </w:rPr>
      </w:pPr>
    </w:p>
    <w:p w:rsidR="001A214B" w:rsidRPr="00887FCC" w:rsidRDefault="001A214B" w:rsidP="00672D32">
      <w:pPr>
        <w:jc w:val="both"/>
        <w:rPr>
          <w:rFonts w:ascii="Arial" w:hAnsi="Arial" w:cs="Arial"/>
          <w:b/>
          <w:sz w:val="22"/>
          <w:szCs w:val="22"/>
          <w:lang w:val="es-CR"/>
        </w:rPr>
      </w:pPr>
    </w:p>
    <w:tbl>
      <w:tblPr>
        <w:tblpPr w:leftFromText="142" w:rightFromText="142" w:vertAnchor="text" w:horzAnchor="margin" w:tblpY="1"/>
        <w:tblOverlap w:val="never"/>
        <w:tblW w:w="18186" w:type="dxa"/>
        <w:tblLook w:val="04A0" w:firstRow="1" w:lastRow="0" w:firstColumn="1" w:lastColumn="0" w:noHBand="0" w:noVBand="1"/>
      </w:tblPr>
      <w:tblGrid>
        <w:gridCol w:w="4361"/>
        <w:gridCol w:w="4361"/>
        <w:gridCol w:w="4361"/>
        <w:gridCol w:w="5103"/>
      </w:tblGrid>
      <w:tr w:rsidR="00F41044" w:rsidTr="003538E7">
        <w:trPr>
          <w:trHeight w:val="183"/>
        </w:trPr>
        <w:tc>
          <w:tcPr>
            <w:tcW w:w="4361" w:type="dxa"/>
          </w:tcPr>
          <w:p w:rsidR="00F41044" w:rsidRDefault="00F41044" w:rsidP="003538E7">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302A99" w:rsidRDefault="00302A9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Dr. Humberto Villalta, Vicerrector Administración</w:t>
            </w:r>
          </w:p>
          <w:p w:rsidR="00AB1D20" w:rsidRDefault="00AB1D20"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Comisión Asesora Proyectos de Ley</w:t>
            </w:r>
            <w:bookmarkStart w:id="0" w:name="_GoBack"/>
            <w:bookmarkEnd w:id="0"/>
          </w:p>
          <w:p w:rsidR="00154839" w:rsidRDefault="00154839" w:rsidP="00154839">
            <w:pPr>
              <w:ind w:left="-567" w:firstLine="567"/>
              <w:jc w:val="both"/>
              <w:rPr>
                <w:rFonts w:ascii="Arial" w:eastAsia="Cambria" w:hAnsi="Arial" w:cs="Arial"/>
                <w:b/>
                <w:sz w:val="16"/>
                <w:szCs w:val="16"/>
                <w:lang w:val="es-ES_tradnl" w:eastAsia="en-US"/>
              </w:rPr>
            </w:pPr>
          </w:p>
          <w:p w:rsidR="00F41044" w:rsidRDefault="00F41044" w:rsidP="00154839">
            <w:pPr>
              <w:ind w:left="-567" w:firstLine="567"/>
              <w:jc w:val="both"/>
              <w:rPr>
                <w:rFonts w:ascii="Arial" w:eastAsia="Cambria" w:hAnsi="Arial" w:cs="Arial"/>
                <w:b/>
                <w:sz w:val="16"/>
                <w:szCs w:val="16"/>
                <w:lang w:val="es-ES_tradnl" w:eastAsia="en-US"/>
              </w:rPr>
            </w:pPr>
          </w:p>
        </w:tc>
        <w:tc>
          <w:tcPr>
            <w:tcW w:w="4361" w:type="dxa"/>
          </w:tcPr>
          <w:p w:rsidR="00F41044" w:rsidRDefault="00F41044" w:rsidP="003538E7">
            <w:pPr>
              <w:jc w:val="both"/>
              <w:rPr>
                <w:rFonts w:ascii="Arial" w:eastAsia="Cambria" w:hAnsi="Arial" w:cs="Arial"/>
                <w:b/>
                <w:sz w:val="16"/>
                <w:szCs w:val="16"/>
                <w:lang w:val="es-ES_tradnl" w:eastAsia="en-US"/>
              </w:rPr>
            </w:pPr>
          </w:p>
          <w:p w:rsidR="00F41044" w:rsidRDefault="00F41044" w:rsidP="003538E7">
            <w:pPr>
              <w:rPr>
                <w:rFonts w:ascii="Arial" w:eastAsia="Cambria" w:hAnsi="Arial" w:cs="Arial"/>
                <w:b/>
                <w:sz w:val="16"/>
                <w:szCs w:val="16"/>
                <w:lang w:val="es-CR" w:eastAsia="en-US"/>
              </w:rPr>
            </w:pPr>
          </w:p>
        </w:tc>
        <w:tc>
          <w:tcPr>
            <w:tcW w:w="4361" w:type="dxa"/>
          </w:tcPr>
          <w:p w:rsidR="00F41044" w:rsidRDefault="00F41044" w:rsidP="003538E7">
            <w:pPr>
              <w:jc w:val="both"/>
              <w:rPr>
                <w:rFonts w:ascii="Arial" w:eastAsia="Cambria" w:hAnsi="Arial" w:cs="Arial"/>
                <w:b/>
                <w:sz w:val="16"/>
                <w:szCs w:val="16"/>
                <w:lang w:val="es-ES_tradnl" w:eastAsia="en-US"/>
              </w:rPr>
            </w:pPr>
          </w:p>
        </w:tc>
        <w:tc>
          <w:tcPr>
            <w:tcW w:w="5103" w:type="dxa"/>
          </w:tcPr>
          <w:p w:rsidR="00F41044" w:rsidRDefault="00F41044" w:rsidP="003538E7">
            <w:pPr>
              <w:jc w:val="both"/>
              <w:rPr>
                <w:rFonts w:ascii="Arial" w:eastAsia="Cambria" w:hAnsi="Arial" w:cs="Arial"/>
                <w:b/>
                <w:sz w:val="16"/>
                <w:szCs w:val="16"/>
                <w:lang w:val="es-ES_tradnl" w:eastAsia="en-US"/>
              </w:rPr>
            </w:pPr>
          </w:p>
        </w:tc>
      </w:tr>
    </w:tbl>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C6" w:rsidRDefault="002172C6">
      <w:r>
        <w:separator/>
      </w:r>
    </w:p>
  </w:endnote>
  <w:endnote w:type="continuationSeparator" w:id="0">
    <w:p w:rsidR="002172C6" w:rsidRDefault="002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C6" w:rsidRDefault="002172C6">
      <w:r>
        <w:separator/>
      </w:r>
    </w:p>
  </w:footnote>
  <w:footnote w:type="continuationSeparator" w:id="0">
    <w:p w:rsidR="002172C6" w:rsidRDefault="0021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304</w:t>
    </w:r>
    <w:r w:rsidR="00302A99">
      <w:rPr>
        <w:rFonts w:ascii="Arial" w:eastAsia="Cambria" w:hAnsi="Arial" w:cs="Arial"/>
        <w:i/>
        <w:sz w:val="18"/>
        <w:szCs w:val="18"/>
        <w:lang w:val="es-ES_tradnl" w:eastAsia="x-none"/>
      </w:rPr>
      <w:t>9</w:t>
    </w:r>
    <w:r w:rsidRPr="00D958BC">
      <w:rPr>
        <w:rFonts w:ascii="Arial" w:eastAsia="Cambria" w:hAnsi="Arial" w:cs="Arial"/>
        <w:i/>
        <w:sz w:val="18"/>
        <w:szCs w:val="18"/>
        <w:lang w:val="es-ES_tradnl" w:eastAsia="x-none"/>
      </w:rPr>
      <w:t xml:space="preserve">, Artículo </w:t>
    </w:r>
    <w:r w:rsidR="00302A99">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1A214B">
      <w:rPr>
        <w:rFonts w:ascii="Arial" w:eastAsia="Cambria" w:hAnsi="Arial" w:cs="Arial"/>
        <w:i/>
        <w:sz w:val="18"/>
        <w:szCs w:val="18"/>
        <w:lang w:val="es-ES_tradnl" w:eastAsia="x-none"/>
      </w:rPr>
      <w:t>2</w:t>
    </w:r>
    <w:r w:rsidR="00302A99">
      <w:rPr>
        <w:rFonts w:ascii="Arial" w:eastAsia="Cambria" w:hAnsi="Arial" w:cs="Arial"/>
        <w:i/>
        <w:sz w:val="18"/>
        <w:szCs w:val="18"/>
        <w:lang w:val="es-ES_tradnl" w:eastAsia="x-none"/>
      </w:rPr>
      <w:t>9</w:t>
    </w:r>
    <w:r>
      <w:rPr>
        <w:rFonts w:ascii="Arial" w:eastAsia="Cambria" w:hAnsi="Arial" w:cs="Arial"/>
        <w:i/>
        <w:sz w:val="18"/>
        <w:szCs w:val="18"/>
        <w:lang w:val="es-ES_tradnl" w:eastAsia="x-none"/>
      </w:rPr>
      <w:t xml:space="preserve"> de noviembre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AB1D20">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8C"/>
    <w:multiLevelType w:val="hybridMultilevel"/>
    <w:tmpl w:val="125CDB0C"/>
    <w:lvl w:ilvl="0" w:tplc="D93A48C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0DF125D"/>
    <w:multiLevelType w:val="hybridMultilevel"/>
    <w:tmpl w:val="7BE6A2EA"/>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F97D00"/>
    <w:multiLevelType w:val="hybridMultilevel"/>
    <w:tmpl w:val="5C00EC6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04445BA9"/>
    <w:multiLevelType w:val="hybridMultilevel"/>
    <w:tmpl w:val="6E5409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0A2E69"/>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86D5F2B"/>
    <w:multiLevelType w:val="hybridMultilevel"/>
    <w:tmpl w:val="8A28A52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0D2611D5"/>
    <w:multiLevelType w:val="hybridMultilevel"/>
    <w:tmpl w:val="9A4A8668"/>
    <w:lvl w:ilvl="0" w:tplc="420646E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2DB1622"/>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BA4D48"/>
    <w:multiLevelType w:val="hybridMultilevel"/>
    <w:tmpl w:val="AA668D5E"/>
    <w:lvl w:ilvl="0" w:tplc="26B2FCE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153251C1"/>
    <w:multiLevelType w:val="hybridMultilevel"/>
    <w:tmpl w:val="1E782E7E"/>
    <w:lvl w:ilvl="0" w:tplc="140A000F">
      <w:start w:val="1"/>
      <w:numFmt w:val="decimal"/>
      <w:lvlText w:val="%1."/>
      <w:lvlJc w:val="left"/>
      <w:pPr>
        <w:ind w:left="1179" w:hanging="360"/>
      </w:pPr>
    </w:lvl>
    <w:lvl w:ilvl="1" w:tplc="140A0019" w:tentative="1">
      <w:start w:val="1"/>
      <w:numFmt w:val="lowerLetter"/>
      <w:lvlText w:val="%2."/>
      <w:lvlJc w:val="left"/>
      <w:pPr>
        <w:ind w:left="1899" w:hanging="360"/>
      </w:pPr>
    </w:lvl>
    <w:lvl w:ilvl="2" w:tplc="140A001B" w:tentative="1">
      <w:start w:val="1"/>
      <w:numFmt w:val="lowerRoman"/>
      <w:lvlText w:val="%3."/>
      <w:lvlJc w:val="right"/>
      <w:pPr>
        <w:ind w:left="2619" w:hanging="180"/>
      </w:pPr>
    </w:lvl>
    <w:lvl w:ilvl="3" w:tplc="140A000F" w:tentative="1">
      <w:start w:val="1"/>
      <w:numFmt w:val="decimal"/>
      <w:lvlText w:val="%4."/>
      <w:lvlJc w:val="left"/>
      <w:pPr>
        <w:ind w:left="3339" w:hanging="360"/>
      </w:pPr>
    </w:lvl>
    <w:lvl w:ilvl="4" w:tplc="140A0019" w:tentative="1">
      <w:start w:val="1"/>
      <w:numFmt w:val="lowerLetter"/>
      <w:lvlText w:val="%5."/>
      <w:lvlJc w:val="left"/>
      <w:pPr>
        <w:ind w:left="4059" w:hanging="360"/>
      </w:pPr>
    </w:lvl>
    <w:lvl w:ilvl="5" w:tplc="140A001B" w:tentative="1">
      <w:start w:val="1"/>
      <w:numFmt w:val="lowerRoman"/>
      <w:lvlText w:val="%6."/>
      <w:lvlJc w:val="right"/>
      <w:pPr>
        <w:ind w:left="4779" w:hanging="180"/>
      </w:pPr>
    </w:lvl>
    <w:lvl w:ilvl="6" w:tplc="140A000F" w:tentative="1">
      <w:start w:val="1"/>
      <w:numFmt w:val="decimal"/>
      <w:lvlText w:val="%7."/>
      <w:lvlJc w:val="left"/>
      <w:pPr>
        <w:ind w:left="5499" w:hanging="360"/>
      </w:pPr>
    </w:lvl>
    <w:lvl w:ilvl="7" w:tplc="140A0019" w:tentative="1">
      <w:start w:val="1"/>
      <w:numFmt w:val="lowerLetter"/>
      <w:lvlText w:val="%8."/>
      <w:lvlJc w:val="left"/>
      <w:pPr>
        <w:ind w:left="6219" w:hanging="360"/>
      </w:pPr>
    </w:lvl>
    <w:lvl w:ilvl="8" w:tplc="140A001B" w:tentative="1">
      <w:start w:val="1"/>
      <w:numFmt w:val="lowerRoman"/>
      <w:lvlText w:val="%9."/>
      <w:lvlJc w:val="right"/>
      <w:pPr>
        <w:ind w:left="6939" w:hanging="180"/>
      </w:pPr>
    </w:lvl>
  </w:abstractNum>
  <w:abstractNum w:abstractNumId="11"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7D7D5A"/>
    <w:multiLevelType w:val="hybridMultilevel"/>
    <w:tmpl w:val="EF32EDC4"/>
    <w:lvl w:ilvl="0" w:tplc="5164EF4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1B734C35"/>
    <w:multiLevelType w:val="hybridMultilevel"/>
    <w:tmpl w:val="7C9CED7A"/>
    <w:lvl w:ilvl="0" w:tplc="33BAC230">
      <w:start w:val="1"/>
      <w:numFmt w:val="decimal"/>
      <w:lvlText w:val="%1."/>
      <w:lvlJc w:val="left"/>
      <w:pPr>
        <w:ind w:left="644"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25E1B80"/>
    <w:multiLevelType w:val="hybridMultilevel"/>
    <w:tmpl w:val="9C48EC0E"/>
    <w:lvl w:ilvl="0" w:tplc="97CA977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2B534BF"/>
    <w:multiLevelType w:val="hybridMultilevel"/>
    <w:tmpl w:val="CA187D80"/>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3832C3"/>
    <w:multiLevelType w:val="hybridMultilevel"/>
    <w:tmpl w:val="CCA4600E"/>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303302"/>
    <w:multiLevelType w:val="hybridMultilevel"/>
    <w:tmpl w:val="D058403C"/>
    <w:lvl w:ilvl="0" w:tplc="03AE6DE0">
      <w:start w:val="1"/>
      <w:numFmt w:val="lowerLetter"/>
      <w:lvlText w:val="%1."/>
      <w:lvlJc w:val="left"/>
      <w:pPr>
        <w:ind w:left="360" w:hanging="360"/>
      </w:pPr>
      <w:rPr>
        <w:rFonts w:ascii="Arial" w:hAnsi="Arial" w:cs="Arial"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34F0FD9"/>
    <w:multiLevelType w:val="hybridMultilevel"/>
    <w:tmpl w:val="51E89BE4"/>
    <w:lvl w:ilvl="0" w:tplc="5E544B12">
      <w:start w:val="2"/>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4F96B3F"/>
    <w:multiLevelType w:val="hybridMultilevel"/>
    <w:tmpl w:val="EF0C601A"/>
    <w:lvl w:ilvl="0" w:tplc="A996931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38BE7ED4"/>
    <w:multiLevelType w:val="hybridMultilevel"/>
    <w:tmpl w:val="2160ECA2"/>
    <w:lvl w:ilvl="0" w:tplc="A75022C0">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D2174F"/>
    <w:multiLevelType w:val="hybridMultilevel"/>
    <w:tmpl w:val="C3820430"/>
    <w:lvl w:ilvl="0" w:tplc="165AFCA2">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B6F5459"/>
    <w:multiLevelType w:val="hybridMultilevel"/>
    <w:tmpl w:val="459AB99A"/>
    <w:lvl w:ilvl="0" w:tplc="9A5058E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3" w15:restartNumberingAfterBreak="0">
    <w:nsid w:val="40D20B82"/>
    <w:multiLevelType w:val="hybridMultilevel"/>
    <w:tmpl w:val="146E13C0"/>
    <w:lvl w:ilvl="0" w:tplc="2EF01C5E">
      <w:start w:val="1"/>
      <w:numFmt w:val="decimal"/>
      <w:lvlText w:val="%1."/>
      <w:lvlJc w:val="left"/>
      <w:pPr>
        <w:ind w:left="644"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3CD5EC1"/>
    <w:multiLevelType w:val="hybridMultilevel"/>
    <w:tmpl w:val="048496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6FA3096"/>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77F240F"/>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9580388"/>
    <w:multiLevelType w:val="hybridMultilevel"/>
    <w:tmpl w:val="191EEE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C977CB2"/>
    <w:multiLevelType w:val="hybridMultilevel"/>
    <w:tmpl w:val="39A8405E"/>
    <w:lvl w:ilvl="0" w:tplc="0E30C798">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EAC6657"/>
    <w:multiLevelType w:val="hybridMultilevel"/>
    <w:tmpl w:val="CC9C28C6"/>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30" w15:restartNumberingAfterBreak="0">
    <w:nsid w:val="5175315B"/>
    <w:multiLevelType w:val="hybridMultilevel"/>
    <w:tmpl w:val="5E2E624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1C23CC6"/>
    <w:multiLevelType w:val="hybridMultilevel"/>
    <w:tmpl w:val="DAF48600"/>
    <w:lvl w:ilvl="0" w:tplc="01800608">
      <w:start w:val="6"/>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95E7D"/>
    <w:multiLevelType w:val="hybridMultilevel"/>
    <w:tmpl w:val="CE344F0A"/>
    <w:lvl w:ilvl="0" w:tplc="91BA12F8">
      <w:start w:val="1"/>
      <w:numFmt w:val="lowerLetter"/>
      <w:lvlText w:val="%1."/>
      <w:lvlJc w:val="left"/>
      <w:pPr>
        <w:ind w:left="720" w:hanging="360"/>
      </w:pPr>
      <w:rPr>
        <w:rFonts w:ascii="Arial" w:hAnsi="Arial" w:cs="Times New Roman" w:hint="default"/>
        <w:b/>
        <w:i w:val="0"/>
        <w:color w:val="auto"/>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3" w15:restartNumberingAfterBreak="0">
    <w:nsid w:val="58E34A1D"/>
    <w:multiLevelType w:val="hybridMultilevel"/>
    <w:tmpl w:val="CDB04DDC"/>
    <w:lvl w:ilvl="0" w:tplc="04A6C46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4" w15:restartNumberingAfterBreak="0">
    <w:nsid w:val="6AA516C5"/>
    <w:multiLevelType w:val="hybridMultilevel"/>
    <w:tmpl w:val="FA60C4B2"/>
    <w:lvl w:ilvl="0" w:tplc="5852992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AE806EB"/>
    <w:multiLevelType w:val="hybridMultilevel"/>
    <w:tmpl w:val="AEDEF6AE"/>
    <w:lvl w:ilvl="0" w:tplc="07DA83DA">
      <w:start w:val="1"/>
      <w:numFmt w:val="decimal"/>
      <w:lvlText w:val="%1."/>
      <w:lvlJc w:val="left"/>
      <w:pPr>
        <w:ind w:left="786" w:hanging="360"/>
      </w:pPr>
      <w:rPr>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6" w15:restartNumberingAfterBreak="0">
    <w:nsid w:val="6B72409D"/>
    <w:multiLevelType w:val="hybridMultilevel"/>
    <w:tmpl w:val="8A28A52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7" w15:restartNumberingAfterBreak="0">
    <w:nsid w:val="6BD523E5"/>
    <w:multiLevelType w:val="hybridMultilevel"/>
    <w:tmpl w:val="B5A039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D28A6"/>
    <w:multiLevelType w:val="hybridMultilevel"/>
    <w:tmpl w:val="683E895C"/>
    <w:lvl w:ilvl="0" w:tplc="0C58CD92">
      <w:start w:val="1"/>
      <w:numFmt w:val="lowerLetter"/>
      <w:lvlText w:val="%1."/>
      <w:lvlJc w:val="left"/>
      <w:pPr>
        <w:tabs>
          <w:tab w:val="num" w:pos="360"/>
        </w:tabs>
        <w:ind w:left="360" w:hanging="360"/>
      </w:pPr>
      <w:rPr>
        <w:rFonts w:ascii="Arial" w:hAnsi="Arial" w:hint="default"/>
        <w:b/>
        <w:i/>
        <w:sz w:val="22"/>
        <w:szCs w:val="22"/>
      </w:rPr>
    </w:lvl>
    <w:lvl w:ilvl="1" w:tplc="2C2E2420">
      <w:start w:val="1"/>
      <w:numFmt w:val="bullet"/>
      <w:lvlText w:val=""/>
      <w:lvlJc w:val="left"/>
      <w:pPr>
        <w:tabs>
          <w:tab w:val="num" w:pos="1440"/>
        </w:tabs>
        <w:ind w:left="1440" w:hanging="360"/>
      </w:pPr>
      <w:rPr>
        <w:rFonts w:ascii="Symbol" w:hAnsi="Symbol"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D561769"/>
    <w:multiLevelType w:val="hybridMultilevel"/>
    <w:tmpl w:val="5C8E4650"/>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7E7401A5"/>
    <w:multiLevelType w:val="hybridMultilevel"/>
    <w:tmpl w:val="BAEA5DBE"/>
    <w:lvl w:ilvl="0" w:tplc="CBDADDC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4"/>
  </w:num>
  <w:num w:numId="2">
    <w:abstractNumId w:val="20"/>
  </w:num>
  <w:num w:numId="3">
    <w:abstractNumId w:val="28"/>
  </w:num>
  <w:num w:numId="4">
    <w:abstractNumId w:val="2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num>
  <w:num w:numId="9">
    <w:abstractNumId w:val="26"/>
  </w:num>
  <w:num w:numId="10">
    <w:abstractNumId w:val="36"/>
  </w:num>
  <w:num w:numId="11">
    <w:abstractNumId w:val="5"/>
  </w:num>
  <w:num w:numId="12">
    <w:abstractNumId w:val="17"/>
  </w:num>
  <w:num w:numId="13">
    <w:abstractNumId w:val="11"/>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9"/>
  </w:num>
  <w:num w:numId="17">
    <w:abstractNumId w:val="35"/>
  </w:num>
  <w:num w:numId="18">
    <w:abstractNumId w:val="34"/>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0"/>
  </w:num>
  <w:num w:numId="22">
    <w:abstractNumId w:val="1"/>
  </w:num>
  <w:num w:numId="23">
    <w:abstractNumId w:val="9"/>
  </w:num>
  <w:num w:numId="24">
    <w:abstractNumId w:val="22"/>
  </w:num>
  <w:num w:numId="25">
    <w:abstractNumId w:val="0"/>
  </w:num>
  <w:num w:numId="26">
    <w:abstractNumId w:val="12"/>
  </w:num>
  <w:num w:numId="27">
    <w:abstractNumId w:val="37"/>
  </w:num>
  <w:num w:numId="28">
    <w:abstractNumId w:val="27"/>
  </w:num>
  <w:num w:numId="29">
    <w:abstractNumId w:val="33"/>
  </w:num>
  <w:num w:numId="30">
    <w:abstractNumId w:val="2"/>
  </w:num>
  <w:num w:numId="31">
    <w:abstractNumId w:val="41"/>
  </w:num>
  <w:num w:numId="32">
    <w:abstractNumId w:val="29"/>
  </w:num>
  <w:num w:numId="33">
    <w:abstractNumId w:val="19"/>
  </w:num>
  <w:num w:numId="34">
    <w:abstractNumId w:val="24"/>
  </w:num>
  <w:num w:numId="35">
    <w:abstractNumId w:val="3"/>
  </w:num>
  <w:num w:numId="36">
    <w:abstractNumId w:val="18"/>
  </w:num>
  <w:num w:numId="37">
    <w:abstractNumId w:val="13"/>
  </w:num>
  <w:num w:numId="38">
    <w:abstractNumId w:val="14"/>
  </w:num>
  <w:num w:numId="39">
    <w:abstractNumId w:val="16"/>
  </w:num>
  <w:num w:numId="40">
    <w:abstractNumId w:val="31"/>
  </w:num>
  <w:num w:numId="41">
    <w:abstractNumId w:val="15"/>
  </w:num>
  <w:num w:numId="42">
    <w:abstractNumId w:val="7"/>
  </w:num>
  <w:num w:numId="4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A0A"/>
    <w:rsid w:val="00104E6C"/>
    <w:rsid w:val="0010539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05FD"/>
    <w:rsid w:val="002F1374"/>
    <w:rsid w:val="00300778"/>
    <w:rsid w:val="003011A3"/>
    <w:rsid w:val="0030153B"/>
    <w:rsid w:val="00301B0B"/>
    <w:rsid w:val="00302A99"/>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3B63"/>
    <w:rsid w:val="00445CED"/>
    <w:rsid w:val="00447784"/>
    <w:rsid w:val="004505E8"/>
    <w:rsid w:val="004511A1"/>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E83"/>
    <w:rsid w:val="005653A1"/>
    <w:rsid w:val="0056674D"/>
    <w:rsid w:val="00570916"/>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1D76"/>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800060"/>
    <w:rsid w:val="008009B0"/>
    <w:rsid w:val="00803BB3"/>
    <w:rsid w:val="00804036"/>
    <w:rsid w:val="008059AB"/>
    <w:rsid w:val="008071A7"/>
    <w:rsid w:val="00807CCB"/>
    <w:rsid w:val="008101FC"/>
    <w:rsid w:val="008108E8"/>
    <w:rsid w:val="0081353F"/>
    <w:rsid w:val="0081640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E4C"/>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7AB940"/>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F8BC6-3497-4F5C-AE88-A9DCA049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184</cp:revision>
  <cp:lastPrinted>2017-11-29T19:30:00Z</cp:lastPrinted>
  <dcterms:created xsi:type="dcterms:W3CDTF">2016-10-05T20:00:00Z</dcterms:created>
  <dcterms:modified xsi:type="dcterms:W3CDTF">2017-11-30T15:12:00Z</dcterms:modified>
</cp:coreProperties>
</file>