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4C1FB6">
        <w:rPr>
          <w:rFonts w:ascii="Arial" w:hAnsi="Arial" w:cs="Arial"/>
          <w:b/>
          <w:bCs/>
          <w:iCs/>
          <w:sz w:val="26"/>
          <w:szCs w:val="22"/>
          <w:lang w:val="es-CR"/>
        </w:rPr>
        <w:t>914</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F41044" w:rsidRPr="00ED5B24" w:rsidRDefault="00190010" w:rsidP="00337455">
            <w:pPr>
              <w:jc w:val="both"/>
              <w:rPr>
                <w:rFonts w:ascii="Arial" w:eastAsia="Cambria" w:hAnsi="Arial" w:cs="Arial"/>
                <w:sz w:val="20"/>
                <w:szCs w:val="20"/>
                <w:lang w:val="es-ES_tradnl" w:eastAsia="en-US"/>
              </w:rPr>
            </w:pPr>
            <w:r w:rsidRPr="00ED5B24">
              <w:rPr>
                <w:rFonts w:ascii="Arial" w:eastAsia="Cambria" w:hAnsi="Arial" w:cs="Arial"/>
                <w:sz w:val="20"/>
                <w:szCs w:val="20"/>
                <w:lang w:val="es-ES_tradnl" w:eastAsia="en-US"/>
              </w:rPr>
              <w:t>Dr. Julio Calvo Alvarado</w:t>
            </w:r>
            <w:r w:rsidR="0090700F" w:rsidRPr="00ED5B24">
              <w:rPr>
                <w:rFonts w:ascii="Arial" w:eastAsia="Cambria" w:hAnsi="Arial" w:cs="Arial"/>
                <w:sz w:val="20"/>
                <w:szCs w:val="20"/>
                <w:lang w:val="es-ES_tradnl" w:eastAsia="en-US"/>
              </w:rPr>
              <w:t>, Rector</w:t>
            </w:r>
          </w:p>
          <w:p w:rsidR="004C1FB6" w:rsidRPr="000D6061" w:rsidRDefault="004C1FB6" w:rsidP="004C1FB6">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Pr="000D6061">
              <w:rPr>
                <w:rFonts w:ascii="Arial" w:eastAsia="Cambria" w:hAnsi="Arial" w:cs="Arial"/>
                <w:sz w:val="22"/>
                <w:szCs w:val="22"/>
                <w:lang w:val="es-ES_tradnl" w:eastAsia="en-US"/>
              </w:rPr>
              <w:t>. Humberto Villalta, Vicerrector de Administración</w:t>
            </w:r>
          </w:p>
          <w:p w:rsidR="004C1FB6" w:rsidRPr="000D6061" w:rsidRDefault="004C1FB6" w:rsidP="004C1FB6">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M.D. Laura Sancho</w:t>
            </w:r>
            <w:r w:rsidRPr="000D6061">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 xml:space="preserve">a </w:t>
            </w:r>
            <w:proofErr w:type="spellStart"/>
            <w:r>
              <w:rPr>
                <w:rFonts w:ascii="Arial" w:eastAsia="Cambria" w:hAnsi="Arial" w:cs="Arial"/>
                <w:sz w:val="22"/>
                <w:szCs w:val="22"/>
                <w:lang w:val="es-ES_tradnl" w:eastAsia="en-US"/>
              </w:rPr>
              <w:t>a.i.</w:t>
            </w:r>
            <w:proofErr w:type="spellEnd"/>
            <w:r w:rsidRPr="000D6061">
              <w:rPr>
                <w:rFonts w:ascii="Arial" w:eastAsia="Cambria" w:hAnsi="Arial" w:cs="Arial"/>
                <w:sz w:val="22"/>
                <w:szCs w:val="22"/>
                <w:lang w:val="es-ES_tradnl" w:eastAsia="en-US"/>
              </w:rPr>
              <w:t xml:space="preserve"> de Docencia</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 xml:space="preserve">Dra. Paola Vega, Vicerrectora de Investigación y Extensión </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 xml:space="preserve">Dra. Claudia Madrizova, Vicerrectora de Vida Estudiantil y Servicios Académicos </w:t>
            </w:r>
          </w:p>
          <w:p w:rsidR="004C1FB6" w:rsidRPr="000D6061" w:rsidRDefault="004C1FB6" w:rsidP="004C1FB6">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Pr="000D6061">
              <w:rPr>
                <w:rFonts w:ascii="Arial" w:eastAsia="Cambria" w:hAnsi="Arial" w:cs="Arial"/>
                <w:sz w:val="22"/>
                <w:szCs w:val="22"/>
                <w:lang w:val="es-ES_tradnl" w:eastAsia="en-US"/>
              </w:rPr>
              <w:t>. Edgardo Vargas, Director Sede Regional San Carlos</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Arq. Marlene Ilama, Directora Centro Académico San José</w:t>
            </w:r>
            <w:bookmarkStart w:id="0" w:name="_GoBack"/>
            <w:bookmarkEnd w:id="0"/>
          </w:p>
          <w:p w:rsidR="004C1FB6" w:rsidRDefault="004C1FB6" w:rsidP="004C1FB6">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Dr. Roberto Pereira, Director Centro Académico de Alajuela</w:t>
            </w:r>
          </w:p>
          <w:p w:rsidR="004C1FB6" w:rsidRPr="000D6061" w:rsidRDefault="004C1FB6" w:rsidP="004C1FB6">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w:t>
            </w:r>
            <w:r w:rsidRPr="000D6061">
              <w:rPr>
                <w:rFonts w:ascii="Arial" w:eastAsia="Cambria" w:hAnsi="Arial" w:cs="Arial"/>
                <w:sz w:val="22"/>
                <w:szCs w:val="22"/>
                <w:lang w:val="es-ES_tradnl" w:eastAsia="en-US"/>
              </w:rPr>
              <w:t>, Director</w:t>
            </w:r>
            <w:r>
              <w:rPr>
                <w:rFonts w:ascii="Arial" w:eastAsia="Cambria" w:hAnsi="Arial" w:cs="Arial"/>
                <w:sz w:val="22"/>
                <w:szCs w:val="22"/>
                <w:lang w:val="es-ES_tradnl" w:eastAsia="en-US"/>
              </w:rPr>
              <w:t xml:space="preserve"> </w:t>
            </w:r>
            <w:proofErr w:type="spellStart"/>
            <w:r w:rsidRPr="000D6061">
              <w:rPr>
                <w:rFonts w:ascii="Arial" w:eastAsia="Cambria" w:hAnsi="Arial" w:cs="Arial"/>
                <w:sz w:val="22"/>
                <w:szCs w:val="22"/>
                <w:lang w:val="es-ES_tradnl" w:eastAsia="en-US"/>
              </w:rPr>
              <w:t>a</w:t>
            </w:r>
            <w:r>
              <w:rPr>
                <w:rFonts w:ascii="Arial" w:eastAsia="Cambria" w:hAnsi="Arial" w:cs="Arial"/>
                <w:sz w:val="22"/>
                <w:szCs w:val="22"/>
                <w:lang w:val="es-ES_tradnl" w:eastAsia="en-US"/>
              </w:rPr>
              <w:t>.i.</w:t>
            </w:r>
            <w:proofErr w:type="spellEnd"/>
            <w:r w:rsidRPr="000D6061">
              <w:rPr>
                <w:rFonts w:ascii="Arial" w:eastAsia="Cambria" w:hAnsi="Arial" w:cs="Arial"/>
                <w:sz w:val="22"/>
                <w:szCs w:val="22"/>
                <w:lang w:val="es-ES_tradnl" w:eastAsia="en-US"/>
              </w:rPr>
              <w:t xml:space="preserve"> Centro Académico de Limón</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MAU. Tatiana Fernández, Directora Oficina de Planificación Institucional</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Lic</w:t>
            </w:r>
            <w:r>
              <w:rPr>
                <w:rFonts w:ascii="Arial" w:eastAsia="Cambria" w:hAnsi="Arial" w:cs="Arial"/>
                <w:sz w:val="22"/>
                <w:szCs w:val="22"/>
                <w:lang w:val="es-ES_tradnl" w:eastAsia="en-US"/>
              </w:rPr>
              <w:t>da</w:t>
            </w:r>
            <w:r w:rsidRPr="000D6061">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Silvia Watson</w:t>
            </w:r>
            <w:r w:rsidRPr="000D6061">
              <w:rPr>
                <w:rFonts w:ascii="Arial" w:eastAsia="Cambria" w:hAnsi="Arial" w:cs="Arial"/>
                <w:sz w:val="22"/>
                <w:szCs w:val="22"/>
                <w:lang w:val="es-ES_tradnl" w:eastAsia="en-US"/>
              </w:rPr>
              <w:t>, Director</w:t>
            </w:r>
            <w:r>
              <w:rPr>
                <w:rFonts w:ascii="Arial" w:eastAsia="Cambria" w:hAnsi="Arial" w:cs="Arial"/>
                <w:sz w:val="22"/>
                <w:szCs w:val="22"/>
                <w:lang w:val="es-ES_tradnl" w:eastAsia="en-US"/>
              </w:rPr>
              <w:t>a</w:t>
            </w:r>
            <w:r w:rsidRPr="000D6061">
              <w:rPr>
                <w:rFonts w:ascii="Arial" w:eastAsia="Cambria" w:hAnsi="Arial" w:cs="Arial"/>
                <w:sz w:val="22"/>
                <w:szCs w:val="22"/>
                <w:lang w:val="es-ES_tradnl" w:eastAsia="en-US"/>
              </w:rPr>
              <w:t xml:space="preserve"> Departamento Financiero Contable</w:t>
            </w:r>
          </w:p>
          <w:p w:rsidR="004C1FB6" w:rsidRPr="000D6061" w:rsidRDefault="004C1FB6" w:rsidP="004C1FB6">
            <w:pPr>
              <w:ind w:left="45"/>
              <w:jc w:val="both"/>
              <w:rPr>
                <w:rFonts w:ascii="Arial" w:eastAsia="Cambria" w:hAnsi="Arial" w:cs="Arial"/>
                <w:sz w:val="22"/>
                <w:szCs w:val="22"/>
                <w:lang w:val="es-ES_tradnl" w:eastAsia="en-US"/>
              </w:rPr>
            </w:pPr>
            <w:r w:rsidRPr="000D6061">
              <w:rPr>
                <w:rFonts w:ascii="Arial" w:eastAsia="Cambria" w:hAnsi="Arial" w:cs="Arial"/>
                <w:sz w:val="22"/>
                <w:szCs w:val="22"/>
                <w:lang w:val="es-ES_tradnl" w:eastAsia="en-US"/>
              </w:rPr>
              <w:t>Ing. Saúl Fernández, Director Oficina de Ingeniería</w:t>
            </w:r>
          </w:p>
          <w:p w:rsidR="004C1FB6" w:rsidRDefault="004C1FB6" w:rsidP="004C1FB6">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Pr="000D6061">
              <w:rPr>
                <w:rFonts w:ascii="Arial" w:eastAsia="Cambria" w:hAnsi="Arial" w:cs="Arial"/>
                <w:sz w:val="22"/>
                <w:szCs w:val="22"/>
                <w:lang w:val="es-ES_tradnl" w:eastAsia="en-US"/>
              </w:rPr>
              <w:t>Lic. Manuel Centeno, Director Departamento Administración de Mantenimiento</w:t>
            </w:r>
          </w:p>
          <w:p w:rsidR="00793F58" w:rsidRPr="000F473C" w:rsidRDefault="00793F58" w:rsidP="005B7CDB">
            <w:pPr>
              <w:ind w:left="45"/>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w:t>
            </w:r>
            <w:proofErr w:type="spellStart"/>
            <w:r>
              <w:rPr>
                <w:rFonts w:ascii="Arial" w:eastAsia="Cambria" w:hAnsi="Arial" w:cs="Arial"/>
                <w:sz w:val="22"/>
                <w:szCs w:val="22"/>
                <w:lang w:val="es-ES_tradnl" w:eastAsia="en-US"/>
              </w:rPr>
              <w:t>Bertalía</w:t>
            </w:r>
            <w:proofErr w:type="spellEnd"/>
            <w:r>
              <w:rPr>
                <w:rFonts w:ascii="Arial" w:eastAsia="Cambria" w:hAnsi="Arial" w:cs="Arial"/>
                <w:sz w:val="22"/>
                <w:szCs w:val="22"/>
                <w:lang w:val="es-ES_tradnl" w:eastAsia="en-US"/>
              </w:rPr>
              <w:t xml:space="preserve"> Sánchez Sala</w:t>
            </w:r>
            <w:r w:rsidR="00224C36">
              <w:rPr>
                <w:rFonts w:ascii="Arial" w:eastAsia="Cambria" w:hAnsi="Arial" w:cs="Arial"/>
                <w:sz w:val="22"/>
                <w:szCs w:val="22"/>
                <w:lang w:val="es-ES_tradnl" w:eastAsia="en-US"/>
              </w:rPr>
              <w:t>s</w:t>
            </w:r>
            <w:r>
              <w:rPr>
                <w:rFonts w:ascii="Arial" w:eastAsia="Cambria" w:hAnsi="Arial" w:cs="Arial"/>
                <w:sz w:val="22"/>
                <w:szCs w:val="22"/>
                <w:lang w:val="es-ES_tradnl" w:eastAsia="en-US"/>
              </w:rPr>
              <w:t>, Directora Ejecutiva</w:t>
            </w:r>
          </w:p>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Consejo </w:t>
            </w:r>
            <w:r w:rsidRPr="00267FAF">
              <w:rPr>
                <w:rFonts w:ascii="Arial" w:eastAsia="Cambria" w:hAnsi="Arial" w:cs="Arial"/>
                <w:sz w:val="22"/>
                <w:szCs w:val="22"/>
                <w:lang w:val="es-ES_tradnl" w:eastAsia="en-US"/>
              </w:rPr>
              <w:t>Institucional</w:t>
            </w:r>
          </w:p>
          <w:p w:rsidR="007742A1" w:rsidRPr="007F1052" w:rsidRDefault="00841F61" w:rsidP="00841F6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5B7CDB"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06</w:t>
            </w:r>
            <w:r w:rsidR="00044242">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dic</w:t>
            </w:r>
            <w:r w:rsidR="00841F61">
              <w:rPr>
                <w:rFonts w:ascii="Arial" w:eastAsia="Cambria" w:hAnsi="Arial" w:cs="Arial"/>
                <w:b/>
                <w:sz w:val="22"/>
                <w:szCs w:val="22"/>
                <w:lang w:val="es-ES_tradnl" w:eastAsia="en-US"/>
              </w:rPr>
              <w:t>iem</w:t>
            </w:r>
            <w:r w:rsidR="00AA0A77">
              <w:rPr>
                <w:rFonts w:ascii="Arial" w:eastAsia="Cambria" w:hAnsi="Arial" w:cs="Arial"/>
                <w:b/>
                <w:sz w:val="22"/>
                <w:szCs w:val="22"/>
                <w:lang w:val="es-ES_tradnl" w:eastAsia="en-US"/>
              </w:rPr>
              <w:t>b</w:t>
            </w:r>
            <w:r w:rsidR="00190010">
              <w:rPr>
                <w:rFonts w:ascii="Arial" w:eastAsia="Cambria" w:hAnsi="Arial" w:cs="Arial"/>
                <w:b/>
                <w:sz w:val="22"/>
                <w:szCs w:val="22"/>
                <w:lang w:val="es-ES_tradnl" w:eastAsia="en-US"/>
              </w:rPr>
              <w:t>re</w:t>
            </w:r>
            <w:r w:rsidR="007742A1" w:rsidRPr="00267FAF">
              <w:rPr>
                <w:rFonts w:ascii="Arial" w:eastAsia="Cambria" w:hAnsi="Arial" w:cs="Arial"/>
                <w:b/>
                <w:sz w:val="22"/>
                <w:szCs w:val="22"/>
                <w:lang w:val="es-ES_tradnl" w:eastAsia="en-US"/>
              </w:rPr>
              <w:t xml:space="preserve"> de 201</w:t>
            </w:r>
            <w:r w:rsidR="00A772EF" w:rsidRPr="00267FAF">
              <w:rPr>
                <w:rFonts w:ascii="Arial" w:eastAsia="Cambria" w:hAnsi="Arial" w:cs="Arial"/>
                <w:b/>
                <w:sz w:val="22"/>
                <w:szCs w:val="22"/>
                <w:lang w:val="es-ES_tradnl" w:eastAsia="en-US"/>
              </w:rPr>
              <w:t>7</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0F5C99" w:rsidRDefault="007742A1" w:rsidP="005B7CDB">
            <w:pPr>
              <w:pStyle w:val="Prrafodelista"/>
              <w:ind w:left="-31"/>
              <w:jc w:val="both"/>
              <w:rPr>
                <w:rFonts w:ascii="Arial" w:eastAsia="Cambria" w:hAnsi="Arial" w:cs="Arial"/>
                <w:b/>
                <w:bCs/>
                <w:sz w:val="22"/>
                <w:szCs w:val="22"/>
                <w:lang w:val="es-CR" w:eastAsia="en-US"/>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5B7CDB">
              <w:rPr>
                <w:rFonts w:ascii="Arial" w:eastAsia="Calibri" w:hAnsi="Arial" w:cs="Arial"/>
                <w:b/>
                <w:sz w:val="22"/>
                <w:szCs w:val="22"/>
              </w:rPr>
              <w:t>50</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0F5C99">
              <w:rPr>
                <w:rFonts w:ascii="Arial" w:eastAsia="Calibri" w:hAnsi="Arial" w:cs="Arial"/>
                <w:b/>
                <w:sz w:val="22"/>
                <w:szCs w:val="22"/>
              </w:rPr>
              <w:t>1</w:t>
            </w:r>
            <w:r w:rsidR="004C1FB6">
              <w:rPr>
                <w:rFonts w:ascii="Arial" w:eastAsia="Calibri" w:hAnsi="Arial" w:cs="Arial"/>
                <w:b/>
                <w:sz w:val="22"/>
                <w:szCs w:val="22"/>
              </w:rPr>
              <w:t>3</w:t>
            </w:r>
            <w:r w:rsidR="005B7CDB">
              <w:rPr>
                <w:rFonts w:ascii="Arial" w:eastAsia="Calibri" w:hAnsi="Arial" w:cs="Arial"/>
                <w:b/>
                <w:sz w:val="22"/>
                <w:szCs w:val="22"/>
              </w:rPr>
              <w:t xml:space="preserve">, </w:t>
            </w:r>
            <w:r w:rsidRPr="00267FAF">
              <w:rPr>
                <w:rFonts w:ascii="Arial" w:eastAsia="Calibri" w:hAnsi="Arial" w:cs="Arial"/>
                <w:b/>
                <w:sz w:val="22"/>
                <w:szCs w:val="22"/>
              </w:rPr>
              <w:t xml:space="preserve">del </w:t>
            </w:r>
            <w:r w:rsidR="005B7CDB">
              <w:rPr>
                <w:rFonts w:ascii="Arial" w:eastAsia="Calibri" w:hAnsi="Arial" w:cs="Arial"/>
                <w:b/>
                <w:sz w:val="22"/>
                <w:szCs w:val="22"/>
              </w:rPr>
              <w:t>06</w:t>
            </w:r>
            <w:r w:rsidRPr="00267FAF">
              <w:rPr>
                <w:rFonts w:ascii="Arial" w:eastAsia="Calibri" w:hAnsi="Arial" w:cs="Arial"/>
                <w:b/>
                <w:sz w:val="22"/>
                <w:szCs w:val="22"/>
              </w:rPr>
              <w:t xml:space="preserve"> de </w:t>
            </w:r>
            <w:r w:rsidR="005B7CDB">
              <w:rPr>
                <w:rFonts w:ascii="Arial" w:eastAsia="Calibri" w:hAnsi="Arial" w:cs="Arial"/>
                <w:b/>
                <w:sz w:val="22"/>
                <w:szCs w:val="22"/>
              </w:rPr>
              <w:t>dic</w:t>
            </w:r>
            <w:r w:rsidR="00841F61">
              <w:rPr>
                <w:rFonts w:ascii="Arial" w:eastAsia="Calibri" w:hAnsi="Arial" w:cs="Arial"/>
                <w:b/>
                <w:sz w:val="22"/>
                <w:szCs w:val="22"/>
              </w:rPr>
              <w:t>iem</w:t>
            </w:r>
            <w:r w:rsidR="00AA0A77">
              <w:rPr>
                <w:rFonts w:ascii="Arial" w:eastAsia="Calibri" w:hAnsi="Arial" w:cs="Arial"/>
                <w:b/>
                <w:sz w:val="22"/>
                <w:szCs w:val="22"/>
              </w:rPr>
              <w:t>bre</w:t>
            </w:r>
            <w:r w:rsidR="007A2D73" w:rsidRPr="00267FAF">
              <w:rPr>
                <w:rFonts w:ascii="Arial" w:eastAsia="Calibri" w:hAnsi="Arial" w:cs="Arial"/>
                <w:b/>
                <w:sz w:val="22"/>
                <w:szCs w:val="22"/>
              </w:rPr>
              <w:t xml:space="preserve"> </w:t>
            </w:r>
            <w:r w:rsidR="00A772EF" w:rsidRPr="00267FAF">
              <w:rPr>
                <w:rFonts w:ascii="Arial" w:eastAsia="Calibri" w:hAnsi="Arial" w:cs="Arial"/>
                <w:b/>
                <w:sz w:val="22"/>
                <w:szCs w:val="22"/>
              </w:rPr>
              <w:t>de 2017</w:t>
            </w:r>
            <w:r w:rsidR="00457DD8">
              <w:rPr>
                <w:rFonts w:ascii="Arial" w:eastAsia="Calibri" w:hAnsi="Arial" w:cs="Arial"/>
                <w:b/>
                <w:sz w:val="22"/>
                <w:szCs w:val="22"/>
              </w:rPr>
              <w:t xml:space="preserve">.  </w:t>
            </w:r>
            <w:r w:rsidR="005B7CDB" w:rsidRPr="005B7CDB">
              <w:rPr>
                <w:rFonts w:ascii="Arial" w:eastAsia="Cambria" w:hAnsi="Arial" w:cs="Arial"/>
                <w:b/>
                <w:bCs/>
                <w:sz w:val="22"/>
                <w:szCs w:val="22"/>
                <w:lang w:val="es-CR" w:eastAsia="en-US"/>
              </w:rPr>
              <w:t>Modificación acuerdo tomado por el Consejo Institucional, Sesión Ordinaria No. 3036, Artículo 9, del 30 de agosto de 2017  “Modificación del Plan de Infraestructura Institucional y autorización a la Administración para solicitar un Préstamo por 20 millones dólares para desarrollar infraestructura y equipamiento en el ITCR”, para dar contenido económico adicional al edificio de Cultura en San Carlos, finalizar II etapa de Limón y sacar a Licitación el edificio de Residencias Estudiantiles en Limón”</w:t>
            </w:r>
          </w:p>
          <w:p w:rsidR="005B7CDB" w:rsidRPr="007F1052" w:rsidRDefault="005B7CDB" w:rsidP="005B7CDB">
            <w:pPr>
              <w:pStyle w:val="Prrafodelista"/>
              <w:ind w:left="-31"/>
              <w:jc w:val="both"/>
              <w:rPr>
                <w:rFonts w:ascii="Arial" w:eastAsia="Cambria" w:hAnsi="Arial" w:cs="Arial"/>
                <w:b/>
                <w:sz w:val="20"/>
                <w:szCs w:val="20"/>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41439E" w:rsidRDefault="0041439E" w:rsidP="007742A1">
      <w:pPr>
        <w:jc w:val="both"/>
        <w:rPr>
          <w:rFonts w:ascii="Arial" w:eastAsia="Cambria" w:hAnsi="Arial" w:cs="Arial"/>
          <w:lang w:val="es-ES_tradnl" w:eastAsia="en-US"/>
        </w:rPr>
      </w:pPr>
    </w:p>
    <w:p w:rsidR="004C1FB6" w:rsidRPr="004C1FB6" w:rsidRDefault="004C1FB6" w:rsidP="004C1FB6">
      <w:pPr>
        <w:rPr>
          <w:rFonts w:ascii="Arial" w:hAnsi="Arial" w:cs="Arial"/>
          <w:b/>
        </w:rPr>
      </w:pPr>
      <w:r w:rsidRPr="004C1FB6">
        <w:rPr>
          <w:rFonts w:ascii="Arial" w:hAnsi="Arial" w:cs="Arial"/>
          <w:b/>
        </w:rPr>
        <w:t>RESULTANDO QUE:</w:t>
      </w:r>
    </w:p>
    <w:p w:rsidR="004C1FB6" w:rsidRPr="004C1FB6" w:rsidRDefault="004C1FB6" w:rsidP="004C1FB6">
      <w:pPr>
        <w:rPr>
          <w:rFonts w:ascii="Arial" w:hAnsi="Arial" w:cs="Arial"/>
          <w:b/>
        </w:rPr>
      </w:pPr>
    </w:p>
    <w:p w:rsidR="004C1FB6" w:rsidRPr="004C1FB6" w:rsidRDefault="004C1FB6" w:rsidP="004C1FB6">
      <w:pPr>
        <w:numPr>
          <w:ilvl w:val="0"/>
          <w:numId w:val="46"/>
        </w:numPr>
        <w:tabs>
          <w:tab w:val="num" w:pos="465"/>
        </w:tabs>
        <w:ind w:left="465"/>
        <w:jc w:val="both"/>
        <w:rPr>
          <w:rFonts w:ascii="Arial" w:hAnsi="Arial" w:cs="Arial"/>
        </w:rPr>
      </w:pPr>
      <w:r w:rsidRPr="004C1FB6">
        <w:rPr>
          <w:rFonts w:ascii="Arial" w:hAnsi="Arial" w:cs="Arial"/>
        </w:rPr>
        <w:t>El Consejo Institucional en la Sesión Extraordinaria No. 2974, Artículo 1, del 30 de mayo de 2016, tomó el acuerdo “Modificación del Plan de Infraestructura Institucional y autorización a la Administración para solicitar un Préstamo por 20 millones dólares para desarrollar infraestructura y equipamiento en el ITCR”, en el inciso a) dice:</w:t>
      </w:r>
    </w:p>
    <w:p w:rsidR="004C1FB6" w:rsidRPr="004C1FB6" w:rsidRDefault="004C1FB6" w:rsidP="004C1FB6">
      <w:pPr>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1000"/>
        <w:gridCol w:w="1456"/>
        <w:gridCol w:w="1776"/>
        <w:gridCol w:w="1309"/>
        <w:gridCol w:w="1512"/>
        <w:gridCol w:w="1468"/>
      </w:tblGrid>
      <w:tr w:rsidR="004C1FB6" w:rsidRPr="004C1FB6" w:rsidTr="00E73562">
        <w:trPr>
          <w:trHeight w:val="765"/>
        </w:trPr>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Prioridad</w:t>
            </w:r>
          </w:p>
        </w:tc>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DESCRIPCIÓN</w:t>
            </w:r>
          </w:p>
        </w:tc>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ÁREA CONST. M2</w:t>
            </w:r>
          </w:p>
        </w:tc>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Presupuesto</w:t>
            </w:r>
          </w:p>
        </w:tc>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FUENTE FINAN.</w:t>
            </w:r>
          </w:p>
        </w:tc>
        <w:tc>
          <w:tcPr>
            <w:tcW w:w="0" w:type="auto"/>
            <w:tcBorders>
              <w:top w:val="single" w:sz="8" w:space="0" w:color="auto"/>
              <w:left w:val="single" w:sz="8" w:space="0" w:color="auto"/>
              <w:bottom w:val="nil"/>
              <w:right w:val="nil"/>
            </w:tcBorders>
            <w:shd w:val="clear" w:color="000000" w:fill="0070C0"/>
            <w:vAlign w:val="center"/>
            <w:hideMark/>
          </w:tcPr>
          <w:p w:rsidR="004C1FB6" w:rsidRPr="004C1FB6" w:rsidRDefault="004C1FB6" w:rsidP="004C1FB6">
            <w:pPr>
              <w:jc w:val="center"/>
              <w:rPr>
                <w:rFonts w:ascii="Century Gothic" w:hAnsi="Century Gothic" w:cs="Arial"/>
                <w:b/>
                <w:bCs/>
                <w:i/>
                <w:color w:val="000000"/>
                <w:sz w:val="20"/>
                <w:szCs w:val="20"/>
                <w:lang w:val="es-CR" w:eastAsia="es-CR"/>
              </w:rPr>
            </w:pPr>
            <w:r w:rsidRPr="004C1FB6">
              <w:rPr>
                <w:rFonts w:ascii="Century Gothic" w:hAnsi="Century Gothic" w:cs="Arial"/>
                <w:b/>
                <w:bCs/>
                <w:i/>
                <w:color w:val="000000"/>
                <w:sz w:val="20"/>
                <w:szCs w:val="20"/>
                <w:lang w:val="es-CR" w:eastAsia="es-CR"/>
              </w:rPr>
              <w:t>COMENTARIO</w:t>
            </w:r>
          </w:p>
        </w:tc>
      </w:tr>
    </w:tbl>
    <w:p w:rsidR="004C1FB6" w:rsidRPr="004C1FB6" w:rsidRDefault="004C1FB6" w:rsidP="004C1FB6">
      <w:pPr>
        <w:jc w:val="both"/>
        <w:rPr>
          <w:rFonts w:ascii="Arial" w:hAnsi="Arial" w:cs="Arial"/>
        </w:rPr>
      </w:pPr>
      <w:r w:rsidRPr="004C1FB6">
        <w:rPr>
          <w:rFonts w:ascii="Arial" w:hAnsi="Arial" w:cs="Arial"/>
        </w:rPr>
        <w:t>…</w:t>
      </w:r>
    </w:p>
    <w:p w:rsidR="004C1FB6" w:rsidRPr="004C1FB6" w:rsidRDefault="004C1FB6" w:rsidP="004C1FB6">
      <w:pPr>
        <w:jc w:val="both"/>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222"/>
        <w:gridCol w:w="3560"/>
        <w:gridCol w:w="628"/>
        <w:gridCol w:w="1276"/>
        <w:gridCol w:w="1573"/>
        <w:gridCol w:w="1876"/>
      </w:tblGrid>
      <w:tr w:rsidR="004C1FB6" w:rsidRPr="004C1FB6" w:rsidTr="00E73562">
        <w:trPr>
          <w:trHeight w:val="315"/>
        </w:trPr>
        <w:tc>
          <w:tcPr>
            <w:tcW w:w="856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1FB6" w:rsidRPr="004C1FB6" w:rsidRDefault="004C1FB6" w:rsidP="004C1FB6">
            <w:pPr>
              <w:rPr>
                <w:rFonts w:ascii="Century Gothic" w:hAnsi="Century Gothic" w:cs="Arial"/>
                <w:b/>
                <w:bCs/>
                <w:i/>
                <w:color w:val="000000"/>
                <w:sz w:val="16"/>
                <w:szCs w:val="16"/>
                <w:lang w:val="es-CR" w:eastAsia="es-CR"/>
              </w:rPr>
            </w:pPr>
            <w:r w:rsidRPr="004C1FB6">
              <w:rPr>
                <w:rFonts w:ascii="Century Gothic" w:hAnsi="Century Gothic" w:cs="Arial"/>
                <w:b/>
                <w:bCs/>
                <w:i/>
                <w:color w:val="000000"/>
                <w:sz w:val="16"/>
                <w:szCs w:val="16"/>
                <w:lang w:val="es-CR" w:eastAsia="es-CR"/>
              </w:rPr>
              <w:t>Centro Académico Limón</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Movimiento de tierras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12.000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365.000.000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Leyes especiales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Listo</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Docencia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1.984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633.000.000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Leyes especiales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Licitación</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Administrativo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903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633.000.000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Leyes especiales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Licitación</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Biblioteca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540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340.000.000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Leyes especiales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Licitación</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comedor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540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340.000.000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Leyes especiales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Licitación</w:t>
            </w:r>
          </w:p>
        </w:tc>
      </w:tr>
      <w:tr w:rsidR="004C1FB6" w:rsidRPr="004C1FB6" w:rsidTr="00E73562">
        <w:trPr>
          <w:trHeight w:val="315"/>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1FB6" w:rsidRPr="004C1FB6" w:rsidRDefault="004C1FB6" w:rsidP="004C1FB6">
            <w:pPr>
              <w:rPr>
                <w:rFonts w:ascii="Century Gothic" w:hAnsi="Century Gothic" w:cs="Arial"/>
                <w:b/>
                <w:bCs/>
                <w:i/>
                <w:color w:val="000000"/>
                <w:sz w:val="16"/>
                <w:szCs w:val="16"/>
                <w:lang w:val="es-CR" w:eastAsia="es-CR"/>
              </w:rPr>
            </w:pPr>
            <w:r w:rsidRPr="004C1FB6">
              <w:rPr>
                <w:rFonts w:ascii="Century Gothic" w:hAnsi="Century Gothic" w:cs="Arial"/>
                <w:b/>
                <w:bCs/>
                <w:i/>
                <w:color w:val="000000"/>
                <w:sz w:val="16"/>
                <w:szCs w:val="16"/>
                <w:lang w:val="es-CR" w:eastAsia="es-CR"/>
              </w:rPr>
              <w:t>Financiamiento Bancario</w:t>
            </w:r>
          </w:p>
        </w:tc>
      </w:tr>
      <w:tr w:rsidR="004C1FB6" w:rsidRPr="004C1FB6" w:rsidTr="00E73562">
        <w:trPr>
          <w:trHeight w:val="5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xml:space="preserve">Centro </w:t>
            </w:r>
            <w:proofErr w:type="spellStart"/>
            <w:r w:rsidRPr="004C1FB6">
              <w:rPr>
                <w:rFonts w:ascii="Century Gothic" w:hAnsi="Century Gothic" w:cs="Arial"/>
                <w:i/>
                <w:color w:val="000000"/>
                <w:sz w:val="16"/>
                <w:szCs w:val="16"/>
                <w:lang w:val="es-CR" w:eastAsia="es-CR"/>
              </w:rPr>
              <w:t>Acad</w:t>
            </w:r>
            <w:proofErr w:type="spellEnd"/>
            <w:r w:rsidRPr="004C1FB6">
              <w:rPr>
                <w:rFonts w:ascii="Century Gothic" w:hAnsi="Century Gothic" w:cs="Arial"/>
                <w:i/>
                <w:color w:val="000000"/>
                <w:sz w:val="16"/>
                <w:szCs w:val="16"/>
                <w:lang w:val="es-CR" w:eastAsia="es-CR"/>
              </w:rPr>
              <w:t>. Limón - (Biblioteca, Comedor, Servicios)</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1.426.000.000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2</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Puente acceso por La Puebla</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400.000.000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5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2</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Edificio Idiomas y Ciencias Sociales San Carlos</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550.000.000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2</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Cultura - San Carlos</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300.000.000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xml:space="preserve">Escuela de Computación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3.250.000.000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Edificio Administrativo (C.I.)</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Arial" w:hAnsi="Arial" w:cs="Arial"/>
                <w:i/>
                <w:color w:val="000000"/>
                <w:sz w:val="16"/>
                <w:szCs w:val="16"/>
                <w:lang w:val="es-CR" w:eastAsia="es-CR"/>
              </w:rPr>
              <w:t>₡</w:t>
            </w:r>
            <w:r w:rsidRPr="004C1FB6">
              <w:rPr>
                <w:rFonts w:ascii="Century Gothic" w:hAnsi="Century Gothic" w:cs="Arial"/>
                <w:i/>
                <w:color w:val="000000"/>
                <w:sz w:val="16"/>
                <w:szCs w:val="16"/>
                <w:lang w:val="es-CR" w:eastAsia="es-CR"/>
              </w:rPr>
              <w:t>2.168.000.000</w:t>
            </w:r>
          </w:p>
        </w:tc>
        <w:tc>
          <w:tcPr>
            <w:tcW w:w="0" w:type="auto"/>
            <w:tcBorders>
              <w:top w:val="nil"/>
              <w:left w:val="nil"/>
              <w:bottom w:val="single" w:sz="4" w:space="0" w:color="auto"/>
              <w:right w:val="single" w:sz="4" w:space="0" w:color="auto"/>
            </w:tcBorders>
            <w:shd w:val="clear" w:color="auto" w:fill="auto"/>
            <w:noWrap/>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Financiamiento BP</w:t>
            </w:r>
          </w:p>
        </w:tc>
        <w:tc>
          <w:tcPr>
            <w:tcW w:w="0" w:type="auto"/>
            <w:tcBorders>
              <w:top w:val="nil"/>
              <w:left w:val="nil"/>
              <w:bottom w:val="single" w:sz="4" w:space="0" w:color="auto"/>
              <w:right w:val="single" w:sz="4" w:space="0" w:color="auto"/>
            </w:tcBorders>
            <w:shd w:val="clear" w:color="auto" w:fill="auto"/>
            <w:vAlign w:val="bottom"/>
            <w:hideMark/>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Aprobación de crédito bancario</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Construcción de plaza junto a librería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right"/>
              <w:rPr>
                <w:rFonts w:ascii="Arial" w:hAnsi="Arial" w:cs="Arial"/>
                <w:i/>
                <w:color w:val="000000"/>
                <w:sz w:val="16"/>
                <w:szCs w:val="16"/>
                <w:lang w:val="es-CR" w:eastAsia="es-CR"/>
              </w:rPr>
            </w:pPr>
            <w:r w:rsidRPr="004C1FB6">
              <w:rPr>
                <w:rFonts w:ascii="Arial" w:hAnsi="Arial" w:cs="Arial"/>
                <w:color w:val="000000"/>
                <w:sz w:val="16"/>
                <w:szCs w:val="16"/>
              </w:rPr>
              <w:t>₡</w:t>
            </w:r>
            <w:r w:rsidRPr="004C1FB6">
              <w:rPr>
                <w:rFonts w:ascii="Century Gothic" w:hAnsi="Century Gothic" w:cs="Arial"/>
                <w:color w:val="000000"/>
                <w:sz w:val="16"/>
                <w:szCs w:val="16"/>
              </w:rPr>
              <w:t>50.000.000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FEES</w:t>
            </w:r>
          </w:p>
        </w:tc>
        <w:tc>
          <w:tcPr>
            <w:tcW w:w="0" w:type="auto"/>
            <w:tcBorders>
              <w:top w:val="single" w:sz="4" w:space="0" w:color="auto"/>
              <w:left w:val="nil"/>
              <w:bottom w:val="single" w:sz="4" w:space="0" w:color="auto"/>
              <w:right w:val="single" w:sz="4" w:space="0" w:color="auto"/>
            </w:tcBorders>
            <w:shd w:val="clear" w:color="auto" w:fill="auto"/>
            <w:vAlign w:val="bottom"/>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color w:val="000000"/>
                <w:sz w:val="16"/>
                <w:szCs w:val="16"/>
              </w:rPr>
              <w:t>II Extraordinario 2016</w:t>
            </w:r>
          </w:p>
        </w:tc>
      </w:tr>
      <w:tr w:rsidR="004C1FB6" w:rsidRPr="004C1FB6" w:rsidTr="00E7356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C1FB6" w:rsidRPr="004C1FB6" w:rsidRDefault="004C1FB6" w:rsidP="004C1FB6">
            <w:pPr>
              <w:jc w:val="center"/>
              <w:rPr>
                <w:rFonts w:ascii="Calibri" w:hAnsi="Calibri" w:cs="Arial"/>
                <w:i/>
                <w:color w:val="000000"/>
                <w:sz w:val="16"/>
                <w:szCs w:val="16"/>
                <w:lang w:val="es-CR" w:eastAsia="es-CR"/>
              </w:rPr>
            </w:pPr>
            <w:r w:rsidRPr="004C1FB6">
              <w:rPr>
                <w:rFonts w:ascii="Calibri" w:hAnsi="Calibri" w:cs="Arial"/>
                <w:i/>
                <w:color w:val="000000"/>
                <w:sz w:val="16"/>
                <w:szCs w:val="16"/>
                <w:lang w:val="es-CR" w:eastAsia="es-CR"/>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Construcción de plaza frente al CIC</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center"/>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right"/>
              <w:rPr>
                <w:rFonts w:ascii="Arial" w:hAnsi="Arial" w:cs="Arial"/>
                <w:i/>
                <w:color w:val="000000"/>
                <w:sz w:val="16"/>
                <w:szCs w:val="16"/>
                <w:lang w:val="es-CR" w:eastAsia="es-CR"/>
              </w:rPr>
            </w:pPr>
            <w:r w:rsidRPr="004C1FB6">
              <w:rPr>
                <w:rFonts w:ascii="Arial" w:hAnsi="Arial" w:cs="Arial"/>
                <w:color w:val="000000"/>
                <w:sz w:val="16"/>
                <w:szCs w:val="16"/>
              </w:rPr>
              <w:t>₡</w:t>
            </w:r>
            <w:r w:rsidRPr="004C1FB6">
              <w:rPr>
                <w:rFonts w:ascii="Century Gothic" w:hAnsi="Century Gothic" w:cs="Arial"/>
                <w:color w:val="000000"/>
                <w:sz w:val="16"/>
                <w:szCs w:val="16"/>
              </w:rPr>
              <w:t>30.000.000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color w:val="000000"/>
                <w:sz w:val="16"/>
                <w:szCs w:val="16"/>
              </w:rPr>
              <w:t>FEES</w:t>
            </w:r>
          </w:p>
        </w:tc>
        <w:tc>
          <w:tcPr>
            <w:tcW w:w="0" w:type="auto"/>
            <w:tcBorders>
              <w:top w:val="single" w:sz="4" w:space="0" w:color="auto"/>
              <w:left w:val="nil"/>
              <w:bottom w:val="single" w:sz="4" w:space="0" w:color="auto"/>
              <w:right w:val="single" w:sz="4" w:space="0" w:color="auto"/>
            </w:tcBorders>
            <w:shd w:val="clear" w:color="auto" w:fill="auto"/>
            <w:vAlign w:val="bottom"/>
          </w:tcPr>
          <w:p w:rsidR="004C1FB6" w:rsidRPr="004C1FB6" w:rsidRDefault="004C1FB6" w:rsidP="004C1FB6">
            <w:pPr>
              <w:rPr>
                <w:rFonts w:ascii="Calibri" w:hAnsi="Calibri" w:cs="Arial"/>
                <w:i/>
                <w:color w:val="000000"/>
                <w:sz w:val="16"/>
                <w:szCs w:val="16"/>
                <w:lang w:val="es-CR" w:eastAsia="es-CR"/>
              </w:rPr>
            </w:pPr>
            <w:r w:rsidRPr="004C1FB6">
              <w:rPr>
                <w:rFonts w:ascii="Calibri" w:hAnsi="Calibri" w:cs="Arial"/>
                <w:color w:val="000000"/>
                <w:sz w:val="16"/>
                <w:szCs w:val="16"/>
              </w:rPr>
              <w:t>II Extraordinario 2017</w:t>
            </w:r>
          </w:p>
        </w:tc>
      </w:tr>
    </w:tbl>
    <w:p w:rsidR="004C1FB6" w:rsidRPr="004C1FB6" w:rsidRDefault="004C1FB6" w:rsidP="004C1FB6">
      <w:pPr>
        <w:jc w:val="both"/>
        <w:rPr>
          <w:rFonts w:ascii="Arial" w:hAnsi="Arial" w:cs="Arial"/>
          <w:sz w:val="20"/>
          <w:szCs w:val="20"/>
        </w:rPr>
      </w:pPr>
    </w:p>
    <w:p w:rsidR="004C1FB6" w:rsidRPr="004C1FB6" w:rsidRDefault="004C1FB6" w:rsidP="004C1FB6">
      <w:pPr>
        <w:numPr>
          <w:ilvl w:val="0"/>
          <w:numId w:val="46"/>
        </w:numPr>
        <w:tabs>
          <w:tab w:val="num" w:pos="465"/>
        </w:tabs>
        <w:ind w:left="465"/>
        <w:jc w:val="both"/>
        <w:rPr>
          <w:rFonts w:ascii="Arial" w:hAnsi="Arial" w:cs="Arial"/>
        </w:rPr>
      </w:pPr>
      <w:r w:rsidRPr="004C1FB6">
        <w:rPr>
          <w:rFonts w:ascii="Arial" w:hAnsi="Arial" w:cs="Arial"/>
        </w:rPr>
        <w:t>El Consejo Institucional en la Sesión Ordinaria No. 3036, Artículo 9, del 30 de agosto de 2017 modificó el inciso a) del acuerdo del Consejo Institucional, Sesión Extraordinaria No. 2974, Artículo 1, del 30 de mayo de 2016 “Modificación del Plan de Infraestructura Institucional y autorización a la Administración para solicitar un Préstamo por 20 millones dólares para desarrollar infraestructura y equipamiento en el ITCR</w:t>
      </w:r>
      <w:proofErr w:type="gramStart"/>
      <w:r w:rsidRPr="004C1FB6">
        <w:rPr>
          <w:rFonts w:ascii="Arial" w:hAnsi="Arial" w:cs="Arial"/>
        </w:rPr>
        <w:t>”,  y</w:t>
      </w:r>
      <w:proofErr w:type="gramEnd"/>
      <w:r w:rsidRPr="004C1FB6">
        <w:rPr>
          <w:rFonts w:ascii="Arial" w:hAnsi="Arial" w:cs="Arial"/>
        </w:rPr>
        <w:t xml:space="preserve"> que dice:</w:t>
      </w:r>
    </w:p>
    <w:p w:rsidR="004C1FB6" w:rsidRPr="004C1FB6" w:rsidRDefault="004C1FB6" w:rsidP="004C1FB6">
      <w:pPr>
        <w:jc w:val="both"/>
        <w:rPr>
          <w:rFonts w:ascii="Arial" w:hAnsi="Arial" w:cs="Arial"/>
          <w:sz w:val="20"/>
          <w:szCs w:val="20"/>
        </w:rPr>
      </w:pPr>
    </w:p>
    <w:p w:rsidR="004C1FB6" w:rsidRPr="004C1FB6" w:rsidRDefault="004C1FB6" w:rsidP="004C1FB6">
      <w:pPr>
        <w:spacing w:after="120"/>
        <w:ind w:left="1134" w:right="284" w:hanging="425"/>
        <w:jc w:val="both"/>
        <w:rPr>
          <w:rFonts w:ascii="Arial" w:hAnsi="Arial" w:cs="Arial"/>
          <w:i/>
          <w:sz w:val="22"/>
          <w:szCs w:val="22"/>
        </w:rPr>
      </w:pPr>
      <w:r w:rsidRPr="004C1FB6">
        <w:rPr>
          <w:rFonts w:ascii="Arial" w:hAnsi="Arial" w:cs="Arial"/>
          <w:b/>
          <w:i/>
          <w:sz w:val="22"/>
          <w:szCs w:val="22"/>
        </w:rPr>
        <w:t xml:space="preserve">“a.  </w:t>
      </w:r>
      <w:r w:rsidRPr="004C1FB6">
        <w:rPr>
          <w:rFonts w:ascii="Arial" w:hAnsi="Arial" w:cs="Arial"/>
          <w:i/>
          <w:sz w:val="22"/>
          <w:szCs w:val="22"/>
        </w:rPr>
        <w:t>Modificar el acuerdo del Consejo Institucional, Sesión Extraordinaria No. 2974, Artículo 1, del 30 de mayo de 2016  “Modificación del Plan de Infraestructura Institucional y autorización a la Administración para solicitar un Préstamo por 20 millones dólares para desarrollar infraestructura y equipamiento en el ITCR”,  para modificar los valores iniciales de las obras para terminar la segunda fase del Edificio de Centro Académico Limón y sacar la licitación del edificio de la Escuela de Computación por 4,800 millones de colones, según se detalla a continuación:</w:t>
      </w:r>
    </w:p>
    <w:p w:rsidR="004C1FB6" w:rsidRPr="004C1FB6" w:rsidRDefault="004C1FB6" w:rsidP="004C1FB6">
      <w:pPr>
        <w:jc w:val="both"/>
        <w:rPr>
          <w:rFonts w:ascii="Arial" w:hAnsi="Arial" w:cs="Arial"/>
          <w:i/>
          <w:sz w:val="16"/>
          <w:szCs w:val="20"/>
        </w:rPr>
      </w:pPr>
    </w:p>
    <w:tbl>
      <w:tblPr>
        <w:tblW w:w="8647" w:type="dxa"/>
        <w:tblInd w:w="274" w:type="dxa"/>
        <w:tblCellMar>
          <w:left w:w="0" w:type="dxa"/>
          <w:right w:w="0" w:type="dxa"/>
        </w:tblCellMar>
        <w:tblLook w:val="04A0" w:firstRow="1" w:lastRow="0" w:firstColumn="1" w:lastColumn="0" w:noHBand="0" w:noVBand="1"/>
      </w:tblPr>
      <w:tblGrid>
        <w:gridCol w:w="2835"/>
        <w:gridCol w:w="1417"/>
        <w:gridCol w:w="1418"/>
        <w:gridCol w:w="1417"/>
        <w:gridCol w:w="1560"/>
      </w:tblGrid>
      <w:tr w:rsidR="004C1FB6" w:rsidRPr="004C1FB6" w:rsidTr="00E73562">
        <w:trPr>
          <w:trHeight w:val="288"/>
        </w:trPr>
        <w:tc>
          <w:tcPr>
            <w:tcW w:w="283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center"/>
              <w:rPr>
                <w:rFonts w:ascii="Century Gothic" w:hAnsi="Century Gothic" w:cs="Arial"/>
                <w:b/>
                <w:i/>
                <w:color w:val="000000"/>
                <w:sz w:val="16"/>
                <w:szCs w:val="16"/>
                <w:lang w:val="es-CR" w:eastAsia="es-CR"/>
              </w:rPr>
            </w:pPr>
            <w:r w:rsidRPr="004C1FB6">
              <w:rPr>
                <w:rFonts w:ascii="Century Gothic" w:hAnsi="Century Gothic" w:cs="Arial"/>
                <w:b/>
                <w:i/>
                <w:color w:val="000000"/>
                <w:sz w:val="16"/>
                <w:szCs w:val="16"/>
                <w:lang w:val="es-CR" w:eastAsia="es-CR"/>
              </w:rPr>
              <w:t>FINANCIAMIENTO BANCARIO</w:t>
            </w:r>
          </w:p>
        </w:tc>
        <w:tc>
          <w:tcPr>
            <w:tcW w:w="141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center"/>
              <w:rPr>
                <w:rFonts w:ascii="Century Gothic" w:hAnsi="Century Gothic" w:cs="Arial"/>
                <w:b/>
                <w:i/>
                <w:color w:val="000000"/>
                <w:sz w:val="16"/>
                <w:szCs w:val="16"/>
                <w:lang w:val="es-CR" w:eastAsia="es-CR"/>
              </w:rPr>
            </w:pPr>
            <w:r w:rsidRPr="004C1FB6">
              <w:rPr>
                <w:rFonts w:ascii="Century Gothic" w:hAnsi="Century Gothic" w:cs="Arial"/>
                <w:b/>
                <w:i/>
                <w:color w:val="000000"/>
                <w:sz w:val="16"/>
                <w:szCs w:val="16"/>
                <w:lang w:val="es-CR" w:eastAsia="es-CR"/>
              </w:rPr>
              <w:t>2017</w:t>
            </w:r>
          </w:p>
        </w:tc>
        <w:tc>
          <w:tcPr>
            <w:tcW w:w="141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center"/>
              <w:rPr>
                <w:rFonts w:ascii="Century Gothic" w:hAnsi="Century Gothic" w:cs="Arial"/>
                <w:b/>
                <w:i/>
                <w:color w:val="000000"/>
                <w:sz w:val="16"/>
                <w:szCs w:val="16"/>
                <w:lang w:val="es-CR" w:eastAsia="es-CR"/>
              </w:rPr>
            </w:pPr>
            <w:r w:rsidRPr="004C1FB6">
              <w:rPr>
                <w:rFonts w:ascii="Century Gothic" w:hAnsi="Century Gothic" w:cs="Arial"/>
                <w:b/>
                <w:i/>
                <w:color w:val="000000"/>
                <w:sz w:val="16"/>
                <w:szCs w:val="16"/>
                <w:lang w:val="es-CR" w:eastAsia="es-CR"/>
              </w:rPr>
              <w:t>2018</w:t>
            </w:r>
          </w:p>
        </w:tc>
        <w:tc>
          <w:tcPr>
            <w:tcW w:w="141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center"/>
              <w:rPr>
                <w:rFonts w:ascii="Century Gothic" w:hAnsi="Century Gothic" w:cs="Arial"/>
                <w:b/>
                <w:i/>
                <w:color w:val="000000"/>
                <w:sz w:val="16"/>
                <w:szCs w:val="16"/>
                <w:lang w:val="es-CR" w:eastAsia="es-CR"/>
              </w:rPr>
            </w:pPr>
            <w:r w:rsidRPr="004C1FB6">
              <w:rPr>
                <w:rFonts w:ascii="Century Gothic" w:hAnsi="Century Gothic" w:cs="Arial"/>
                <w:b/>
                <w:i/>
                <w:color w:val="000000"/>
                <w:sz w:val="16"/>
                <w:szCs w:val="16"/>
                <w:lang w:val="es-CR" w:eastAsia="es-CR"/>
              </w:rPr>
              <w:t>2019</w:t>
            </w:r>
          </w:p>
        </w:tc>
        <w:tc>
          <w:tcPr>
            <w:tcW w:w="15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center"/>
              <w:rPr>
                <w:rFonts w:ascii="Century Gothic" w:hAnsi="Century Gothic" w:cs="Arial"/>
                <w:b/>
                <w:i/>
                <w:color w:val="000000"/>
                <w:sz w:val="16"/>
                <w:szCs w:val="16"/>
                <w:lang w:val="es-CR" w:eastAsia="es-CR"/>
              </w:rPr>
            </w:pPr>
            <w:r w:rsidRPr="004C1FB6">
              <w:rPr>
                <w:rFonts w:ascii="Century Gothic" w:hAnsi="Century Gothic" w:cs="Arial"/>
                <w:b/>
                <w:i/>
                <w:color w:val="000000"/>
                <w:sz w:val="16"/>
                <w:szCs w:val="16"/>
                <w:lang w:val="es-CR" w:eastAsia="es-CR"/>
              </w:rPr>
              <w:t>TOTAL</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Centro Académico Limón</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1 426 000 000,00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1 426 000 000,00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Adicional Centro Académico Limón</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135 000 000,00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135 000 000,00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Idiomas Sede Regional San Carlos</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550 000 000,00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550 000 000,00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Puente en la Sede Central</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200 000 000,00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200 000 000,00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400 000 000,00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Cultura Sede Regional San Carlos</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300 000 000,00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300 000 000,00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Escuela de Computación</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2 000 000 000,00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1 250 000 000,00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3 250 000 000,00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Adicional Escuela de Computación</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1 550 000 000,00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1 550 000 000,00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Equipo</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200 000 000,00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774 000 000,00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974 000 000,00</w:t>
            </w:r>
          </w:p>
        </w:tc>
      </w:tr>
      <w:tr w:rsidR="004C1FB6" w:rsidRPr="004C1FB6" w:rsidTr="00E73562">
        <w:trPr>
          <w:trHeight w:val="288"/>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Edificio Administrativo Sede Central</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2 168 000 000,00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2 168 000 000,00</w:t>
            </w:r>
          </w:p>
        </w:tc>
      </w:tr>
      <w:tr w:rsidR="004C1FB6" w:rsidRPr="004C1FB6" w:rsidTr="00E73562">
        <w:trPr>
          <w:trHeight w:val="300"/>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TOTAL</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2 311 000 000,00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2 700 000 000,00</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5 742 000 000,00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C1FB6" w:rsidRPr="004C1FB6" w:rsidRDefault="004C1FB6" w:rsidP="004C1FB6">
            <w:pPr>
              <w:jc w:val="right"/>
              <w:rPr>
                <w:rFonts w:ascii="Century Gothic" w:hAnsi="Century Gothic" w:cs="Arial"/>
                <w:i/>
                <w:color w:val="000000"/>
                <w:sz w:val="16"/>
                <w:szCs w:val="16"/>
                <w:lang w:val="es-CR" w:eastAsia="es-CR"/>
              </w:rPr>
            </w:pPr>
            <w:r w:rsidRPr="004C1FB6">
              <w:rPr>
                <w:rFonts w:ascii="Century Gothic" w:hAnsi="Century Gothic" w:cs="Arial"/>
                <w:i/>
                <w:color w:val="000000"/>
                <w:sz w:val="16"/>
                <w:szCs w:val="16"/>
                <w:lang w:val="es-CR" w:eastAsia="es-CR"/>
              </w:rPr>
              <w:t>10 753 000 000,00</w:t>
            </w:r>
          </w:p>
        </w:tc>
      </w:tr>
    </w:tbl>
    <w:p w:rsidR="004C1FB6" w:rsidRPr="004C1FB6" w:rsidRDefault="004C1FB6" w:rsidP="004C1FB6">
      <w:pPr>
        <w:rPr>
          <w:rFonts w:ascii="Calibri" w:eastAsia="Calibri" w:hAnsi="Calibri" w:cs="Arial"/>
          <w:i/>
          <w:sz w:val="22"/>
          <w:szCs w:val="22"/>
          <w:lang w:val="es-CR" w:eastAsia="en-US"/>
        </w:rPr>
      </w:pPr>
    </w:p>
    <w:p w:rsidR="004C1FB6" w:rsidRDefault="004C1FB6" w:rsidP="004C1FB6">
      <w:pPr>
        <w:spacing w:before="120"/>
        <w:jc w:val="both"/>
        <w:rPr>
          <w:rFonts w:ascii="Arial" w:hAnsi="Arial" w:cs="Arial"/>
          <w:b/>
        </w:rPr>
      </w:pPr>
    </w:p>
    <w:p w:rsidR="004C1FB6" w:rsidRDefault="004C1FB6" w:rsidP="004C1FB6">
      <w:pPr>
        <w:spacing w:before="120"/>
        <w:jc w:val="both"/>
        <w:rPr>
          <w:rFonts w:ascii="Arial" w:hAnsi="Arial" w:cs="Arial"/>
          <w:b/>
        </w:rPr>
      </w:pPr>
    </w:p>
    <w:p w:rsidR="004C1FB6" w:rsidRPr="004C1FB6" w:rsidRDefault="004C1FB6" w:rsidP="004C1FB6">
      <w:pPr>
        <w:spacing w:before="120"/>
        <w:jc w:val="both"/>
        <w:rPr>
          <w:rFonts w:ascii="Arial" w:hAnsi="Arial" w:cs="Arial"/>
          <w:b/>
        </w:rPr>
      </w:pPr>
      <w:r w:rsidRPr="004C1FB6">
        <w:rPr>
          <w:rFonts w:ascii="Arial" w:hAnsi="Arial" w:cs="Arial"/>
          <w:b/>
        </w:rPr>
        <w:lastRenderedPageBreak/>
        <w:t>CONSIDERANDO QUE:</w:t>
      </w:r>
    </w:p>
    <w:p w:rsidR="004C1FB6" w:rsidRPr="004C1FB6" w:rsidRDefault="004C1FB6" w:rsidP="004C1FB6">
      <w:pPr>
        <w:spacing w:before="120"/>
        <w:jc w:val="both"/>
        <w:rPr>
          <w:rFonts w:ascii="Arial" w:hAnsi="Arial" w:cs="Arial"/>
          <w:sz w:val="16"/>
          <w:szCs w:val="16"/>
        </w:rPr>
      </w:pPr>
    </w:p>
    <w:p w:rsidR="004C1FB6" w:rsidRPr="004C1FB6" w:rsidRDefault="004C1FB6" w:rsidP="004C1FB6">
      <w:pPr>
        <w:numPr>
          <w:ilvl w:val="0"/>
          <w:numId w:val="48"/>
        </w:numPr>
        <w:ind w:left="284"/>
        <w:jc w:val="both"/>
        <w:rPr>
          <w:rFonts w:ascii="Arial" w:hAnsi="Arial" w:cs="Arial"/>
        </w:rPr>
      </w:pPr>
      <w:r w:rsidRPr="004C1FB6">
        <w:rPr>
          <w:rFonts w:ascii="Arial" w:hAnsi="Arial" w:cs="Arial"/>
        </w:rPr>
        <w:t xml:space="preserve">La Secretaría del Consejo Institucional recibe oficio VAD-889-2017, con fecha de recibido 27 de noviembre de 2017, suscrito por el Dr. Humberto Villalta Solano, Vicerrector de Administración, dirigido al Dr. Julio Calvo, Presidente del Consejo Institucional, con copia a la </w:t>
      </w:r>
      <w:proofErr w:type="spellStart"/>
      <w:r w:rsidRPr="004C1FB6">
        <w:rPr>
          <w:rFonts w:ascii="Arial" w:hAnsi="Arial" w:cs="Arial"/>
        </w:rPr>
        <w:t>MSc</w:t>
      </w:r>
      <w:proofErr w:type="spellEnd"/>
      <w:r w:rsidRPr="004C1FB6">
        <w:rPr>
          <w:rFonts w:ascii="Arial" w:hAnsi="Arial" w:cs="Arial"/>
        </w:rPr>
        <w:t>. Ana Rosa Ruiz Fernández, Coordinadora, Comisión de Planificación y Administración, en el cual adjunta “Propuesta de  modificación del acuerdo del Consejo Institucional, Sesión Extraordinaria No. 2974, Artículo 1, del 30 de mayo de 2016  “</w:t>
      </w:r>
      <w:r w:rsidRPr="004C1FB6">
        <w:rPr>
          <w:rFonts w:ascii="Arial" w:hAnsi="Arial" w:cs="Arial"/>
          <w:i/>
          <w:sz w:val="22"/>
          <w:szCs w:val="22"/>
        </w:rPr>
        <w:t>Modificación del Plan de Infraestructura Institucional y autorización a la Administración para solicitar un Préstamo por 20 millones dólares para desarrollar infraestructura y equipamiento en el ITCR</w:t>
      </w:r>
      <w:r w:rsidRPr="004C1FB6">
        <w:rPr>
          <w:rFonts w:ascii="Arial" w:hAnsi="Arial" w:cs="Arial"/>
        </w:rPr>
        <w:t>”,  para dar contenido económico adicional al edificio de Cultura de la Sede Regional de San Carlos, finalizar la II Etapa de Limón y sacar a licitación el edificio de Residencias Estudiantiles en Limón; según se detalla a continuación:</w:t>
      </w:r>
    </w:p>
    <w:p w:rsidR="004C1FB6" w:rsidRPr="004C1FB6" w:rsidRDefault="004C1FB6" w:rsidP="004C1FB6">
      <w:pPr>
        <w:spacing w:before="120"/>
        <w:ind w:left="-39"/>
        <w:jc w:val="both"/>
        <w:rPr>
          <w:rFonts w:ascii="Arial" w:hAnsi="Arial" w:cs="Arial"/>
          <w:sz w:val="16"/>
          <w:szCs w:val="16"/>
        </w:rPr>
      </w:pPr>
    </w:p>
    <w:p w:rsidR="004C1FB6" w:rsidRPr="004C1FB6" w:rsidRDefault="004C1FB6" w:rsidP="004C1FB6">
      <w:pPr>
        <w:tabs>
          <w:tab w:val="right" w:pos="2410"/>
          <w:tab w:val="left" w:pos="2694"/>
        </w:tabs>
        <w:ind w:left="709" w:right="424"/>
        <w:jc w:val="both"/>
        <w:rPr>
          <w:rFonts w:ascii="Arial" w:hAnsi="Arial" w:cs="Arial"/>
          <w:i/>
          <w:sz w:val="22"/>
          <w:szCs w:val="22"/>
        </w:rPr>
      </w:pPr>
      <w:r w:rsidRPr="004C1FB6">
        <w:rPr>
          <w:rFonts w:ascii="Arial" w:hAnsi="Arial" w:cs="Arial"/>
          <w:i/>
          <w:sz w:val="20"/>
          <w:szCs w:val="20"/>
        </w:rPr>
        <w:t>“</w:t>
      </w:r>
      <w:r w:rsidRPr="004C1FB6">
        <w:rPr>
          <w:rFonts w:ascii="Arial" w:hAnsi="Arial" w:cs="Arial"/>
          <w:i/>
          <w:sz w:val="22"/>
          <w:szCs w:val="22"/>
        </w:rPr>
        <w:t>En atención a lo indicado en el acuerdo de aprobación del préstamo con el Banco Popular, se adjunta los cambios que responden principalmente a las necesidades que han surgido de la construcción del Edificio de Cultura en la Sede Regional de San Carlos, finalización de obras complementarias en el Centro Académico de Limón y el edificio de Residencias Estudiantiles también en Limón; en atención a, la propuesta de reasignación de recursos del préstamo del Banco Popular en Sesión Extraordinaria del Consejo Institucional No. 2974, Artículo 1, del 30 de mayo de 2016.   “Modificación del Plan de Infraestructura Institucional y autorización a la Administración para solicitar un Préstamo por 20 millones de dólares para desarrollar infraestructura y equipamiento en el ITCR”, según las siguientes consideraciones:</w:t>
      </w:r>
    </w:p>
    <w:p w:rsidR="004C1FB6" w:rsidRPr="004C1FB6" w:rsidRDefault="004C1FB6" w:rsidP="004C1FB6">
      <w:pPr>
        <w:ind w:left="786" w:right="424"/>
        <w:jc w:val="both"/>
        <w:rPr>
          <w:rFonts w:ascii="Arial" w:hAnsi="Arial" w:cs="Arial"/>
          <w:i/>
          <w:sz w:val="10"/>
          <w:szCs w:val="10"/>
        </w:rPr>
      </w:pPr>
    </w:p>
    <w:p w:rsidR="004C1FB6" w:rsidRPr="004C1FB6" w:rsidRDefault="004C1FB6" w:rsidP="004C1FB6">
      <w:pPr>
        <w:ind w:left="786" w:right="424"/>
        <w:jc w:val="both"/>
        <w:rPr>
          <w:rFonts w:ascii="Arial" w:hAnsi="Arial" w:cs="Arial"/>
          <w:i/>
          <w:sz w:val="10"/>
          <w:szCs w:val="10"/>
        </w:rPr>
      </w:pPr>
    </w:p>
    <w:p w:rsidR="004C1FB6" w:rsidRPr="004C1FB6" w:rsidRDefault="004C1FB6" w:rsidP="004C1FB6">
      <w:pPr>
        <w:numPr>
          <w:ilvl w:val="0"/>
          <w:numId w:val="49"/>
        </w:numPr>
        <w:ind w:right="424"/>
        <w:contextualSpacing/>
        <w:jc w:val="both"/>
        <w:rPr>
          <w:rFonts w:ascii="Arial" w:hAnsi="Arial" w:cs="Arial"/>
          <w:i/>
          <w:sz w:val="22"/>
          <w:szCs w:val="22"/>
        </w:rPr>
      </w:pPr>
      <w:r w:rsidRPr="004C1FB6">
        <w:rPr>
          <w:rFonts w:ascii="Arial" w:hAnsi="Arial" w:cs="Arial"/>
          <w:i/>
          <w:sz w:val="22"/>
          <w:szCs w:val="22"/>
        </w:rPr>
        <w:t xml:space="preserve">La propuesta original de inversión para el edificio de Cultura de la Sede Regional de San Carlos, tenía un estimado de costo de 300 millones. </w:t>
      </w:r>
    </w:p>
    <w:p w:rsidR="004C1FB6" w:rsidRPr="004C1FB6" w:rsidRDefault="004C1FB6" w:rsidP="004C1FB6">
      <w:pPr>
        <w:ind w:left="786" w:right="424"/>
        <w:jc w:val="both"/>
        <w:rPr>
          <w:rFonts w:ascii="Arial" w:hAnsi="Arial" w:cs="Arial"/>
          <w:i/>
          <w:sz w:val="10"/>
          <w:szCs w:val="10"/>
        </w:rPr>
      </w:pPr>
    </w:p>
    <w:p w:rsidR="004C1FB6" w:rsidRPr="004C1FB6" w:rsidRDefault="004C1FB6" w:rsidP="004C1FB6">
      <w:pPr>
        <w:numPr>
          <w:ilvl w:val="0"/>
          <w:numId w:val="49"/>
        </w:numPr>
        <w:ind w:right="424"/>
        <w:contextualSpacing/>
        <w:jc w:val="both"/>
        <w:rPr>
          <w:rFonts w:ascii="Arial" w:hAnsi="Arial" w:cs="Arial"/>
          <w:i/>
          <w:sz w:val="22"/>
          <w:szCs w:val="22"/>
        </w:rPr>
      </w:pPr>
      <w:r w:rsidRPr="004C1FB6">
        <w:rPr>
          <w:rFonts w:ascii="Arial" w:hAnsi="Arial" w:cs="Arial"/>
          <w:b/>
          <w:i/>
          <w:sz w:val="22"/>
          <w:szCs w:val="22"/>
          <w:u w:val="single"/>
        </w:rPr>
        <w:t>Solicitud #1</w:t>
      </w:r>
      <w:r w:rsidRPr="004C1FB6">
        <w:rPr>
          <w:rFonts w:ascii="Arial" w:hAnsi="Arial" w:cs="Arial"/>
          <w:i/>
          <w:sz w:val="22"/>
          <w:szCs w:val="22"/>
        </w:rPr>
        <w:t xml:space="preserve">: de acuerdo a los últimos requerimientos del edificio, la oferta final con las mejoras solicitadas por los usuarios tiene un costo de 360 millones, para lo cual se requieren </w:t>
      </w:r>
      <w:r w:rsidRPr="004C1FB6">
        <w:rPr>
          <w:rFonts w:ascii="Arial" w:hAnsi="Arial" w:cs="Arial"/>
          <w:b/>
          <w:i/>
          <w:sz w:val="22"/>
          <w:szCs w:val="22"/>
        </w:rPr>
        <w:t xml:space="preserve">60 millones de colones </w:t>
      </w:r>
      <w:r w:rsidRPr="004C1FB6">
        <w:rPr>
          <w:rFonts w:ascii="Arial" w:hAnsi="Arial" w:cs="Arial"/>
          <w:i/>
          <w:sz w:val="22"/>
          <w:szCs w:val="22"/>
        </w:rPr>
        <w:t>adicionales para adjudicar la licitación.</w:t>
      </w:r>
    </w:p>
    <w:p w:rsidR="004C1FB6" w:rsidRPr="004C1FB6" w:rsidRDefault="004C1FB6" w:rsidP="004C1FB6">
      <w:pPr>
        <w:ind w:left="786" w:right="424"/>
        <w:jc w:val="both"/>
        <w:rPr>
          <w:rFonts w:ascii="Arial" w:hAnsi="Arial" w:cs="Arial"/>
          <w:i/>
          <w:sz w:val="10"/>
          <w:szCs w:val="10"/>
        </w:rPr>
      </w:pPr>
    </w:p>
    <w:p w:rsidR="004C1FB6" w:rsidRPr="004C1FB6" w:rsidRDefault="004C1FB6" w:rsidP="004C1FB6">
      <w:pPr>
        <w:numPr>
          <w:ilvl w:val="0"/>
          <w:numId w:val="49"/>
        </w:numPr>
        <w:ind w:right="424"/>
        <w:contextualSpacing/>
        <w:jc w:val="both"/>
        <w:rPr>
          <w:rFonts w:ascii="Arial" w:hAnsi="Arial" w:cs="Arial"/>
          <w:i/>
          <w:sz w:val="22"/>
          <w:szCs w:val="22"/>
        </w:rPr>
      </w:pPr>
      <w:r w:rsidRPr="004C1FB6">
        <w:rPr>
          <w:rFonts w:ascii="Arial" w:hAnsi="Arial" w:cs="Arial"/>
          <w:i/>
          <w:sz w:val="22"/>
          <w:szCs w:val="22"/>
        </w:rPr>
        <w:t xml:space="preserve">De acuerdo a la </w:t>
      </w:r>
      <w:r w:rsidRPr="004C1FB6">
        <w:rPr>
          <w:rFonts w:ascii="Arial" w:eastAsia="Calibri" w:hAnsi="Arial" w:cs="Arial"/>
          <w:i/>
          <w:sz w:val="22"/>
          <w:szCs w:val="22"/>
        </w:rPr>
        <w:t xml:space="preserve">Sesión Ordinaria No. 3036, Artículo 9, del 30 de agosto de 2017.  Modificación del acuerdo del Consejo Institucional, Sesión Extraordinaria No. 2974, Artículo 1, del 30 de mayo de 2016 “Modificación del Plan de Infraestructura Institucional y autorización a la Administración para solicitar un Préstamo por 20 millones dólares para desarrollar infraestructura y equipamiento en el ITCR”,  </w:t>
      </w:r>
      <w:r w:rsidRPr="004C1FB6">
        <w:rPr>
          <w:rFonts w:ascii="Arial" w:hAnsi="Arial" w:cs="Arial"/>
          <w:i/>
          <w:sz w:val="22"/>
          <w:szCs w:val="22"/>
        </w:rPr>
        <w:t>según esta última modificación  al día de hoy se cuenta con un remanente en el rubro de equipo</w:t>
      </w:r>
      <w:r w:rsidRPr="004C1FB6">
        <w:rPr>
          <w:rFonts w:ascii="Arial" w:eastAsia="Calibri" w:hAnsi="Arial" w:cs="Arial"/>
          <w:b/>
          <w:i/>
          <w:sz w:val="22"/>
          <w:szCs w:val="22"/>
        </w:rPr>
        <w:t xml:space="preserve"> </w:t>
      </w:r>
      <w:r w:rsidRPr="004C1FB6">
        <w:rPr>
          <w:rFonts w:ascii="Arial" w:eastAsia="Calibri" w:hAnsi="Arial" w:cs="Arial"/>
          <w:i/>
          <w:sz w:val="22"/>
          <w:szCs w:val="22"/>
        </w:rPr>
        <w:t>por un monto de 774 millones de colones, disponible para cubrir desviaciones en las estimaciones:</w:t>
      </w:r>
    </w:p>
    <w:p w:rsidR="004C1FB6" w:rsidRPr="004C1FB6" w:rsidRDefault="004C1FB6" w:rsidP="004C1FB6">
      <w:pPr>
        <w:ind w:left="720"/>
        <w:contextualSpacing/>
        <w:rPr>
          <w:rFonts w:ascii="Arial" w:hAnsi="Arial" w:cs="Arial"/>
          <w:i/>
          <w:sz w:val="22"/>
          <w:szCs w:val="22"/>
        </w:rPr>
      </w:pPr>
    </w:p>
    <w:p w:rsidR="004C1FB6" w:rsidRPr="004C1FB6" w:rsidRDefault="004C1FB6" w:rsidP="004C1FB6">
      <w:pPr>
        <w:ind w:left="1146" w:right="424"/>
        <w:contextualSpacing/>
        <w:jc w:val="both"/>
        <w:rPr>
          <w:rFonts w:ascii="Arial" w:hAnsi="Arial" w:cs="Arial"/>
          <w:i/>
          <w:sz w:val="22"/>
          <w:szCs w:val="22"/>
        </w:rPr>
      </w:pPr>
    </w:p>
    <w:p w:rsidR="004C1FB6" w:rsidRPr="004C1FB6" w:rsidRDefault="004C1FB6" w:rsidP="004C1FB6">
      <w:pPr>
        <w:ind w:left="786" w:right="424"/>
        <w:jc w:val="both"/>
        <w:rPr>
          <w:rFonts w:ascii="Arial" w:hAnsi="Arial" w:cs="Arial"/>
          <w:i/>
          <w:sz w:val="10"/>
          <w:szCs w:val="10"/>
        </w:rPr>
      </w:pP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lastRenderedPageBreak/>
        <w:drawing>
          <wp:inline distT="0" distB="0" distL="0" distR="0" wp14:anchorId="6AE34EDD" wp14:editId="2D556414">
            <wp:extent cx="4926447" cy="1746250"/>
            <wp:effectExtent l="0" t="0" r="7620" b="635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102" cy="1758888"/>
                    </a:xfrm>
                    <a:prstGeom prst="rect">
                      <a:avLst/>
                    </a:prstGeom>
                    <a:noFill/>
                    <a:ln>
                      <a:noFill/>
                    </a:ln>
                  </pic:spPr>
                </pic:pic>
              </a:graphicData>
            </a:graphic>
          </wp:inline>
        </w:drawing>
      </w: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786"/>
        <w:jc w:val="both"/>
        <w:rPr>
          <w:rFonts w:ascii="Arial" w:hAnsi="Arial" w:cs="Arial"/>
          <w:i/>
          <w:sz w:val="10"/>
          <w:szCs w:val="10"/>
        </w:rPr>
      </w:pPr>
    </w:p>
    <w:p w:rsidR="004C1FB6" w:rsidRPr="004C1FB6" w:rsidRDefault="004C1FB6" w:rsidP="004C1FB6">
      <w:pPr>
        <w:numPr>
          <w:ilvl w:val="0"/>
          <w:numId w:val="49"/>
        </w:numPr>
        <w:ind w:right="424"/>
        <w:contextualSpacing/>
        <w:jc w:val="both"/>
        <w:rPr>
          <w:rFonts w:ascii="Arial" w:hAnsi="Arial" w:cs="Arial"/>
          <w:i/>
          <w:sz w:val="22"/>
          <w:szCs w:val="22"/>
        </w:rPr>
      </w:pPr>
      <w:r w:rsidRPr="004C1FB6">
        <w:rPr>
          <w:rFonts w:ascii="Arial" w:hAnsi="Arial" w:cs="Arial"/>
          <w:i/>
          <w:sz w:val="22"/>
          <w:szCs w:val="22"/>
        </w:rPr>
        <w:t>Se propone tomar los 60 millones de los 200 millones de equipo que estaban asignados para complemento de equipamiento del proyecto de Mejoramiento Institucional, que ya no se van a ocupar por economías en otras iniciativas y que serán cargados a los fondos del empréstito del Banco Mundial. El cuadro con esta modificación quedaría de la siguiente manera:</w:t>
      </w:r>
    </w:p>
    <w:p w:rsidR="004C1FB6" w:rsidRPr="004C1FB6" w:rsidRDefault="004C1FB6" w:rsidP="004C1FB6">
      <w:pPr>
        <w:contextualSpacing/>
        <w:rPr>
          <w:rFonts w:ascii="Arial" w:hAnsi="Arial" w:cs="Arial"/>
          <w:i/>
          <w:sz w:val="22"/>
          <w:szCs w:val="22"/>
        </w:rPr>
      </w:pPr>
      <w:r w:rsidRPr="004C1FB6">
        <w:rPr>
          <w:rFonts w:ascii="Arial" w:hAnsi="Arial" w:cs="Arial"/>
          <w:i/>
          <w:sz w:val="22"/>
          <w:szCs w:val="22"/>
        </w:rPr>
        <w:t xml:space="preserve">       </w:t>
      </w:r>
    </w:p>
    <w:p w:rsidR="004C1FB6" w:rsidRPr="004C1FB6" w:rsidRDefault="004C1FB6" w:rsidP="004C1FB6">
      <w:pPr>
        <w:contextualSpacing/>
        <w:rPr>
          <w:rFonts w:ascii="Arial" w:hAnsi="Arial" w:cs="Arial"/>
          <w:i/>
          <w:noProof/>
          <w:sz w:val="22"/>
          <w:szCs w:val="22"/>
          <w:lang w:eastAsia="es-ES_tradnl"/>
        </w:rPr>
      </w:pPr>
      <w:r w:rsidRPr="004C1FB6">
        <w:rPr>
          <w:rFonts w:ascii="Arial" w:hAnsi="Arial" w:cs="Arial"/>
          <w:i/>
          <w:noProof/>
          <w:sz w:val="22"/>
          <w:szCs w:val="22"/>
          <w:lang w:val="es-CR" w:eastAsia="es-CR"/>
        </w:rPr>
        <w:drawing>
          <wp:inline distT="0" distB="0" distL="0" distR="0" wp14:anchorId="3FED2D68" wp14:editId="08F3B5F8">
            <wp:extent cx="5345499" cy="130175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732" cy="1306434"/>
                    </a:xfrm>
                    <a:prstGeom prst="rect">
                      <a:avLst/>
                    </a:prstGeom>
                    <a:noFill/>
                    <a:ln>
                      <a:noFill/>
                    </a:ln>
                  </pic:spPr>
                </pic:pic>
              </a:graphicData>
            </a:graphic>
          </wp:inline>
        </w:drawing>
      </w:r>
    </w:p>
    <w:p w:rsidR="004C1FB6" w:rsidRPr="004C1FB6" w:rsidRDefault="004C1FB6" w:rsidP="004C1FB6">
      <w:pPr>
        <w:contextualSpacing/>
        <w:rPr>
          <w:rFonts w:ascii="Arial" w:hAnsi="Arial" w:cs="Arial"/>
          <w:i/>
          <w:noProof/>
          <w:sz w:val="22"/>
          <w:szCs w:val="22"/>
          <w:lang w:eastAsia="es-ES_tradnl"/>
        </w:rPr>
      </w:pPr>
    </w:p>
    <w:p w:rsidR="004C1FB6" w:rsidRPr="004C1FB6" w:rsidRDefault="004C1FB6" w:rsidP="004C1FB6">
      <w:pPr>
        <w:numPr>
          <w:ilvl w:val="0"/>
          <w:numId w:val="49"/>
        </w:numPr>
        <w:contextualSpacing/>
        <w:jc w:val="both"/>
        <w:rPr>
          <w:rFonts w:ascii="Arial" w:eastAsia="Arial Unicode MS" w:hAnsi="Arial" w:cs="Arial"/>
          <w:i/>
          <w:sz w:val="22"/>
          <w:szCs w:val="22"/>
        </w:rPr>
      </w:pPr>
      <w:r w:rsidRPr="004C1FB6">
        <w:rPr>
          <w:rFonts w:ascii="Arial" w:hAnsi="Arial" w:cs="Arial"/>
          <w:b/>
          <w:i/>
          <w:sz w:val="22"/>
          <w:szCs w:val="22"/>
          <w:u w:val="single"/>
        </w:rPr>
        <w:t>Solicitud #2</w:t>
      </w:r>
      <w:r w:rsidRPr="004C1FB6">
        <w:rPr>
          <w:rFonts w:ascii="Arial" w:hAnsi="Arial" w:cs="Arial"/>
          <w:i/>
          <w:sz w:val="22"/>
          <w:szCs w:val="22"/>
        </w:rPr>
        <w:t xml:space="preserve">: la etapa II de infraestructura del Centro Académico de Limón </w:t>
      </w:r>
      <w:proofErr w:type="spellStart"/>
      <w:r w:rsidRPr="004C1FB6">
        <w:rPr>
          <w:rFonts w:ascii="Arial" w:hAnsi="Arial" w:cs="Arial"/>
          <w:i/>
          <w:sz w:val="22"/>
          <w:szCs w:val="22"/>
        </w:rPr>
        <w:t>esta</w:t>
      </w:r>
      <w:proofErr w:type="spellEnd"/>
      <w:r w:rsidRPr="004C1FB6">
        <w:rPr>
          <w:rFonts w:ascii="Arial" w:hAnsi="Arial" w:cs="Arial"/>
          <w:i/>
          <w:sz w:val="22"/>
          <w:szCs w:val="22"/>
        </w:rPr>
        <w:t xml:space="preserve"> en su fase final y se requiere dar un contenido económico adicional por un monto de </w:t>
      </w:r>
      <w:r w:rsidRPr="004C1FB6">
        <w:rPr>
          <w:rFonts w:ascii="Arial" w:hAnsi="Arial" w:cs="Arial"/>
          <w:b/>
          <w:i/>
          <w:sz w:val="22"/>
          <w:szCs w:val="22"/>
        </w:rPr>
        <w:t>54 millones de colones</w:t>
      </w:r>
      <w:r w:rsidRPr="004C1FB6">
        <w:rPr>
          <w:rFonts w:ascii="Arial" w:hAnsi="Arial" w:cs="Arial"/>
          <w:i/>
          <w:sz w:val="22"/>
          <w:szCs w:val="22"/>
        </w:rPr>
        <w:t>.   Cabe indicar que ya anteriormente se había solicitado un refuerzo económico por un monto de 135 millones de colones, el cual fue aprobado en la “</w:t>
      </w:r>
      <w:r w:rsidRPr="004C1FB6">
        <w:rPr>
          <w:rFonts w:ascii="Arial" w:eastAsia="Arial Unicode MS" w:hAnsi="Arial" w:cs="Arial"/>
          <w:b/>
          <w:i/>
          <w:sz w:val="22"/>
          <w:szCs w:val="22"/>
        </w:rPr>
        <w:t xml:space="preserve">Sesión Ordinaria No. 3036, Artículo 9, del 30 de agosto de 2017.  Modificación del acuerdo del Consejo Institucional, Sesión Extraordinaria No. 2974, Artículo 1, del 30 de mayo de 2016 “Modificación del Plan de Infraestructura Institucional y autorización a la Administración para solicitar un Préstamo por 20 millones dólares para desarrollar infraestructura y equipamiento en el ITCR”.  </w:t>
      </w:r>
      <w:r w:rsidRPr="004C1FB6">
        <w:rPr>
          <w:rFonts w:ascii="Arial" w:eastAsia="Arial Unicode MS" w:hAnsi="Arial" w:cs="Arial"/>
          <w:i/>
          <w:sz w:val="22"/>
          <w:szCs w:val="22"/>
        </w:rPr>
        <w:t>C</w:t>
      </w:r>
      <w:r w:rsidRPr="004C1FB6">
        <w:rPr>
          <w:rFonts w:ascii="Arial" w:hAnsi="Arial" w:cs="Arial"/>
          <w:i/>
          <w:sz w:val="22"/>
          <w:szCs w:val="22"/>
        </w:rPr>
        <w:t>on este refuerzo se cierra la II fase del proyecto de infraestructura del Centro Académico de Limón.  Los 54 millones de colones serán tomados del remanente de 140 millones liberados del compromiso con el Banco Mundial. La tabla de distribución de proyectos con esta modificación quedaría de la siguiente manera:</w:t>
      </w:r>
    </w:p>
    <w:p w:rsidR="004C1FB6" w:rsidRPr="004C1FB6" w:rsidRDefault="004C1FB6" w:rsidP="004C1FB6">
      <w:pPr>
        <w:ind w:left="720"/>
        <w:contextualSpacing/>
        <w:jc w:val="both"/>
        <w:rPr>
          <w:rFonts w:ascii="Arial" w:eastAsia="Arial Unicode MS" w:hAnsi="Arial" w:cs="Arial"/>
          <w:i/>
          <w:sz w:val="22"/>
          <w:szCs w:val="22"/>
        </w:rPr>
      </w:pPr>
    </w:p>
    <w:p w:rsidR="004C1FB6" w:rsidRPr="004C1FB6" w:rsidRDefault="004C1FB6" w:rsidP="004C1FB6">
      <w:pPr>
        <w:ind w:left="426"/>
        <w:contextualSpacing/>
        <w:jc w:val="both"/>
        <w:rPr>
          <w:rFonts w:ascii="Arial" w:hAnsi="Arial" w:cs="Arial"/>
          <w:i/>
          <w:noProof/>
          <w:sz w:val="22"/>
          <w:szCs w:val="22"/>
          <w:lang w:eastAsia="es-ES_tradnl"/>
        </w:rPr>
      </w:pPr>
      <w:r w:rsidRPr="004C1FB6">
        <w:rPr>
          <w:rFonts w:ascii="Arial" w:hAnsi="Arial" w:cs="Arial"/>
          <w:i/>
          <w:noProof/>
          <w:sz w:val="22"/>
          <w:szCs w:val="22"/>
          <w:lang w:val="es-CR" w:eastAsia="es-CR"/>
        </w:rPr>
        <w:drawing>
          <wp:inline distT="0" distB="0" distL="0" distR="0" wp14:anchorId="08988DA4" wp14:editId="5F7E75F0">
            <wp:extent cx="5610225" cy="14668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a:noFill/>
                    </a:ln>
                  </pic:spPr>
                </pic:pic>
              </a:graphicData>
            </a:graphic>
          </wp:inline>
        </w:drawing>
      </w: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1146"/>
        <w:contextualSpacing/>
        <w:jc w:val="both"/>
        <w:rPr>
          <w:rFonts w:ascii="Arial" w:hAnsi="Arial" w:cs="Arial"/>
          <w:i/>
          <w:sz w:val="22"/>
          <w:szCs w:val="22"/>
        </w:rPr>
      </w:pPr>
    </w:p>
    <w:p w:rsidR="004C1FB6" w:rsidRPr="004C1FB6" w:rsidRDefault="004C1FB6" w:rsidP="004C1FB6">
      <w:pPr>
        <w:numPr>
          <w:ilvl w:val="0"/>
          <w:numId w:val="49"/>
        </w:numPr>
        <w:contextualSpacing/>
        <w:jc w:val="both"/>
        <w:rPr>
          <w:rFonts w:ascii="Arial" w:hAnsi="Arial" w:cs="Arial"/>
          <w:i/>
          <w:sz w:val="22"/>
          <w:szCs w:val="22"/>
        </w:rPr>
      </w:pPr>
      <w:r w:rsidRPr="004C1FB6">
        <w:rPr>
          <w:rFonts w:ascii="Arial" w:hAnsi="Arial" w:cs="Arial"/>
          <w:b/>
          <w:bCs/>
          <w:i/>
          <w:sz w:val="22"/>
          <w:szCs w:val="22"/>
          <w:u w:val="single"/>
        </w:rPr>
        <w:lastRenderedPageBreak/>
        <w:t>Solicitud #3</w:t>
      </w:r>
      <w:r w:rsidRPr="004C1FB6">
        <w:rPr>
          <w:rFonts w:ascii="Arial" w:hAnsi="Arial" w:cs="Arial"/>
          <w:bCs/>
          <w:i/>
          <w:sz w:val="22"/>
          <w:szCs w:val="22"/>
        </w:rPr>
        <w:t xml:space="preserve">: el presupuesto ordinario 2017 incorporó recursos por un monto de 743 millones de colones para iniciar el proyecto de residencias en Limón.  El proyecto en su fase I, tal y como se indica a continuación tiene un costo estimado de 1,400 millones de colones (1,300 millones en infraestructura y 100 millones en mobiliario).  Dado lo anterior se requiere de un refuerzo económico por el orden de </w:t>
      </w:r>
      <w:r w:rsidRPr="004C1FB6">
        <w:rPr>
          <w:rFonts w:ascii="Arial" w:hAnsi="Arial" w:cs="Arial"/>
          <w:b/>
          <w:bCs/>
          <w:i/>
          <w:sz w:val="22"/>
          <w:szCs w:val="22"/>
        </w:rPr>
        <w:t>657 millones de colones</w:t>
      </w:r>
      <w:r w:rsidRPr="004C1FB6">
        <w:rPr>
          <w:rFonts w:ascii="Arial" w:hAnsi="Arial" w:cs="Arial"/>
          <w:bCs/>
          <w:i/>
          <w:sz w:val="22"/>
          <w:szCs w:val="22"/>
        </w:rPr>
        <w:t xml:space="preserve"> para proceder con la licitación respectiva. </w:t>
      </w:r>
    </w:p>
    <w:p w:rsidR="004C1FB6" w:rsidRPr="004C1FB6" w:rsidRDefault="004C1FB6" w:rsidP="004C1FB6">
      <w:pPr>
        <w:ind w:left="1146"/>
        <w:contextualSpacing/>
        <w:jc w:val="both"/>
        <w:rPr>
          <w:rFonts w:ascii="Arial" w:hAnsi="Arial" w:cs="Arial"/>
          <w:i/>
          <w:sz w:val="22"/>
          <w:szCs w:val="22"/>
        </w:rPr>
      </w:pPr>
    </w:p>
    <w:p w:rsidR="004C1FB6" w:rsidRPr="004C1FB6" w:rsidRDefault="004C1FB6" w:rsidP="004C1FB6">
      <w:pPr>
        <w:numPr>
          <w:ilvl w:val="0"/>
          <w:numId w:val="49"/>
        </w:numPr>
        <w:contextualSpacing/>
        <w:jc w:val="both"/>
        <w:rPr>
          <w:rFonts w:ascii="Arial" w:hAnsi="Arial" w:cs="Arial"/>
          <w:i/>
          <w:sz w:val="22"/>
          <w:szCs w:val="22"/>
        </w:rPr>
      </w:pPr>
      <w:r w:rsidRPr="004C1FB6">
        <w:rPr>
          <w:rFonts w:ascii="Arial" w:hAnsi="Arial" w:cs="Arial"/>
          <w:bCs/>
          <w:i/>
          <w:sz w:val="22"/>
          <w:szCs w:val="22"/>
        </w:rPr>
        <w:t>La propuesta del proyecto es la siguiente:</w:t>
      </w:r>
    </w:p>
    <w:p w:rsidR="004C1FB6" w:rsidRPr="004C1FB6" w:rsidRDefault="004C1FB6" w:rsidP="004C1FB6">
      <w:pPr>
        <w:contextualSpacing/>
        <w:jc w:val="both"/>
        <w:rPr>
          <w:rFonts w:ascii="Arial" w:hAnsi="Arial" w:cs="Arial"/>
          <w:i/>
          <w:sz w:val="22"/>
          <w:szCs w:val="22"/>
        </w:rPr>
      </w:pPr>
    </w:p>
    <w:p w:rsidR="004C1FB6" w:rsidRPr="004C1FB6" w:rsidRDefault="004C1FB6" w:rsidP="004C1FB6">
      <w:pPr>
        <w:ind w:firstLine="426"/>
        <w:rPr>
          <w:rFonts w:ascii="Arial" w:hAnsi="Arial" w:cs="Arial"/>
          <w:b/>
          <w:i/>
          <w:sz w:val="22"/>
          <w:szCs w:val="22"/>
        </w:rPr>
      </w:pPr>
      <w:r w:rsidRPr="004C1FB6">
        <w:rPr>
          <w:rFonts w:ascii="Arial" w:hAnsi="Arial" w:cs="Arial"/>
          <w:b/>
          <w:bCs/>
          <w:i/>
          <w:sz w:val="22"/>
          <w:szCs w:val="22"/>
        </w:rPr>
        <w:t>Localización de las residencias:</w:t>
      </w: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drawing>
          <wp:inline distT="0" distB="0" distL="0" distR="0" wp14:anchorId="117F5C38" wp14:editId="5E0196A0">
            <wp:extent cx="4435523" cy="1861625"/>
            <wp:effectExtent l="0" t="0" r="3175"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108" cy="1871943"/>
                    </a:xfrm>
                    <a:prstGeom prst="rect">
                      <a:avLst/>
                    </a:prstGeom>
                    <a:noFill/>
                    <a:ln>
                      <a:noFill/>
                    </a:ln>
                  </pic:spPr>
                </pic:pic>
              </a:graphicData>
            </a:graphic>
          </wp:inline>
        </w:drawing>
      </w:r>
    </w:p>
    <w:p w:rsidR="004C1FB6" w:rsidRPr="004C1FB6" w:rsidRDefault="004C1FB6" w:rsidP="004C1FB6">
      <w:pPr>
        <w:contextualSpacing/>
        <w:jc w:val="both"/>
        <w:rPr>
          <w:rFonts w:ascii="Arial" w:hAnsi="Arial" w:cs="Arial"/>
          <w:b/>
          <w:i/>
          <w:sz w:val="22"/>
          <w:szCs w:val="22"/>
        </w:rPr>
      </w:pPr>
    </w:p>
    <w:p w:rsidR="004C1FB6" w:rsidRPr="004C1FB6" w:rsidRDefault="004C1FB6" w:rsidP="004C1FB6">
      <w:pPr>
        <w:ind w:left="426" w:firstLine="282"/>
        <w:contextualSpacing/>
        <w:jc w:val="both"/>
        <w:rPr>
          <w:rFonts w:ascii="Arial" w:hAnsi="Arial" w:cs="Arial"/>
          <w:b/>
          <w:i/>
          <w:sz w:val="22"/>
          <w:szCs w:val="22"/>
        </w:rPr>
      </w:pPr>
    </w:p>
    <w:p w:rsidR="004C1FB6" w:rsidRPr="004C1FB6" w:rsidRDefault="004C1FB6" w:rsidP="004C1FB6">
      <w:pPr>
        <w:ind w:left="426" w:firstLine="282"/>
        <w:contextualSpacing/>
        <w:jc w:val="both"/>
        <w:rPr>
          <w:rFonts w:ascii="Arial" w:hAnsi="Arial" w:cs="Arial"/>
          <w:b/>
          <w:i/>
          <w:sz w:val="22"/>
          <w:szCs w:val="22"/>
        </w:rPr>
      </w:pPr>
      <w:r w:rsidRPr="004C1FB6">
        <w:rPr>
          <w:rFonts w:ascii="Arial" w:hAnsi="Arial" w:cs="Arial"/>
          <w:b/>
          <w:i/>
          <w:sz w:val="22"/>
          <w:szCs w:val="22"/>
        </w:rPr>
        <w:t>Vista de la propuesta final:</w:t>
      </w:r>
    </w:p>
    <w:p w:rsidR="004C1FB6" w:rsidRPr="004C1FB6" w:rsidRDefault="004C1FB6" w:rsidP="004C1FB6">
      <w:pPr>
        <w:ind w:left="426" w:firstLine="282"/>
        <w:contextualSpacing/>
        <w:jc w:val="both"/>
        <w:rPr>
          <w:rFonts w:ascii="Arial" w:hAnsi="Arial" w:cs="Arial"/>
          <w:b/>
          <w:i/>
          <w:sz w:val="22"/>
          <w:szCs w:val="22"/>
        </w:rPr>
      </w:pP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drawing>
          <wp:inline distT="0" distB="0" distL="0" distR="0" wp14:anchorId="7DFC607F" wp14:editId="560EE950">
            <wp:extent cx="4135272" cy="1704463"/>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631" cy="1712855"/>
                    </a:xfrm>
                    <a:prstGeom prst="rect">
                      <a:avLst/>
                    </a:prstGeom>
                    <a:noFill/>
                    <a:ln>
                      <a:noFill/>
                    </a:ln>
                  </pic:spPr>
                </pic:pic>
              </a:graphicData>
            </a:graphic>
          </wp:inline>
        </w:drawing>
      </w: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b/>
          <w:i/>
          <w:sz w:val="22"/>
          <w:szCs w:val="22"/>
        </w:rPr>
      </w:pPr>
      <w:r w:rsidRPr="004C1FB6">
        <w:rPr>
          <w:rFonts w:ascii="Arial" w:hAnsi="Arial" w:cs="Arial"/>
          <w:b/>
          <w:i/>
          <w:sz w:val="22"/>
          <w:szCs w:val="22"/>
        </w:rPr>
        <w:t>Vista de frente del edificio:</w:t>
      </w:r>
    </w:p>
    <w:p w:rsidR="004C1FB6" w:rsidRPr="004C1FB6" w:rsidRDefault="004C1FB6" w:rsidP="004C1FB6">
      <w:pPr>
        <w:ind w:left="426"/>
        <w:contextualSpacing/>
        <w:jc w:val="both"/>
        <w:rPr>
          <w:rFonts w:ascii="Arial" w:hAnsi="Arial" w:cs="Arial"/>
          <w:b/>
          <w:i/>
          <w:sz w:val="22"/>
          <w:szCs w:val="22"/>
        </w:rPr>
      </w:pPr>
    </w:p>
    <w:p w:rsid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drawing>
          <wp:inline distT="0" distB="0" distL="0" distR="0" wp14:anchorId="15198199" wp14:editId="0E8D94C4">
            <wp:extent cx="4326341" cy="2221633"/>
            <wp:effectExtent l="0" t="0" r="0" b="762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1710" cy="2234660"/>
                    </a:xfrm>
                    <a:prstGeom prst="rect">
                      <a:avLst/>
                    </a:prstGeom>
                    <a:noFill/>
                    <a:ln>
                      <a:noFill/>
                    </a:ln>
                  </pic:spPr>
                </pic:pic>
              </a:graphicData>
            </a:graphic>
          </wp:inline>
        </w:drawing>
      </w:r>
    </w:p>
    <w:p w:rsid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b/>
          <w:i/>
          <w:sz w:val="22"/>
          <w:szCs w:val="22"/>
        </w:rPr>
      </w:pPr>
      <w:r w:rsidRPr="004C1FB6">
        <w:rPr>
          <w:rFonts w:ascii="Arial" w:hAnsi="Arial" w:cs="Arial"/>
          <w:b/>
          <w:i/>
          <w:sz w:val="22"/>
          <w:szCs w:val="22"/>
        </w:rPr>
        <w:t>Propuesta de distribución interna:</w:t>
      </w: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drawing>
          <wp:inline distT="0" distB="0" distL="0" distR="0" wp14:anchorId="6890CFEF" wp14:editId="1685EE86">
            <wp:extent cx="4715302" cy="2675583"/>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014" cy="2680527"/>
                    </a:xfrm>
                    <a:prstGeom prst="rect">
                      <a:avLst/>
                    </a:prstGeom>
                    <a:noFill/>
                    <a:ln>
                      <a:noFill/>
                    </a:ln>
                  </pic:spPr>
                </pic:pic>
              </a:graphicData>
            </a:graphic>
          </wp:inline>
        </w:drawing>
      </w:r>
    </w:p>
    <w:p w:rsidR="004C1FB6" w:rsidRDefault="004C1FB6" w:rsidP="004C1FB6">
      <w:pPr>
        <w:rPr>
          <w:rFonts w:ascii="Arial" w:hAnsi="Arial" w:cs="Arial"/>
          <w:b/>
          <w:i/>
          <w:sz w:val="22"/>
          <w:szCs w:val="22"/>
        </w:rPr>
      </w:pPr>
    </w:p>
    <w:p w:rsidR="004C1FB6" w:rsidRPr="004C1FB6" w:rsidRDefault="004C1FB6" w:rsidP="004C1FB6">
      <w:pPr>
        <w:rPr>
          <w:rFonts w:ascii="Arial" w:eastAsia="Cambria" w:hAnsi="Arial" w:cs="Arial"/>
          <w:b/>
          <w:i/>
          <w:sz w:val="22"/>
          <w:szCs w:val="22"/>
          <w:lang w:val="es-ES_tradnl" w:eastAsia="en-US"/>
        </w:rPr>
      </w:pPr>
      <w:r w:rsidRPr="004C1FB6">
        <w:rPr>
          <w:rFonts w:ascii="Arial" w:hAnsi="Arial" w:cs="Arial"/>
          <w:b/>
          <w:i/>
          <w:sz w:val="22"/>
          <w:szCs w:val="22"/>
        </w:rPr>
        <w:t>Cuadro de áreas y capacidad del edificio:</w:t>
      </w:r>
    </w:p>
    <w:p w:rsidR="004C1FB6" w:rsidRPr="004C1FB6" w:rsidRDefault="004C1FB6" w:rsidP="004C1FB6">
      <w:pPr>
        <w:ind w:left="426"/>
        <w:contextualSpacing/>
        <w:jc w:val="both"/>
        <w:rPr>
          <w:rFonts w:ascii="Arial" w:hAnsi="Arial" w:cs="Arial"/>
          <w:b/>
          <w:i/>
          <w:sz w:val="22"/>
          <w:szCs w:val="22"/>
        </w:rPr>
      </w:pP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noProof/>
          <w:sz w:val="22"/>
          <w:szCs w:val="22"/>
          <w:lang w:val="es-CR" w:eastAsia="es-CR"/>
        </w:rPr>
        <w:drawing>
          <wp:anchor distT="0" distB="0" distL="114300" distR="114300" simplePos="0" relativeHeight="251659264" behindDoc="1" locked="0" layoutInCell="1" allowOverlap="1" wp14:anchorId="2B1C5755" wp14:editId="794F2ABF">
            <wp:simplePos x="0" y="0"/>
            <wp:positionH relativeFrom="column">
              <wp:posOffset>1260475</wp:posOffset>
            </wp:positionH>
            <wp:positionV relativeFrom="paragraph">
              <wp:posOffset>104140</wp:posOffset>
            </wp:positionV>
            <wp:extent cx="3473450" cy="1499235"/>
            <wp:effectExtent l="0" t="0" r="0" b="0"/>
            <wp:wrapTight wrapText="bothSides">
              <wp:wrapPolygon edited="0">
                <wp:start x="355" y="274"/>
                <wp:lineTo x="237" y="18663"/>
                <wp:lineTo x="1422" y="19487"/>
                <wp:lineTo x="2014" y="19487"/>
                <wp:lineTo x="5449" y="18938"/>
                <wp:lineTo x="18717" y="17565"/>
                <wp:lineTo x="18954" y="14546"/>
                <wp:lineTo x="15993" y="13723"/>
                <wp:lineTo x="15993" y="12351"/>
                <wp:lineTo x="11136" y="9606"/>
                <wp:lineTo x="14927" y="6861"/>
                <wp:lineTo x="14690" y="5764"/>
                <wp:lineTo x="17059" y="5215"/>
                <wp:lineTo x="18599" y="823"/>
                <wp:lineTo x="17414" y="274"/>
                <wp:lineTo x="355" y="274"/>
              </wp:wrapPolygon>
            </wp:wrapTight>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4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ind w:left="426"/>
        <w:contextualSpacing/>
        <w:jc w:val="both"/>
        <w:rPr>
          <w:rFonts w:ascii="Arial" w:hAnsi="Arial" w:cs="Arial"/>
          <w:i/>
          <w:sz w:val="22"/>
          <w:szCs w:val="22"/>
        </w:rPr>
      </w:pPr>
      <w:r w:rsidRPr="004C1FB6">
        <w:rPr>
          <w:rFonts w:ascii="Arial" w:hAnsi="Arial" w:cs="Arial"/>
          <w:i/>
          <w:sz w:val="22"/>
          <w:szCs w:val="22"/>
        </w:rPr>
        <w:t>De los 860 millones de colones disponibles en la partida de equipo, se solicita asignar 657 millones de colones para completar el estimado de costo del edificio de Residencias Estudiantiles y poder sacar la respectiva licitación. La tabla final de redistribución del préstamo de 20 millones de dólares con el Banco Popular, con la propuesta de estas modificaciones, quedaría de la siguiente manera:</w:t>
      </w:r>
    </w:p>
    <w:p w:rsidR="004C1FB6" w:rsidRPr="004C1FB6" w:rsidRDefault="004C1FB6" w:rsidP="004C1FB6">
      <w:pPr>
        <w:ind w:left="426"/>
        <w:contextualSpacing/>
        <w:jc w:val="both"/>
        <w:rPr>
          <w:rFonts w:ascii="Arial" w:hAnsi="Arial" w:cs="Arial"/>
          <w:i/>
          <w:sz w:val="22"/>
          <w:szCs w:val="22"/>
        </w:rPr>
      </w:pPr>
    </w:p>
    <w:p w:rsidR="004C1FB6" w:rsidRPr="004C1FB6" w:rsidRDefault="004C1FB6" w:rsidP="004C1FB6">
      <w:pPr>
        <w:contextualSpacing/>
        <w:jc w:val="both"/>
        <w:rPr>
          <w:rFonts w:ascii="Arial" w:hAnsi="Arial" w:cs="Arial"/>
          <w:i/>
          <w:sz w:val="10"/>
          <w:szCs w:val="10"/>
        </w:rPr>
      </w:pPr>
    </w:p>
    <w:p w:rsidR="004C1FB6" w:rsidRPr="004C1FB6" w:rsidRDefault="004C1FB6" w:rsidP="004C1FB6">
      <w:pPr>
        <w:ind w:left="426"/>
        <w:contextualSpacing/>
        <w:jc w:val="both"/>
        <w:rPr>
          <w:rFonts w:ascii="Arial" w:hAnsi="Arial" w:cs="Arial"/>
          <w:i/>
          <w:noProof/>
          <w:sz w:val="22"/>
          <w:szCs w:val="22"/>
          <w:lang w:eastAsia="es-ES_tradnl"/>
        </w:rPr>
      </w:pPr>
      <w:r w:rsidRPr="004C1FB6">
        <w:rPr>
          <w:rFonts w:ascii="Arial" w:hAnsi="Arial" w:cs="Arial"/>
          <w:i/>
          <w:noProof/>
          <w:sz w:val="22"/>
          <w:szCs w:val="22"/>
          <w:lang w:val="es-CR" w:eastAsia="es-CR"/>
        </w:rPr>
        <w:drawing>
          <wp:inline distT="0" distB="0" distL="0" distR="0" wp14:anchorId="6D27DD8A" wp14:editId="2D6AF696">
            <wp:extent cx="5406236" cy="1880006"/>
            <wp:effectExtent l="0" t="0" r="4445" b="635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450" cy="1885644"/>
                    </a:xfrm>
                    <a:prstGeom prst="rect">
                      <a:avLst/>
                    </a:prstGeom>
                    <a:noFill/>
                    <a:ln>
                      <a:noFill/>
                    </a:ln>
                  </pic:spPr>
                </pic:pic>
              </a:graphicData>
            </a:graphic>
          </wp:inline>
        </w:drawing>
      </w:r>
    </w:p>
    <w:p w:rsidR="004C1FB6" w:rsidRPr="004C1FB6" w:rsidRDefault="004C1FB6" w:rsidP="004C1FB6">
      <w:pPr>
        <w:contextualSpacing/>
        <w:jc w:val="both"/>
        <w:rPr>
          <w:rFonts w:ascii="Arial" w:hAnsi="Arial" w:cs="Arial"/>
          <w:i/>
        </w:rPr>
      </w:pPr>
    </w:p>
    <w:p w:rsidR="004C1FB6" w:rsidRPr="004C1FB6" w:rsidRDefault="004C1FB6" w:rsidP="004C1FB6">
      <w:pPr>
        <w:contextualSpacing/>
        <w:jc w:val="both"/>
        <w:rPr>
          <w:rFonts w:ascii="Arial" w:hAnsi="Arial" w:cs="Arial"/>
          <w:i/>
        </w:rPr>
      </w:pPr>
    </w:p>
    <w:p w:rsidR="004C1FB6" w:rsidRPr="004C1FB6" w:rsidRDefault="004C1FB6" w:rsidP="004C1FB6">
      <w:pPr>
        <w:numPr>
          <w:ilvl w:val="0"/>
          <w:numId w:val="49"/>
        </w:numPr>
        <w:contextualSpacing/>
        <w:jc w:val="both"/>
        <w:rPr>
          <w:rFonts w:ascii="Arial" w:hAnsi="Arial" w:cs="Arial"/>
          <w:i/>
          <w:sz w:val="22"/>
          <w:szCs w:val="22"/>
        </w:rPr>
      </w:pPr>
      <w:r w:rsidRPr="004C1FB6">
        <w:rPr>
          <w:rFonts w:ascii="Arial" w:hAnsi="Arial" w:cs="Arial"/>
          <w:i/>
          <w:sz w:val="22"/>
          <w:szCs w:val="22"/>
        </w:rPr>
        <w:lastRenderedPageBreak/>
        <w:t>Finalmente, con la propuesta de aprobación de estas tres modificaciones para atender los requerimientos del edificio de Cultura de San Carlos, la finalización de la etapa II de Limón y la construcción del edificio de residencias de Limón, el préstamo mantiene la asignación inicial de 2,168 millones de colones para el edificio administrativo en el campus central de Cartago y un remanente de 203 millones de colones; tal y como lo indica el cuadro anterior,  para cualquier desviación adicional u otra asignación adicional que se desee hacer.</w:t>
      </w:r>
    </w:p>
    <w:p w:rsidR="004C1FB6" w:rsidRPr="004C1FB6" w:rsidRDefault="004C1FB6" w:rsidP="004C1FB6">
      <w:pPr>
        <w:ind w:left="426" w:right="424"/>
        <w:jc w:val="both"/>
        <w:rPr>
          <w:rFonts w:ascii="Arial" w:hAnsi="Arial" w:cs="Arial"/>
          <w:i/>
          <w:sz w:val="20"/>
          <w:szCs w:val="20"/>
        </w:rPr>
      </w:pPr>
    </w:p>
    <w:p w:rsidR="004C1FB6" w:rsidRPr="004C1FB6" w:rsidRDefault="004C1FB6" w:rsidP="004C1FB6">
      <w:pPr>
        <w:numPr>
          <w:ilvl w:val="0"/>
          <w:numId w:val="46"/>
        </w:numPr>
        <w:tabs>
          <w:tab w:val="num" w:pos="465"/>
        </w:tabs>
        <w:ind w:left="426"/>
        <w:jc w:val="both"/>
        <w:rPr>
          <w:rFonts w:ascii="Arial" w:hAnsi="Arial" w:cs="Arial"/>
        </w:rPr>
      </w:pPr>
      <w:r w:rsidRPr="004C1FB6">
        <w:rPr>
          <w:rFonts w:ascii="Arial" w:hAnsi="Arial" w:cs="Arial"/>
        </w:rPr>
        <w:t xml:space="preserve">La Comisión de Planificación y Administración en reunión No. 748-2017, realizada el 30 de noviembre de 2017, revisó la propuesta </w:t>
      </w:r>
      <w:proofErr w:type="spellStart"/>
      <w:r w:rsidRPr="004C1FB6">
        <w:rPr>
          <w:rFonts w:ascii="Arial" w:hAnsi="Arial" w:cs="Arial"/>
        </w:rPr>
        <w:t>supracitada</w:t>
      </w:r>
      <w:proofErr w:type="spellEnd"/>
      <w:r w:rsidRPr="004C1FB6">
        <w:rPr>
          <w:rFonts w:ascii="Arial" w:hAnsi="Arial" w:cs="Arial"/>
        </w:rPr>
        <w:t>, y recibe al Ing. Humberto Villalta, Vicerrector de Administración, quien expone ampliamente la propuesta. Los integrantes de la Comisión externan las dudas y con el fin de fundamentar la propuesta a elevar al Consejo Institucional, se le solicita al señor Villalta complementar la información sobre las necesidades que originaron el contenido económico adicional para las citadas obras.</w:t>
      </w:r>
    </w:p>
    <w:p w:rsidR="004C1FB6" w:rsidRPr="004C1FB6" w:rsidRDefault="004C1FB6" w:rsidP="004C1FB6">
      <w:pPr>
        <w:ind w:left="426" w:right="424"/>
        <w:jc w:val="both"/>
        <w:rPr>
          <w:rFonts w:ascii="Arial" w:hAnsi="Arial" w:cs="Arial"/>
          <w:i/>
          <w:sz w:val="20"/>
          <w:szCs w:val="20"/>
        </w:rPr>
      </w:pPr>
    </w:p>
    <w:p w:rsidR="004C1FB6" w:rsidRPr="004C1FB6" w:rsidRDefault="004C1FB6" w:rsidP="004C1FB6">
      <w:pPr>
        <w:numPr>
          <w:ilvl w:val="0"/>
          <w:numId w:val="46"/>
        </w:numPr>
        <w:tabs>
          <w:tab w:val="num" w:pos="465"/>
        </w:tabs>
        <w:ind w:left="426"/>
        <w:jc w:val="both"/>
        <w:rPr>
          <w:rFonts w:ascii="Arial" w:hAnsi="Arial" w:cs="Arial"/>
          <w:i/>
          <w:sz w:val="20"/>
          <w:szCs w:val="20"/>
        </w:rPr>
      </w:pPr>
      <w:r w:rsidRPr="004C1FB6">
        <w:rPr>
          <w:rFonts w:ascii="Arial" w:hAnsi="Arial" w:cs="Arial"/>
        </w:rPr>
        <w:t xml:space="preserve">La Secretaría del Consejo Institucional recibe oficio R-1459-2017, con fecha de recibido 01 de diciembre de 2017, suscrito por el Dr. Julio Calvo Alvarado, Rector, dirigido a la </w:t>
      </w:r>
      <w:proofErr w:type="spellStart"/>
      <w:r w:rsidRPr="004C1FB6">
        <w:rPr>
          <w:rFonts w:ascii="Arial" w:hAnsi="Arial" w:cs="Arial"/>
        </w:rPr>
        <w:t>MSc</w:t>
      </w:r>
      <w:proofErr w:type="spellEnd"/>
      <w:r w:rsidRPr="004C1FB6">
        <w:rPr>
          <w:rFonts w:ascii="Arial" w:hAnsi="Arial" w:cs="Arial"/>
        </w:rPr>
        <w:t>. Ana Rosa Ruiz, Coordinadora de la Comisión de Planificación y Administración, con copia a los Miembros del Consejo Institucional, en el cual informa que el Consejo de Rectoría, en la Sesión No. 36-2017, Artículo 5, del 27 de noviembre del 2017, avaló la propuesta adjunta al oficio VAD-889-2017, para dar contenido económico adicional al edificio de Cultura de la Sede Regional San Carlos, finalizar la II Etapa de Limón y sacar a licitación el edificio de Residencias Estudiantiles en Limón.</w:t>
      </w:r>
    </w:p>
    <w:p w:rsidR="004C1FB6" w:rsidRPr="004C1FB6" w:rsidRDefault="004C1FB6" w:rsidP="004C1FB6">
      <w:pPr>
        <w:jc w:val="both"/>
        <w:rPr>
          <w:rFonts w:ascii="Arial" w:hAnsi="Arial" w:cs="Arial"/>
          <w:sz w:val="22"/>
          <w:szCs w:val="22"/>
        </w:rPr>
      </w:pPr>
    </w:p>
    <w:p w:rsidR="004C1FB6" w:rsidRPr="004C1FB6" w:rsidRDefault="004C1FB6" w:rsidP="004C1FB6">
      <w:pPr>
        <w:numPr>
          <w:ilvl w:val="0"/>
          <w:numId w:val="46"/>
        </w:numPr>
        <w:tabs>
          <w:tab w:val="num" w:pos="465"/>
        </w:tabs>
        <w:ind w:left="426"/>
        <w:jc w:val="both"/>
        <w:rPr>
          <w:rFonts w:ascii="Arial" w:hAnsi="Arial" w:cs="Arial"/>
        </w:rPr>
      </w:pPr>
      <w:r w:rsidRPr="004C1FB6">
        <w:rPr>
          <w:rFonts w:ascii="Arial" w:hAnsi="Arial" w:cs="Arial"/>
        </w:rPr>
        <w:t xml:space="preserve">La Secretaría del Consejo Institucional recibió oficio VAD-944-2017 con fecha de recibido 5 de diciembre de 2017, suscrito por el Dr. Humberto Villalta Solano, Vicerrector de Administración, dirigido a la </w:t>
      </w:r>
      <w:proofErr w:type="spellStart"/>
      <w:r w:rsidRPr="004C1FB6">
        <w:rPr>
          <w:rFonts w:ascii="Arial" w:hAnsi="Arial" w:cs="Arial"/>
        </w:rPr>
        <w:t>MSc</w:t>
      </w:r>
      <w:proofErr w:type="spellEnd"/>
      <w:r w:rsidRPr="004C1FB6">
        <w:rPr>
          <w:rFonts w:ascii="Arial" w:hAnsi="Arial" w:cs="Arial"/>
        </w:rPr>
        <w:t xml:space="preserve">. Ana Rosa Ruiz, Coordinadora de la Comisión de Planificación y Administración, en el que remite </w:t>
      </w:r>
      <w:r w:rsidRPr="004C1FB6">
        <w:rPr>
          <w:rFonts w:ascii="Arial" w:hAnsi="Arial" w:cs="Arial"/>
          <w:bCs/>
          <w:iCs/>
        </w:rPr>
        <w:t xml:space="preserve">Ampliación a la solicitud de </w:t>
      </w:r>
      <w:r w:rsidRPr="004C1FB6">
        <w:rPr>
          <w:rFonts w:ascii="Arial" w:hAnsi="Arial" w:cs="Arial"/>
        </w:rPr>
        <w:t xml:space="preserve">modificación acuerdo tomado por el Consejo Institucional Sesión Extraordinaria No. 2974, Artículo 1, del 30 de mayo de 2016.   “Modificación del Plan de Infraestructura Institucional y autorización a la Administración para solicitar un Préstamo por 20 millones dólares para desarrollar infraestructura y equipamiento en el ITCR” para dar contenido económico adicional al edificio de Cultura en San Carlos, finalizar II etapa de Limón y sacar a licitación el edificio de Residencias Estudiantiles en Limón.  </w:t>
      </w:r>
    </w:p>
    <w:p w:rsidR="004C1FB6" w:rsidRPr="004C1FB6" w:rsidRDefault="004C1FB6" w:rsidP="004C1FB6">
      <w:pPr>
        <w:ind w:left="720"/>
        <w:contextualSpacing/>
        <w:rPr>
          <w:rFonts w:ascii="Arial" w:hAnsi="Arial" w:cs="Arial"/>
        </w:rPr>
      </w:pPr>
    </w:p>
    <w:p w:rsidR="004C1FB6" w:rsidRPr="004C1FB6" w:rsidRDefault="004C1FB6" w:rsidP="004C1FB6">
      <w:pPr>
        <w:ind w:left="1134" w:right="282" w:hanging="348"/>
        <w:contextualSpacing/>
        <w:jc w:val="both"/>
        <w:rPr>
          <w:rFonts w:ascii="Arial" w:hAnsi="Arial" w:cs="Arial"/>
          <w:i/>
          <w:sz w:val="22"/>
          <w:szCs w:val="22"/>
        </w:rPr>
      </w:pPr>
      <w:r w:rsidRPr="004C1FB6">
        <w:rPr>
          <w:rFonts w:ascii="Arial" w:hAnsi="Arial" w:cs="Arial"/>
          <w:i/>
          <w:sz w:val="22"/>
          <w:szCs w:val="22"/>
        </w:rPr>
        <w:t>“</w:t>
      </w:r>
      <w:r w:rsidRPr="004C1FB6">
        <w:rPr>
          <w:rFonts w:ascii="Arial" w:hAnsi="Arial" w:cs="Arial"/>
          <w:b/>
          <w:i/>
          <w:sz w:val="22"/>
          <w:szCs w:val="22"/>
        </w:rPr>
        <w:t>1</w:t>
      </w:r>
      <w:r w:rsidRPr="004C1FB6">
        <w:rPr>
          <w:rFonts w:ascii="Arial" w:hAnsi="Arial" w:cs="Arial"/>
          <w:i/>
          <w:sz w:val="22"/>
          <w:szCs w:val="22"/>
        </w:rPr>
        <w:t xml:space="preserve">.  La propuesta original de inversión para el edificio de Cultura de la Sede Regional de San Carlos, tenía un estimado de costo de 300 millones. </w:t>
      </w:r>
    </w:p>
    <w:p w:rsidR="004C1FB6" w:rsidRPr="004C1FB6" w:rsidRDefault="004C1FB6" w:rsidP="004C1FB6">
      <w:pPr>
        <w:ind w:right="282"/>
        <w:jc w:val="both"/>
        <w:rPr>
          <w:rFonts w:ascii="Arial" w:hAnsi="Arial" w:cs="Arial"/>
          <w:i/>
          <w:sz w:val="20"/>
          <w:szCs w:val="20"/>
        </w:rPr>
      </w:pPr>
    </w:p>
    <w:p w:rsidR="004C1FB6" w:rsidRPr="004C1FB6" w:rsidRDefault="004C1FB6" w:rsidP="004C1FB6">
      <w:pPr>
        <w:tabs>
          <w:tab w:val="left" w:pos="8222"/>
        </w:tabs>
        <w:ind w:left="1134" w:right="282"/>
        <w:contextualSpacing/>
        <w:jc w:val="both"/>
        <w:rPr>
          <w:rFonts w:ascii="Arial" w:hAnsi="Arial" w:cs="Arial"/>
          <w:i/>
          <w:sz w:val="22"/>
          <w:szCs w:val="22"/>
        </w:rPr>
      </w:pPr>
      <w:r w:rsidRPr="004C1FB6">
        <w:rPr>
          <w:rFonts w:ascii="Arial" w:hAnsi="Arial" w:cs="Arial"/>
          <w:i/>
          <w:sz w:val="22"/>
          <w:szCs w:val="22"/>
        </w:rPr>
        <w:t xml:space="preserve">Los 300 millones era un costo estimado del edificio considerando una construcción similar a los edificios de aulas construidos en Cartago de fabricación ligera; sin embargo, por requerimientos de los usuarios que pidieron un </w:t>
      </w:r>
      <w:proofErr w:type="spellStart"/>
      <w:r w:rsidRPr="004C1FB6">
        <w:rPr>
          <w:rFonts w:ascii="Arial" w:hAnsi="Arial" w:cs="Arial"/>
          <w:i/>
          <w:sz w:val="22"/>
          <w:szCs w:val="22"/>
        </w:rPr>
        <w:t>mezzanine</w:t>
      </w:r>
      <w:proofErr w:type="spellEnd"/>
      <w:r w:rsidRPr="004C1FB6">
        <w:rPr>
          <w:rFonts w:ascii="Arial" w:hAnsi="Arial" w:cs="Arial"/>
          <w:i/>
          <w:sz w:val="22"/>
          <w:szCs w:val="22"/>
        </w:rPr>
        <w:t xml:space="preserve"> que obligó a elevar el techo del edificio y otros requerimientos no considerados en la propuesta original; </w:t>
      </w:r>
      <w:proofErr w:type="gramStart"/>
      <w:r w:rsidRPr="004C1FB6">
        <w:rPr>
          <w:rFonts w:ascii="Arial" w:hAnsi="Arial" w:cs="Arial"/>
          <w:i/>
          <w:sz w:val="22"/>
          <w:szCs w:val="22"/>
        </w:rPr>
        <w:t>que</w:t>
      </w:r>
      <w:proofErr w:type="gramEnd"/>
      <w:r w:rsidRPr="004C1FB6">
        <w:rPr>
          <w:rFonts w:ascii="Arial" w:hAnsi="Arial" w:cs="Arial"/>
          <w:i/>
          <w:sz w:val="22"/>
          <w:szCs w:val="22"/>
        </w:rPr>
        <w:t xml:space="preserve"> por ende, el costo se </w:t>
      </w:r>
      <w:proofErr w:type="spellStart"/>
      <w:r w:rsidRPr="004C1FB6">
        <w:rPr>
          <w:rFonts w:ascii="Arial" w:hAnsi="Arial" w:cs="Arial"/>
          <w:i/>
          <w:sz w:val="22"/>
          <w:szCs w:val="22"/>
        </w:rPr>
        <w:t>incremento</w:t>
      </w:r>
      <w:proofErr w:type="spellEnd"/>
      <w:r w:rsidRPr="004C1FB6">
        <w:rPr>
          <w:rFonts w:ascii="Arial" w:hAnsi="Arial" w:cs="Arial"/>
          <w:i/>
          <w:sz w:val="22"/>
          <w:szCs w:val="22"/>
        </w:rPr>
        <w:t xml:space="preserve"> en 60 millones.</w:t>
      </w:r>
    </w:p>
    <w:p w:rsidR="004C1FB6" w:rsidRPr="004C1FB6" w:rsidRDefault="004C1FB6" w:rsidP="004C1FB6">
      <w:pPr>
        <w:ind w:right="282"/>
        <w:rPr>
          <w:rFonts w:ascii="Arial" w:hAnsi="Arial" w:cs="Arial"/>
          <w:i/>
          <w:sz w:val="20"/>
          <w:szCs w:val="20"/>
        </w:rPr>
      </w:pPr>
    </w:p>
    <w:p w:rsidR="004C1FB6" w:rsidRPr="004C1FB6" w:rsidRDefault="004C1FB6" w:rsidP="004C1FB6">
      <w:pPr>
        <w:numPr>
          <w:ilvl w:val="0"/>
          <w:numId w:val="48"/>
        </w:numPr>
        <w:ind w:left="1134" w:right="282"/>
        <w:contextualSpacing/>
        <w:jc w:val="both"/>
        <w:rPr>
          <w:rFonts w:ascii="Arial" w:hAnsi="Arial" w:cs="Arial"/>
          <w:i/>
          <w:noProof/>
          <w:sz w:val="22"/>
          <w:szCs w:val="22"/>
          <w:lang w:eastAsia="es-ES_tradnl"/>
        </w:rPr>
      </w:pPr>
      <w:r w:rsidRPr="004C1FB6">
        <w:rPr>
          <w:rFonts w:ascii="Arial" w:hAnsi="Arial" w:cs="Arial"/>
          <w:i/>
          <w:sz w:val="22"/>
          <w:szCs w:val="22"/>
        </w:rPr>
        <w:t xml:space="preserve"> Adicional para terminar</w:t>
      </w:r>
      <w:r w:rsidRPr="004C1FB6">
        <w:rPr>
          <w:rFonts w:ascii="Arial" w:hAnsi="Arial" w:cs="Arial"/>
          <w:b/>
          <w:i/>
          <w:sz w:val="22"/>
          <w:szCs w:val="22"/>
        </w:rPr>
        <w:t xml:space="preserve"> </w:t>
      </w:r>
      <w:r w:rsidRPr="004C1FB6">
        <w:rPr>
          <w:rFonts w:ascii="Arial" w:hAnsi="Arial" w:cs="Arial"/>
          <w:i/>
          <w:sz w:val="22"/>
          <w:szCs w:val="22"/>
        </w:rPr>
        <w:t xml:space="preserve">la etapa II de infraestructura del Centro Académico de Limón </w:t>
      </w:r>
      <w:proofErr w:type="spellStart"/>
      <w:r w:rsidRPr="004C1FB6">
        <w:rPr>
          <w:rFonts w:ascii="Arial" w:hAnsi="Arial" w:cs="Arial"/>
          <w:i/>
          <w:sz w:val="22"/>
          <w:szCs w:val="22"/>
        </w:rPr>
        <w:t>esta</w:t>
      </w:r>
      <w:proofErr w:type="spellEnd"/>
      <w:r w:rsidRPr="004C1FB6">
        <w:rPr>
          <w:rFonts w:ascii="Arial" w:hAnsi="Arial" w:cs="Arial"/>
          <w:i/>
          <w:sz w:val="22"/>
          <w:szCs w:val="22"/>
        </w:rPr>
        <w:t xml:space="preserve"> en su fase final y se requiere dar un contenido económico adicional por un monto de 54 millones de colones.   </w:t>
      </w:r>
    </w:p>
    <w:p w:rsidR="004C1FB6" w:rsidRPr="004C1FB6" w:rsidRDefault="004C1FB6" w:rsidP="004C1FB6">
      <w:pPr>
        <w:ind w:left="426" w:right="282"/>
        <w:jc w:val="both"/>
        <w:rPr>
          <w:rFonts w:ascii="Arial" w:hAnsi="Arial" w:cs="Arial"/>
          <w:i/>
          <w:noProof/>
          <w:sz w:val="22"/>
          <w:szCs w:val="22"/>
          <w:lang w:eastAsia="es-ES_tradnl"/>
        </w:rPr>
      </w:pPr>
    </w:p>
    <w:p w:rsidR="004C1FB6" w:rsidRPr="004C1FB6" w:rsidRDefault="004C1FB6" w:rsidP="004C1FB6">
      <w:pPr>
        <w:tabs>
          <w:tab w:val="left" w:pos="8222"/>
        </w:tabs>
        <w:ind w:left="1134"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lastRenderedPageBreak/>
        <w:t xml:space="preserve">Las obras complementarias  en Limón han generado trabajos adicionales no </w:t>
      </w:r>
      <w:r w:rsidRPr="004C1FB6">
        <w:rPr>
          <w:rFonts w:ascii="Arial" w:hAnsi="Arial" w:cs="Arial"/>
          <w:i/>
          <w:sz w:val="22"/>
          <w:szCs w:val="22"/>
        </w:rPr>
        <w:t>considerados</w:t>
      </w:r>
      <w:r w:rsidRPr="004C1FB6">
        <w:rPr>
          <w:rFonts w:ascii="Arial" w:hAnsi="Arial" w:cs="Arial"/>
          <w:i/>
          <w:noProof/>
          <w:sz w:val="22"/>
          <w:szCs w:val="22"/>
          <w:lang w:eastAsia="es-ES_tradnl"/>
        </w:rPr>
        <w:t xml:space="preserve"> en los presupuestos, que se detallan a continuación:</w:t>
      </w:r>
    </w:p>
    <w:p w:rsidR="004C1FB6" w:rsidRPr="004C1FB6" w:rsidRDefault="004C1FB6" w:rsidP="004C1FB6">
      <w:pPr>
        <w:ind w:left="426" w:right="282"/>
        <w:jc w:val="both"/>
        <w:rPr>
          <w:rFonts w:ascii="Arial" w:hAnsi="Arial" w:cs="Arial"/>
          <w:i/>
          <w:noProof/>
          <w:sz w:val="22"/>
          <w:szCs w:val="22"/>
          <w:lang w:eastAsia="es-ES_tradnl"/>
        </w:rPr>
      </w:pPr>
    </w:p>
    <w:p w:rsidR="004C1FB6" w:rsidRPr="004C1FB6" w:rsidRDefault="004C1FB6" w:rsidP="004C1FB6">
      <w:pPr>
        <w:numPr>
          <w:ilvl w:val="0"/>
          <w:numId w:val="50"/>
        </w:numPr>
        <w:ind w:left="1418"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Los muros de contención para la malla perimetral requirienron de escavaciones profundas, dadas las condiciones del terreno</w:t>
      </w:r>
    </w:p>
    <w:p w:rsidR="004C1FB6" w:rsidRPr="004C1FB6" w:rsidRDefault="004C1FB6" w:rsidP="004C1FB6">
      <w:pPr>
        <w:numPr>
          <w:ilvl w:val="0"/>
          <w:numId w:val="50"/>
        </w:numPr>
        <w:ind w:left="1418"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La malla perimetral se debió cerrar en primera instancia solo la mitad del campus para poder iniciar el traslado, lo que ocasiono colocar malla en un costado que no estaba previsto.</w:t>
      </w:r>
    </w:p>
    <w:p w:rsidR="004C1FB6" w:rsidRPr="004C1FB6" w:rsidRDefault="004C1FB6" w:rsidP="004C1FB6">
      <w:pPr>
        <w:numPr>
          <w:ilvl w:val="0"/>
          <w:numId w:val="50"/>
        </w:numPr>
        <w:ind w:left="1418"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La acometida electrica estaba lista para que el ICE contectara la electridad; sin embargo, se robaron unos dispositivos colocados en el poste de alimentación fuera del campus y se deben re emplazar.</w:t>
      </w:r>
    </w:p>
    <w:p w:rsidR="004C1FB6" w:rsidRPr="004C1FB6" w:rsidRDefault="004C1FB6" w:rsidP="004C1FB6">
      <w:pPr>
        <w:numPr>
          <w:ilvl w:val="0"/>
          <w:numId w:val="50"/>
        </w:numPr>
        <w:ind w:left="1418"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La acera se debe hacer en el total del campus para que la Institución tome posesión del terreno total.</w:t>
      </w:r>
    </w:p>
    <w:p w:rsidR="004C1FB6" w:rsidRPr="004C1FB6" w:rsidRDefault="004C1FB6" w:rsidP="004C1FB6">
      <w:pPr>
        <w:numPr>
          <w:ilvl w:val="0"/>
          <w:numId w:val="50"/>
        </w:numPr>
        <w:ind w:left="1418" w:right="282"/>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El cierre perimetral con malla también se debe hacer total del terreno y no comos e tiene hasta ahora en solo lo construido.</w:t>
      </w:r>
    </w:p>
    <w:p w:rsidR="004C1FB6" w:rsidRPr="004C1FB6" w:rsidRDefault="004C1FB6" w:rsidP="004C1FB6">
      <w:pPr>
        <w:numPr>
          <w:ilvl w:val="0"/>
          <w:numId w:val="50"/>
        </w:numPr>
        <w:ind w:left="1418"/>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Se requiere que el campus permanezca cerrado y todo momento y se deben instalar modulos de control de acceso con carne para estudiantes y funcionarios y los mismos no estaban considerados dentro del presupuesto antes solicitado.</w:t>
      </w:r>
    </w:p>
    <w:p w:rsidR="004C1FB6" w:rsidRPr="004C1FB6" w:rsidRDefault="004C1FB6" w:rsidP="004C1FB6">
      <w:pPr>
        <w:numPr>
          <w:ilvl w:val="0"/>
          <w:numId w:val="50"/>
        </w:numPr>
        <w:ind w:left="1418"/>
        <w:contextualSpacing/>
        <w:jc w:val="both"/>
        <w:rPr>
          <w:rFonts w:ascii="Arial" w:hAnsi="Arial" w:cs="Arial"/>
          <w:i/>
          <w:noProof/>
          <w:sz w:val="22"/>
          <w:szCs w:val="22"/>
          <w:lang w:eastAsia="es-ES_tradnl"/>
        </w:rPr>
      </w:pPr>
      <w:r w:rsidRPr="004C1FB6">
        <w:rPr>
          <w:rFonts w:ascii="Arial" w:hAnsi="Arial" w:cs="Arial"/>
          <w:i/>
          <w:noProof/>
          <w:sz w:val="22"/>
          <w:szCs w:val="22"/>
          <w:lang w:eastAsia="es-ES_tradnl"/>
        </w:rPr>
        <w:t>Trabajos menores de jardinería y enzacatado.”</w:t>
      </w:r>
    </w:p>
    <w:p w:rsidR="004C1FB6" w:rsidRPr="004C1FB6" w:rsidRDefault="004C1FB6" w:rsidP="004C1FB6">
      <w:pPr>
        <w:jc w:val="both"/>
        <w:rPr>
          <w:rFonts w:ascii="Arial" w:hAnsi="Arial" w:cs="Arial"/>
          <w:i/>
          <w:noProof/>
          <w:sz w:val="16"/>
          <w:szCs w:val="20"/>
          <w:lang w:eastAsia="es-ES_tradnl"/>
        </w:rPr>
      </w:pPr>
    </w:p>
    <w:p w:rsidR="004C1FB6" w:rsidRPr="004C1FB6" w:rsidRDefault="004C1FB6" w:rsidP="004C1FB6">
      <w:pPr>
        <w:numPr>
          <w:ilvl w:val="0"/>
          <w:numId w:val="46"/>
        </w:numPr>
        <w:tabs>
          <w:tab w:val="num" w:pos="465"/>
        </w:tabs>
        <w:ind w:left="426"/>
        <w:jc w:val="both"/>
        <w:rPr>
          <w:rFonts w:ascii="Arial" w:hAnsi="Arial" w:cs="Arial"/>
        </w:rPr>
      </w:pPr>
      <w:r w:rsidRPr="004C1FB6">
        <w:rPr>
          <w:rFonts w:ascii="Arial" w:hAnsi="Arial" w:cs="Arial"/>
        </w:rPr>
        <w:t>De acuerdo a lo anterior se dispone elevar la siguiente propuesta al Consejo Institucional.</w:t>
      </w:r>
    </w:p>
    <w:p w:rsidR="004C1FB6" w:rsidRPr="004C1FB6" w:rsidRDefault="004C1FB6" w:rsidP="004C1FB6">
      <w:pPr>
        <w:ind w:left="-39"/>
        <w:jc w:val="both"/>
        <w:rPr>
          <w:rFonts w:ascii="Arial" w:hAnsi="Arial" w:cs="Arial"/>
        </w:rPr>
      </w:pPr>
    </w:p>
    <w:p w:rsidR="004C1FB6" w:rsidRPr="004C1FB6" w:rsidRDefault="004C1FB6" w:rsidP="004C1FB6">
      <w:pPr>
        <w:spacing w:after="240"/>
        <w:rPr>
          <w:rFonts w:ascii="Arial" w:hAnsi="Arial" w:cs="Arial"/>
          <w:b/>
        </w:rPr>
      </w:pPr>
      <w:r w:rsidRPr="004C1FB6">
        <w:rPr>
          <w:rFonts w:ascii="Arial" w:hAnsi="Arial" w:cs="Arial"/>
          <w:b/>
        </w:rPr>
        <w:t>SE</w:t>
      </w:r>
      <w:r>
        <w:rPr>
          <w:rFonts w:ascii="Arial" w:hAnsi="Arial" w:cs="Arial"/>
          <w:b/>
        </w:rPr>
        <w:t xml:space="preserve"> ACUERDA</w:t>
      </w:r>
      <w:r w:rsidRPr="004C1FB6">
        <w:rPr>
          <w:rFonts w:ascii="Arial" w:hAnsi="Arial" w:cs="Arial"/>
          <w:b/>
        </w:rPr>
        <w:t>:</w:t>
      </w:r>
    </w:p>
    <w:p w:rsidR="004C1FB6" w:rsidRPr="004C1FB6" w:rsidRDefault="004C1FB6" w:rsidP="004C1FB6">
      <w:pPr>
        <w:numPr>
          <w:ilvl w:val="0"/>
          <w:numId w:val="47"/>
        </w:numPr>
        <w:ind w:left="426" w:right="312"/>
        <w:contextualSpacing/>
        <w:jc w:val="both"/>
        <w:rPr>
          <w:rFonts w:ascii="Arial" w:hAnsi="Arial" w:cs="Arial"/>
          <w:bCs/>
          <w:sz w:val="20"/>
          <w:szCs w:val="20"/>
        </w:rPr>
      </w:pPr>
      <w:r w:rsidRPr="004C1FB6">
        <w:rPr>
          <w:rFonts w:ascii="Arial" w:hAnsi="Arial" w:cs="Arial"/>
        </w:rPr>
        <w:t>Modificar de acuerdo de la Sesión Ordinaria No. 3036, Artículo 9, del 30 de agosto de 2017.  “Modificación del Plan de Infraestructura Institucional y autorización a la Administración para solicitar un Préstamo por 20 millones dólares para desarrollar infraestructura y equipamiento en el ITCR”, para dar contenido económico adicional al edificio de Cultura en Sede Regional San Carlos, finalizar II etapa del Centro Académico de Limón y el edificio de Residencias Estudiantiles del Centro Académico de Limón”, según se detalla a continuación:</w:t>
      </w:r>
    </w:p>
    <w:p w:rsidR="004C1FB6" w:rsidRPr="004C1FB6" w:rsidRDefault="004C1FB6" w:rsidP="004C1FB6">
      <w:pPr>
        <w:jc w:val="both"/>
        <w:rPr>
          <w:rFonts w:ascii="Arial" w:hAnsi="Arial" w:cs="Arial"/>
        </w:rPr>
      </w:pPr>
    </w:p>
    <w:p w:rsidR="004C1FB6" w:rsidRPr="004C1FB6" w:rsidRDefault="004C1FB6" w:rsidP="004C1FB6">
      <w:pPr>
        <w:ind w:left="142"/>
        <w:contextualSpacing/>
        <w:rPr>
          <w:rFonts w:ascii="Arial" w:hAnsi="Arial" w:cs="Arial"/>
          <w:b/>
          <w:i/>
          <w:sz w:val="22"/>
          <w:szCs w:val="22"/>
        </w:rPr>
      </w:pPr>
      <w:r w:rsidRPr="004C1FB6">
        <w:rPr>
          <w:rFonts w:ascii="Arial" w:hAnsi="Arial" w:cs="Arial"/>
          <w:i/>
          <w:noProof/>
          <w:sz w:val="22"/>
          <w:szCs w:val="22"/>
          <w:lang w:val="es-CR" w:eastAsia="es-CR"/>
        </w:rPr>
        <w:drawing>
          <wp:inline distT="0" distB="0" distL="0" distR="0" wp14:anchorId="7B82B147" wp14:editId="5FD7FA5C">
            <wp:extent cx="5286375" cy="183832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1838325"/>
                    </a:xfrm>
                    <a:prstGeom prst="rect">
                      <a:avLst/>
                    </a:prstGeom>
                    <a:noFill/>
                    <a:ln>
                      <a:noFill/>
                    </a:ln>
                  </pic:spPr>
                </pic:pic>
              </a:graphicData>
            </a:graphic>
          </wp:inline>
        </w:drawing>
      </w:r>
    </w:p>
    <w:p w:rsidR="004C1FB6" w:rsidRPr="004C1FB6" w:rsidRDefault="004C1FB6" w:rsidP="004C1FB6">
      <w:pPr>
        <w:jc w:val="both"/>
        <w:rPr>
          <w:rFonts w:ascii="Arial" w:hAnsi="Arial" w:cs="Arial"/>
          <w:b/>
          <w:i/>
          <w:sz w:val="22"/>
          <w:szCs w:val="22"/>
        </w:rPr>
      </w:pPr>
    </w:p>
    <w:p w:rsidR="004C1FB6" w:rsidRDefault="004C1FB6" w:rsidP="007742A1">
      <w:pPr>
        <w:jc w:val="both"/>
        <w:rPr>
          <w:rFonts w:ascii="Arial" w:eastAsia="Cambria" w:hAnsi="Arial" w:cs="Arial"/>
          <w:lang w:val="es-ES_tradnl" w:eastAsia="en-US"/>
        </w:rPr>
      </w:pPr>
    </w:p>
    <w:p w:rsidR="00887FCC" w:rsidRDefault="002204D7" w:rsidP="004C1FB6">
      <w:pPr>
        <w:numPr>
          <w:ilvl w:val="0"/>
          <w:numId w:val="47"/>
        </w:numPr>
        <w:ind w:left="426" w:right="312"/>
        <w:contextualSpacing/>
        <w:jc w:val="both"/>
        <w:rPr>
          <w:rFonts w:ascii="Arial" w:hAnsi="Arial" w:cs="Arial"/>
          <w:b/>
          <w:lang w:val="es-CR"/>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41439E" w:rsidRDefault="0041439E" w:rsidP="0041439E">
      <w:pPr>
        <w:pStyle w:val="Prrafodelista"/>
        <w:rPr>
          <w:rFonts w:ascii="Arial" w:hAnsi="Arial" w:cs="Arial"/>
          <w:b/>
          <w:lang w:val="es-CR"/>
        </w:rPr>
      </w:pPr>
    </w:p>
    <w:p w:rsidR="0041439E" w:rsidRDefault="0041439E" w:rsidP="0041439E">
      <w:pPr>
        <w:jc w:val="both"/>
        <w:rPr>
          <w:rFonts w:ascii="Arial" w:hAnsi="Arial" w:cs="Arial"/>
          <w:b/>
          <w:lang w:val="es-CR"/>
        </w:rPr>
      </w:pPr>
    </w:p>
    <w:p w:rsidR="004C1FB6" w:rsidRPr="004C1FB6" w:rsidRDefault="004C1FB6" w:rsidP="004C1FB6">
      <w:pPr>
        <w:rPr>
          <w:rFonts w:ascii="Arial" w:hAnsi="Arial" w:cs="Arial"/>
          <w:b/>
          <w:i/>
          <w:sz w:val="18"/>
          <w:szCs w:val="18"/>
        </w:rPr>
      </w:pPr>
      <w:r w:rsidRPr="004C1FB6">
        <w:rPr>
          <w:rFonts w:ascii="Arial" w:hAnsi="Arial" w:cs="Arial"/>
          <w:b/>
          <w:i/>
          <w:sz w:val="18"/>
          <w:szCs w:val="18"/>
        </w:rPr>
        <w:t>Palabras Clave: Modificación</w:t>
      </w:r>
      <w:r w:rsidRPr="004C1FB6">
        <w:rPr>
          <w:rFonts w:ascii="Arial" w:eastAsia="Cambria" w:hAnsi="Arial" w:cs="Arial"/>
          <w:b/>
          <w:i/>
          <w:sz w:val="18"/>
          <w:szCs w:val="18"/>
          <w:lang w:eastAsia="en-US"/>
        </w:rPr>
        <w:t xml:space="preserve"> – Acuerdo S 3036 – Préstamo – 20 millones - contenido económico – </w:t>
      </w:r>
      <w:proofErr w:type="gramStart"/>
      <w:r w:rsidRPr="004C1FB6">
        <w:rPr>
          <w:rFonts w:ascii="Arial" w:eastAsia="Cambria" w:hAnsi="Arial" w:cs="Arial"/>
          <w:b/>
          <w:i/>
          <w:sz w:val="18"/>
          <w:szCs w:val="18"/>
          <w:lang w:eastAsia="en-US"/>
        </w:rPr>
        <w:t>adicional  –</w:t>
      </w:r>
      <w:proofErr w:type="gramEnd"/>
      <w:r w:rsidRPr="004C1FB6">
        <w:rPr>
          <w:rFonts w:ascii="Arial" w:eastAsia="Cambria" w:hAnsi="Arial" w:cs="Arial"/>
          <w:b/>
          <w:i/>
          <w:sz w:val="18"/>
          <w:szCs w:val="18"/>
          <w:lang w:eastAsia="en-US"/>
        </w:rPr>
        <w:t xml:space="preserve"> edificio Cultura San Carlos II Etapa Limón  </w:t>
      </w:r>
    </w:p>
    <w:p w:rsidR="004F7EB0" w:rsidRPr="00525012" w:rsidRDefault="004F7EB0" w:rsidP="00672D32">
      <w:pPr>
        <w:jc w:val="both"/>
        <w:rPr>
          <w:rFonts w:ascii="Arial" w:hAnsi="Arial" w:cs="Arial"/>
          <w:b/>
          <w:sz w:val="22"/>
          <w:szCs w:val="22"/>
        </w:rPr>
      </w:pPr>
    </w:p>
    <w:p w:rsidR="004F7EB0" w:rsidRPr="0041439E" w:rsidRDefault="004F7EB0" w:rsidP="00672D32">
      <w:pPr>
        <w:jc w:val="both"/>
        <w:rPr>
          <w:rFonts w:ascii="Arial" w:hAnsi="Arial" w:cs="Arial"/>
          <w:b/>
          <w:sz w:val="22"/>
          <w:szCs w:val="22"/>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F41044" w:rsidTr="003538E7">
        <w:trPr>
          <w:trHeight w:val="183"/>
        </w:trPr>
        <w:tc>
          <w:tcPr>
            <w:tcW w:w="4361" w:type="dxa"/>
          </w:tcPr>
          <w:p w:rsidR="00F41044" w:rsidRDefault="00F41044" w:rsidP="003538E7">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Asesoría Legal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FEITEC</w:t>
            </w:r>
          </w:p>
          <w:p w:rsidR="00154839" w:rsidRDefault="00154839" w:rsidP="00154839">
            <w:pPr>
              <w:ind w:left="-567" w:firstLine="567"/>
              <w:jc w:val="both"/>
              <w:rPr>
                <w:rFonts w:ascii="Arial" w:eastAsia="Cambria" w:hAnsi="Arial" w:cs="Arial"/>
                <w:b/>
                <w:sz w:val="16"/>
                <w:szCs w:val="16"/>
                <w:lang w:val="es-ES_tradnl" w:eastAsia="en-US"/>
              </w:rPr>
            </w:pPr>
          </w:p>
          <w:p w:rsidR="00F41044" w:rsidRDefault="00F41044" w:rsidP="00154839">
            <w:pPr>
              <w:ind w:left="-567" w:firstLine="567"/>
              <w:jc w:val="both"/>
              <w:rPr>
                <w:rFonts w:ascii="Arial" w:eastAsia="Cambria" w:hAnsi="Arial" w:cs="Arial"/>
                <w:b/>
                <w:sz w:val="16"/>
                <w:szCs w:val="16"/>
                <w:lang w:val="es-ES_tradnl"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p w:rsidR="00F41044" w:rsidRDefault="00F41044" w:rsidP="003538E7">
            <w:pPr>
              <w:rPr>
                <w:rFonts w:ascii="Arial" w:eastAsia="Cambria" w:hAnsi="Arial" w:cs="Arial"/>
                <w:b/>
                <w:sz w:val="16"/>
                <w:szCs w:val="16"/>
                <w:lang w:val="es-CR"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tc>
        <w:tc>
          <w:tcPr>
            <w:tcW w:w="5103" w:type="dxa"/>
          </w:tcPr>
          <w:p w:rsidR="00F41044" w:rsidRDefault="00F41044" w:rsidP="003538E7">
            <w:pPr>
              <w:jc w:val="both"/>
              <w:rPr>
                <w:rFonts w:ascii="Arial" w:eastAsia="Cambria" w:hAnsi="Arial" w:cs="Arial"/>
                <w:b/>
                <w:sz w:val="16"/>
                <w:szCs w:val="16"/>
                <w:lang w:val="es-ES_tradnl" w:eastAsia="en-US"/>
              </w:rPr>
            </w:pPr>
          </w:p>
        </w:tc>
      </w:tr>
    </w:tbl>
    <w:p w:rsidR="00E00132" w:rsidRDefault="00E00132" w:rsidP="00F41044">
      <w:pPr>
        <w:jc w:val="both"/>
        <w:rPr>
          <w:rFonts w:ascii="Arial" w:eastAsia="Cambria" w:hAnsi="Arial" w:cs="Arial"/>
          <w:b/>
          <w:lang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p>
    <w:sectPr w:rsidR="00F41044" w:rsidRPr="00F41044" w:rsidSect="00CE0215">
      <w:headerReference w:type="default" r:id="rId17"/>
      <w:footerReference w:type="default" r:id="rId18"/>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C38" w:rsidRDefault="00A05C38">
      <w:r>
        <w:separator/>
      </w:r>
    </w:p>
  </w:endnote>
  <w:endnote w:type="continuationSeparator" w:id="0">
    <w:p w:rsidR="00A05C38" w:rsidRDefault="00A0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C38" w:rsidRDefault="00A05C38">
      <w:r>
        <w:separator/>
      </w:r>
    </w:p>
  </w:footnote>
  <w:footnote w:type="continuationSeparator" w:id="0">
    <w:p w:rsidR="00A05C38" w:rsidRDefault="00A05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4C1FB6">
      <w:rPr>
        <w:rFonts w:ascii="Arial" w:eastAsia="Cambria" w:hAnsi="Arial" w:cs="Arial"/>
        <w:i/>
        <w:sz w:val="18"/>
        <w:szCs w:val="18"/>
        <w:lang w:val="es-ES_tradnl" w:eastAsia="x-none"/>
      </w:rPr>
      <w:t>50</w:t>
    </w:r>
    <w:r w:rsidRPr="00D958BC">
      <w:rPr>
        <w:rFonts w:ascii="Arial" w:eastAsia="Cambria" w:hAnsi="Arial" w:cs="Arial"/>
        <w:i/>
        <w:sz w:val="18"/>
        <w:szCs w:val="18"/>
        <w:lang w:val="es-ES_tradnl" w:eastAsia="x-none"/>
      </w:rPr>
      <w:t xml:space="preserve">, Artículo </w:t>
    </w:r>
    <w:r w:rsidR="0041439E">
      <w:rPr>
        <w:rFonts w:ascii="Arial" w:eastAsia="Cambria" w:hAnsi="Arial" w:cs="Arial"/>
        <w:i/>
        <w:sz w:val="18"/>
        <w:szCs w:val="18"/>
        <w:lang w:val="es-ES_tradnl" w:eastAsia="x-none"/>
      </w:rPr>
      <w:t>1</w:t>
    </w:r>
    <w:r w:rsidR="004C1FB6">
      <w:rPr>
        <w:rFonts w:ascii="Arial" w:eastAsia="Cambria" w:hAnsi="Arial" w:cs="Arial"/>
        <w:i/>
        <w:sz w:val="18"/>
        <w:szCs w:val="18"/>
        <w:lang w:val="es-ES_tradnl" w:eastAsia="x-none"/>
      </w:rPr>
      <w:t>3</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4C1FB6">
      <w:rPr>
        <w:rFonts w:ascii="Arial" w:eastAsia="Cambria" w:hAnsi="Arial" w:cs="Arial"/>
        <w:i/>
        <w:sz w:val="18"/>
        <w:szCs w:val="18"/>
        <w:lang w:val="es-ES_tradnl" w:eastAsia="x-none"/>
      </w:rPr>
      <w:t>06</w:t>
    </w:r>
    <w:r>
      <w:rPr>
        <w:rFonts w:ascii="Arial" w:eastAsia="Cambria" w:hAnsi="Arial" w:cs="Arial"/>
        <w:i/>
        <w:sz w:val="18"/>
        <w:szCs w:val="18"/>
        <w:lang w:val="es-ES_tradnl" w:eastAsia="x-none"/>
      </w:rPr>
      <w:t xml:space="preserve"> de </w:t>
    </w:r>
    <w:r w:rsidR="004C1FB6">
      <w:rPr>
        <w:rFonts w:ascii="Arial" w:eastAsia="Cambria" w:hAnsi="Arial" w:cs="Arial"/>
        <w:i/>
        <w:sz w:val="18"/>
        <w:szCs w:val="18"/>
        <w:lang w:val="es-ES_tradnl" w:eastAsia="x-none"/>
      </w:rPr>
      <w:t>dic</w:t>
    </w:r>
    <w:r>
      <w:rPr>
        <w:rFonts w:ascii="Arial" w:eastAsia="Cambria" w:hAnsi="Arial" w:cs="Arial"/>
        <w:i/>
        <w:sz w:val="18"/>
        <w:szCs w:val="18"/>
        <w:lang w:val="es-ES_tradnl" w:eastAsia="x-none"/>
      </w:rPr>
      <w:t xml:space="preserve">iembre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A3056E">
      <w:rPr>
        <w:rFonts w:ascii="Arial" w:eastAsia="Cambria" w:hAnsi="Arial" w:cs="Arial"/>
        <w:i/>
        <w:noProof/>
        <w:sz w:val="18"/>
        <w:szCs w:val="18"/>
        <w:lang w:val="es-ES_tradnl" w:eastAsia="x-none"/>
      </w:rPr>
      <w:t>9</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38C"/>
    <w:multiLevelType w:val="hybridMultilevel"/>
    <w:tmpl w:val="125CDB0C"/>
    <w:lvl w:ilvl="0" w:tplc="D93A48C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0DF125D"/>
    <w:multiLevelType w:val="hybridMultilevel"/>
    <w:tmpl w:val="7BE6A2EA"/>
    <w:lvl w:ilvl="0" w:tplc="140A000F">
      <w:start w:val="1"/>
      <w:numFmt w:val="decimal"/>
      <w:lvlText w:val="%1."/>
      <w:lvlJc w:val="left"/>
      <w:pPr>
        <w:ind w:left="64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0F97D00"/>
    <w:multiLevelType w:val="hybridMultilevel"/>
    <w:tmpl w:val="5C00EC6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 w15:restartNumberingAfterBreak="0">
    <w:nsid w:val="04445BA9"/>
    <w:multiLevelType w:val="hybridMultilevel"/>
    <w:tmpl w:val="6E5409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4E615D8"/>
    <w:multiLevelType w:val="hybridMultilevel"/>
    <w:tmpl w:val="BBB0FAA8"/>
    <w:lvl w:ilvl="0" w:tplc="89D89A9A">
      <w:start w:val="1"/>
      <w:numFmt w:val="decimal"/>
      <w:lvlText w:val="%1."/>
      <w:lvlJc w:val="left"/>
      <w:pPr>
        <w:ind w:left="1353"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0A2E69"/>
    <w:multiLevelType w:val="hybridMultilevel"/>
    <w:tmpl w:val="8AA07E2A"/>
    <w:lvl w:ilvl="0" w:tplc="140A000F">
      <w:start w:val="1"/>
      <w:numFmt w:val="decimal"/>
      <w:lvlText w:val="%1."/>
      <w:lvlJc w:val="left"/>
      <w:pPr>
        <w:ind w:left="502"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86D5F2B"/>
    <w:multiLevelType w:val="hybridMultilevel"/>
    <w:tmpl w:val="8A28A52C"/>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8" w15:restartNumberingAfterBreak="0">
    <w:nsid w:val="114422AD"/>
    <w:multiLevelType w:val="hybridMultilevel"/>
    <w:tmpl w:val="F77AAD8C"/>
    <w:lvl w:ilvl="0" w:tplc="259AE804">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BA4D48"/>
    <w:multiLevelType w:val="hybridMultilevel"/>
    <w:tmpl w:val="AA668D5E"/>
    <w:lvl w:ilvl="0" w:tplc="26B2FCE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97D7D5A"/>
    <w:multiLevelType w:val="hybridMultilevel"/>
    <w:tmpl w:val="EF32EDC4"/>
    <w:lvl w:ilvl="0" w:tplc="5164EF4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27D2700B"/>
    <w:multiLevelType w:val="hybridMultilevel"/>
    <w:tmpl w:val="50FC487A"/>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E9F4300"/>
    <w:multiLevelType w:val="hybridMultilevel"/>
    <w:tmpl w:val="5D808AD2"/>
    <w:lvl w:ilvl="0" w:tplc="30C2D4E0">
      <w:start w:val="1"/>
      <w:numFmt w:val="decimal"/>
      <w:lvlText w:val="%1."/>
      <w:lvlJc w:val="left"/>
      <w:pPr>
        <w:ind w:left="360" w:hanging="360"/>
      </w:pPr>
      <w:rPr>
        <w:b/>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31303302"/>
    <w:multiLevelType w:val="hybridMultilevel"/>
    <w:tmpl w:val="D058403C"/>
    <w:lvl w:ilvl="0" w:tplc="03AE6DE0">
      <w:start w:val="1"/>
      <w:numFmt w:val="lowerLetter"/>
      <w:lvlText w:val="%1."/>
      <w:lvlJc w:val="left"/>
      <w:pPr>
        <w:ind w:left="360" w:hanging="360"/>
      </w:pPr>
      <w:rPr>
        <w:rFonts w:ascii="Arial" w:hAnsi="Arial" w:cs="Arial"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334F0FD9"/>
    <w:multiLevelType w:val="hybridMultilevel"/>
    <w:tmpl w:val="51E89BE4"/>
    <w:lvl w:ilvl="0" w:tplc="5E544B12">
      <w:start w:val="2"/>
      <w:numFmt w:val="decimal"/>
      <w:lvlText w:val="%1."/>
      <w:lvlJc w:val="left"/>
      <w:pPr>
        <w:ind w:left="36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F96B3F"/>
    <w:multiLevelType w:val="hybridMultilevel"/>
    <w:tmpl w:val="EF0C601A"/>
    <w:lvl w:ilvl="0" w:tplc="A996931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15:restartNumberingAfterBreak="0">
    <w:nsid w:val="38BE7ED4"/>
    <w:multiLevelType w:val="hybridMultilevel"/>
    <w:tmpl w:val="2160ECA2"/>
    <w:lvl w:ilvl="0" w:tplc="A75022C0">
      <w:start w:val="1"/>
      <w:numFmt w:val="decimal"/>
      <w:lvlText w:val="%1."/>
      <w:lvlJc w:val="left"/>
      <w:pPr>
        <w:ind w:left="720" w:hanging="360"/>
      </w:pPr>
      <w:rPr>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8D2174F"/>
    <w:multiLevelType w:val="hybridMultilevel"/>
    <w:tmpl w:val="C3820430"/>
    <w:lvl w:ilvl="0" w:tplc="165AFCA2">
      <w:start w:val="4"/>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B6F5459"/>
    <w:multiLevelType w:val="hybridMultilevel"/>
    <w:tmpl w:val="459AB99A"/>
    <w:lvl w:ilvl="0" w:tplc="9A5058E2">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3F2D6BA4"/>
    <w:multiLevelType w:val="hybridMultilevel"/>
    <w:tmpl w:val="CA3E478A"/>
    <w:lvl w:ilvl="0" w:tplc="EC38A7B8">
      <w:start w:val="1"/>
      <w:numFmt w:val="lowerLetter"/>
      <w:lvlText w:val="%1."/>
      <w:lvlJc w:val="left"/>
      <w:pPr>
        <w:ind w:left="720" w:hanging="360"/>
      </w:pPr>
      <w:rPr>
        <w:rFonts w:hint="default"/>
        <w:b/>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0D20B82"/>
    <w:multiLevelType w:val="hybridMultilevel"/>
    <w:tmpl w:val="146E13C0"/>
    <w:lvl w:ilvl="0" w:tplc="2EF01C5E">
      <w:start w:val="1"/>
      <w:numFmt w:val="decimal"/>
      <w:lvlText w:val="%1."/>
      <w:lvlJc w:val="left"/>
      <w:pPr>
        <w:ind w:left="644"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11A37BF"/>
    <w:multiLevelType w:val="multilevel"/>
    <w:tmpl w:val="AB8CC0B0"/>
    <w:lvl w:ilvl="0">
      <w:start w:val="1"/>
      <w:numFmt w:val="decimal"/>
      <w:lvlText w:val="%1."/>
      <w:lvlJc w:val="left"/>
      <w:pPr>
        <w:ind w:left="825" w:hanging="465"/>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6B220C"/>
    <w:multiLevelType w:val="hybridMultilevel"/>
    <w:tmpl w:val="0BF4CF60"/>
    <w:lvl w:ilvl="0" w:tplc="AE626496">
      <w:start w:val="1"/>
      <w:numFmt w:val="decimal"/>
      <w:lvlText w:val="%1."/>
      <w:lvlJc w:val="left"/>
      <w:pPr>
        <w:ind w:left="1146" w:hanging="360"/>
      </w:pPr>
      <w:rPr>
        <w:rFonts w:hint="default"/>
        <w:b/>
      </w:rPr>
    </w:lvl>
    <w:lvl w:ilvl="1" w:tplc="140A0019">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25" w15:restartNumberingAfterBreak="0">
    <w:nsid w:val="43CD5EC1"/>
    <w:multiLevelType w:val="hybridMultilevel"/>
    <w:tmpl w:val="048496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6FA3096"/>
    <w:multiLevelType w:val="hybridMultilevel"/>
    <w:tmpl w:val="8AA07E2A"/>
    <w:lvl w:ilvl="0" w:tplc="140A000F">
      <w:start w:val="1"/>
      <w:numFmt w:val="decimal"/>
      <w:lvlText w:val="%1."/>
      <w:lvlJc w:val="left"/>
      <w:pPr>
        <w:ind w:left="502"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77F240F"/>
    <w:multiLevelType w:val="hybridMultilevel"/>
    <w:tmpl w:val="8AA07E2A"/>
    <w:lvl w:ilvl="0" w:tplc="140A000F">
      <w:start w:val="1"/>
      <w:numFmt w:val="decimal"/>
      <w:lvlText w:val="%1."/>
      <w:lvlJc w:val="left"/>
      <w:pPr>
        <w:ind w:left="502"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9580388"/>
    <w:multiLevelType w:val="hybridMultilevel"/>
    <w:tmpl w:val="191EEE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C977CB2"/>
    <w:multiLevelType w:val="hybridMultilevel"/>
    <w:tmpl w:val="39A8405E"/>
    <w:lvl w:ilvl="0" w:tplc="0E30C798">
      <w:start w:val="1"/>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E073358"/>
    <w:multiLevelType w:val="multilevel"/>
    <w:tmpl w:val="A2E819B4"/>
    <w:lvl w:ilvl="0">
      <w:start w:val="1"/>
      <w:numFmt w:val="lowerLetter"/>
      <w:lvlText w:val="%1."/>
      <w:lvlJc w:val="left"/>
      <w:pPr>
        <w:ind w:left="720" w:hanging="360"/>
      </w:pPr>
      <w:rPr>
        <w:b/>
        <w:i w:val="0"/>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EAC6657"/>
    <w:multiLevelType w:val="hybridMultilevel"/>
    <w:tmpl w:val="CC9C28C6"/>
    <w:lvl w:ilvl="0" w:tplc="140A000B">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2" w15:restartNumberingAfterBreak="0">
    <w:nsid w:val="5175315B"/>
    <w:multiLevelType w:val="hybridMultilevel"/>
    <w:tmpl w:val="5E2E624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4743764"/>
    <w:multiLevelType w:val="hybridMultilevel"/>
    <w:tmpl w:val="C8224794"/>
    <w:lvl w:ilvl="0" w:tplc="470AC0B0">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8C95E7D"/>
    <w:multiLevelType w:val="hybridMultilevel"/>
    <w:tmpl w:val="CE344F0A"/>
    <w:lvl w:ilvl="0" w:tplc="91BA12F8">
      <w:start w:val="1"/>
      <w:numFmt w:val="lowerLetter"/>
      <w:lvlText w:val="%1."/>
      <w:lvlJc w:val="left"/>
      <w:pPr>
        <w:ind w:left="720" w:hanging="360"/>
      </w:pPr>
      <w:rPr>
        <w:rFonts w:ascii="Arial" w:hAnsi="Arial" w:cs="Times New Roman" w:hint="default"/>
        <w:b/>
        <w:i w:val="0"/>
        <w:color w:val="auto"/>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5" w15:restartNumberingAfterBreak="0">
    <w:nsid w:val="58E34A1D"/>
    <w:multiLevelType w:val="hybridMultilevel"/>
    <w:tmpl w:val="CDB04DDC"/>
    <w:lvl w:ilvl="0" w:tplc="04A6C46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595A188A"/>
    <w:multiLevelType w:val="hybridMultilevel"/>
    <w:tmpl w:val="2818873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37" w15:restartNumberingAfterBreak="0">
    <w:nsid w:val="5AAD6999"/>
    <w:multiLevelType w:val="hybridMultilevel"/>
    <w:tmpl w:val="BBAEB060"/>
    <w:lvl w:ilvl="0" w:tplc="EB12AC24">
      <w:start w:val="1"/>
      <w:numFmt w:val="decimal"/>
      <w:lvlText w:val="%1."/>
      <w:lvlJc w:val="left"/>
      <w:pPr>
        <w:ind w:left="360" w:hanging="360"/>
      </w:pPr>
      <w:rPr>
        <w:b/>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5D851087"/>
    <w:multiLevelType w:val="hybridMultilevel"/>
    <w:tmpl w:val="08E8252A"/>
    <w:lvl w:ilvl="0" w:tplc="EBF4A5E6">
      <w:numFmt w:val="bullet"/>
      <w:lvlText w:val="-"/>
      <w:lvlJc w:val="left"/>
      <w:pPr>
        <w:ind w:left="786" w:hanging="360"/>
      </w:pPr>
      <w:rPr>
        <w:rFonts w:ascii="Arial" w:eastAsia="Cambria" w:hAnsi="Arial" w:cs="Arial"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39" w15:restartNumberingAfterBreak="0">
    <w:nsid w:val="6AA516C5"/>
    <w:multiLevelType w:val="hybridMultilevel"/>
    <w:tmpl w:val="FA60C4B2"/>
    <w:lvl w:ilvl="0" w:tplc="58529924">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AE806EB"/>
    <w:multiLevelType w:val="hybridMultilevel"/>
    <w:tmpl w:val="AEDEF6AE"/>
    <w:lvl w:ilvl="0" w:tplc="07DA83DA">
      <w:start w:val="1"/>
      <w:numFmt w:val="decimal"/>
      <w:lvlText w:val="%1."/>
      <w:lvlJc w:val="left"/>
      <w:pPr>
        <w:ind w:left="786" w:hanging="360"/>
      </w:pPr>
      <w:rPr>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41" w15:restartNumberingAfterBreak="0">
    <w:nsid w:val="6B72409D"/>
    <w:multiLevelType w:val="hybridMultilevel"/>
    <w:tmpl w:val="8A28A52C"/>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2" w15:restartNumberingAfterBreak="0">
    <w:nsid w:val="6BD523E5"/>
    <w:multiLevelType w:val="hybridMultilevel"/>
    <w:tmpl w:val="B5A03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0CC030D"/>
    <w:multiLevelType w:val="multilevel"/>
    <w:tmpl w:val="34560DC2"/>
    <w:lvl w:ilvl="0">
      <w:start w:val="1"/>
      <w:numFmt w:val="decimal"/>
      <w:lvlText w:val="%1."/>
      <w:lvlJc w:val="left"/>
      <w:pPr>
        <w:ind w:left="360" w:hanging="360"/>
      </w:pPr>
      <w:rPr>
        <w:b/>
        <w:color w:val="FF0000"/>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4"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51D28A6"/>
    <w:multiLevelType w:val="hybridMultilevel"/>
    <w:tmpl w:val="683E895C"/>
    <w:lvl w:ilvl="0" w:tplc="0C58CD92">
      <w:start w:val="1"/>
      <w:numFmt w:val="lowerLetter"/>
      <w:lvlText w:val="%1."/>
      <w:lvlJc w:val="left"/>
      <w:pPr>
        <w:tabs>
          <w:tab w:val="num" w:pos="360"/>
        </w:tabs>
        <w:ind w:left="360" w:hanging="360"/>
      </w:pPr>
      <w:rPr>
        <w:rFonts w:ascii="Arial" w:hAnsi="Arial" w:hint="default"/>
        <w:b/>
        <w:i/>
        <w:sz w:val="22"/>
        <w:szCs w:val="22"/>
      </w:rPr>
    </w:lvl>
    <w:lvl w:ilvl="1" w:tplc="2C2E2420">
      <w:start w:val="1"/>
      <w:numFmt w:val="bullet"/>
      <w:lvlText w:val=""/>
      <w:lvlJc w:val="left"/>
      <w:pPr>
        <w:tabs>
          <w:tab w:val="num" w:pos="1440"/>
        </w:tabs>
        <w:ind w:left="1440" w:hanging="360"/>
      </w:pPr>
      <w:rPr>
        <w:rFonts w:ascii="Symbol" w:hAnsi="Symbol" w:hint="default"/>
        <w:b/>
        <w:i w:val="0"/>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7D561769"/>
    <w:multiLevelType w:val="hybridMultilevel"/>
    <w:tmpl w:val="5C8E4650"/>
    <w:lvl w:ilvl="0" w:tplc="23864E38">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7E7401A5"/>
    <w:multiLevelType w:val="hybridMultilevel"/>
    <w:tmpl w:val="BAEA5DBE"/>
    <w:lvl w:ilvl="0" w:tplc="CBDADDC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8" w15:restartNumberingAfterBreak="0">
    <w:nsid w:val="7EFE2FA0"/>
    <w:multiLevelType w:val="multilevel"/>
    <w:tmpl w:val="926EFD78"/>
    <w:lvl w:ilvl="0">
      <w:start w:val="1"/>
      <w:numFmt w:val="decimal"/>
      <w:lvlText w:val="%1."/>
      <w:lvlJc w:val="left"/>
      <w:pPr>
        <w:ind w:left="36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8"/>
  </w:num>
  <w:num w:numId="3">
    <w:abstractNumId w:val="29"/>
  </w:num>
  <w:num w:numId="4">
    <w:abstractNumId w:val="26"/>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32"/>
  </w:num>
  <w:num w:numId="9">
    <w:abstractNumId w:val="27"/>
  </w:num>
  <w:num w:numId="10">
    <w:abstractNumId w:val="41"/>
  </w:num>
  <w:num w:numId="11">
    <w:abstractNumId w:val="6"/>
  </w:num>
  <w:num w:numId="12">
    <w:abstractNumId w:val="15"/>
  </w:num>
  <w:num w:numId="13">
    <w:abstractNumId w:val="11"/>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5"/>
  </w:num>
  <w:num w:numId="17">
    <w:abstractNumId w:val="40"/>
  </w:num>
  <w:num w:numId="18">
    <w:abstractNumId w:val="39"/>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46"/>
  </w:num>
  <w:num w:numId="22">
    <w:abstractNumId w:val="1"/>
  </w:num>
  <w:num w:numId="23">
    <w:abstractNumId w:val="10"/>
  </w:num>
  <w:num w:numId="24">
    <w:abstractNumId w:val="20"/>
  </w:num>
  <w:num w:numId="25">
    <w:abstractNumId w:val="0"/>
  </w:num>
  <w:num w:numId="26">
    <w:abstractNumId w:val="12"/>
  </w:num>
  <w:num w:numId="27">
    <w:abstractNumId w:val="42"/>
  </w:num>
  <w:num w:numId="28">
    <w:abstractNumId w:val="28"/>
  </w:num>
  <w:num w:numId="29">
    <w:abstractNumId w:val="35"/>
  </w:num>
  <w:num w:numId="30">
    <w:abstractNumId w:val="2"/>
  </w:num>
  <w:num w:numId="31">
    <w:abstractNumId w:val="47"/>
  </w:num>
  <w:num w:numId="32">
    <w:abstractNumId w:val="31"/>
  </w:num>
  <w:num w:numId="33">
    <w:abstractNumId w:val="17"/>
  </w:num>
  <w:num w:numId="34">
    <w:abstractNumId w:val="25"/>
  </w:num>
  <w:num w:numId="35">
    <w:abstractNumId w:val="3"/>
  </w:num>
  <w:num w:numId="36">
    <w:abstractNumId w:val="16"/>
  </w:num>
  <w:num w:numId="37">
    <w:abstractNumId w:val="14"/>
  </w:num>
  <w:num w:numId="38">
    <w:abstractNumId w:val="43"/>
  </w:num>
  <w:num w:numId="39">
    <w:abstractNumId w:val="8"/>
  </w:num>
  <w:num w:numId="40">
    <w:abstractNumId w:val="33"/>
  </w:num>
  <w:num w:numId="41">
    <w:abstractNumId w:val="36"/>
  </w:num>
  <w:num w:numId="42">
    <w:abstractNumId w:val="37"/>
  </w:num>
  <w:num w:numId="43">
    <w:abstractNumId w:val="48"/>
  </w:num>
  <w:num w:numId="44">
    <w:abstractNumId w:val="23"/>
  </w:num>
  <w:num w:numId="45">
    <w:abstractNumId w:val="30"/>
  </w:num>
  <w:num w:numId="46">
    <w:abstractNumId w:val="13"/>
  </w:num>
  <w:num w:numId="47">
    <w:abstractNumId w:val="21"/>
  </w:num>
  <w:num w:numId="48">
    <w:abstractNumId w:val="4"/>
  </w:num>
  <w:num w:numId="49">
    <w:abstractNumId w:val="24"/>
  </w:num>
  <w:num w:numId="50">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BC7"/>
    <w:rsid w:val="00077D4B"/>
    <w:rsid w:val="0008022E"/>
    <w:rsid w:val="00080FD1"/>
    <w:rsid w:val="000813BE"/>
    <w:rsid w:val="00081BCF"/>
    <w:rsid w:val="000846DF"/>
    <w:rsid w:val="00084FDD"/>
    <w:rsid w:val="000903CE"/>
    <w:rsid w:val="00090FDF"/>
    <w:rsid w:val="00091B7B"/>
    <w:rsid w:val="000934FF"/>
    <w:rsid w:val="00093971"/>
    <w:rsid w:val="000A0756"/>
    <w:rsid w:val="000A47E1"/>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420E"/>
    <w:rsid w:val="000E4FED"/>
    <w:rsid w:val="000E5B14"/>
    <w:rsid w:val="000E6DC9"/>
    <w:rsid w:val="000F106C"/>
    <w:rsid w:val="000F1D14"/>
    <w:rsid w:val="000F1E1D"/>
    <w:rsid w:val="000F2A0F"/>
    <w:rsid w:val="000F4527"/>
    <w:rsid w:val="000F473C"/>
    <w:rsid w:val="000F490D"/>
    <w:rsid w:val="000F4B43"/>
    <w:rsid w:val="000F5572"/>
    <w:rsid w:val="000F5C99"/>
    <w:rsid w:val="000F7A0A"/>
    <w:rsid w:val="00104E6C"/>
    <w:rsid w:val="00105392"/>
    <w:rsid w:val="00107C78"/>
    <w:rsid w:val="0011053E"/>
    <w:rsid w:val="001113FE"/>
    <w:rsid w:val="001125EE"/>
    <w:rsid w:val="00115853"/>
    <w:rsid w:val="0011767E"/>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A33C3"/>
    <w:rsid w:val="001B1E0E"/>
    <w:rsid w:val="001B208D"/>
    <w:rsid w:val="001B59CC"/>
    <w:rsid w:val="001B7AB0"/>
    <w:rsid w:val="001C1124"/>
    <w:rsid w:val="001C1335"/>
    <w:rsid w:val="001C54CE"/>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BCB"/>
    <w:rsid w:val="002204D7"/>
    <w:rsid w:val="002207D9"/>
    <w:rsid w:val="00220ED5"/>
    <w:rsid w:val="00221713"/>
    <w:rsid w:val="00221F57"/>
    <w:rsid w:val="00224C36"/>
    <w:rsid w:val="00225D59"/>
    <w:rsid w:val="002279E5"/>
    <w:rsid w:val="00227D3E"/>
    <w:rsid w:val="00230EB0"/>
    <w:rsid w:val="00234BB0"/>
    <w:rsid w:val="00235258"/>
    <w:rsid w:val="0024107D"/>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67FAF"/>
    <w:rsid w:val="002743B7"/>
    <w:rsid w:val="00275822"/>
    <w:rsid w:val="00275FE3"/>
    <w:rsid w:val="00280C7B"/>
    <w:rsid w:val="00281B37"/>
    <w:rsid w:val="00283360"/>
    <w:rsid w:val="00283375"/>
    <w:rsid w:val="002842C3"/>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63E"/>
    <w:rsid w:val="002C19F4"/>
    <w:rsid w:val="002C228F"/>
    <w:rsid w:val="002C2B58"/>
    <w:rsid w:val="002C468D"/>
    <w:rsid w:val="002C4D2C"/>
    <w:rsid w:val="002C6BE2"/>
    <w:rsid w:val="002D2C7C"/>
    <w:rsid w:val="002D6978"/>
    <w:rsid w:val="002D76DD"/>
    <w:rsid w:val="002E03BF"/>
    <w:rsid w:val="002E1507"/>
    <w:rsid w:val="002E2751"/>
    <w:rsid w:val="002E49F2"/>
    <w:rsid w:val="002E5A2A"/>
    <w:rsid w:val="002F03FC"/>
    <w:rsid w:val="002F1374"/>
    <w:rsid w:val="00300778"/>
    <w:rsid w:val="003011A3"/>
    <w:rsid w:val="0030153B"/>
    <w:rsid w:val="00301B0B"/>
    <w:rsid w:val="00305BC2"/>
    <w:rsid w:val="00310865"/>
    <w:rsid w:val="003162A0"/>
    <w:rsid w:val="00316937"/>
    <w:rsid w:val="00316C74"/>
    <w:rsid w:val="00317D3B"/>
    <w:rsid w:val="00322446"/>
    <w:rsid w:val="00322B8A"/>
    <w:rsid w:val="00323397"/>
    <w:rsid w:val="00323590"/>
    <w:rsid w:val="00324AB0"/>
    <w:rsid w:val="003253F9"/>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F0E"/>
    <w:rsid w:val="00370216"/>
    <w:rsid w:val="00371DC1"/>
    <w:rsid w:val="003756F2"/>
    <w:rsid w:val="00380871"/>
    <w:rsid w:val="00381397"/>
    <w:rsid w:val="00382EA8"/>
    <w:rsid w:val="00385402"/>
    <w:rsid w:val="00387158"/>
    <w:rsid w:val="00387E4E"/>
    <w:rsid w:val="00391FB9"/>
    <w:rsid w:val="003921B6"/>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439E"/>
    <w:rsid w:val="004161F8"/>
    <w:rsid w:val="00416909"/>
    <w:rsid w:val="00416BD5"/>
    <w:rsid w:val="00420202"/>
    <w:rsid w:val="0042189A"/>
    <w:rsid w:val="004227AA"/>
    <w:rsid w:val="004246F4"/>
    <w:rsid w:val="00424D7C"/>
    <w:rsid w:val="00426401"/>
    <w:rsid w:val="004268E7"/>
    <w:rsid w:val="00426AC7"/>
    <w:rsid w:val="00427B05"/>
    <w:rsid w:val="00430CF8"/>
    <w:rsid w:val="004314B6"/>
    <w:rsid w:val="00432A0F"/>
    <w:rsid w:val="004335D5"/>
    <w:rsid w:val="00436940"/>
    <w:rsid w:val="00436F0E"/>
    <w:rsid w:val="00437F0F"/>
    <w:rsid w:val="0044013A"/>
    <w:rsid w:val="00441058"/>
    <w:rsid w:val="00443B63"/>
    <w:rsid w:val="00445CED"/>
    <w:rsid w:val="00447784"/>
    <w:rsid w:val="004505E8"/>
    <w:rsid w:val="004511A1"/>
    <w:rsid w:val="00452394"/>
    <w:rsid w:val="0045318C"/>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B66FD"/>
    <w:rsid w:val="004C1FB6"/>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012"/>
    <w:rsid w:val="0052523D"/>
    <w:rsid w:val="00525250"/>
    <w:rsid w:val="00525FBA"/>
    <w:rsid w:val="005300C8"/>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E83"/>
    <w:rsid w:val="005653A1"/>
    <w:rsid w:val="0056674D"/>
    <w:rsid w:val="00570916"/>
    <w:rsid w:val="005766E0"/>
    <w:rsid w:val="00577426"/>
    <w:rsid w:val="005832B2"/>
    <w:rsid w:val="00591483"/>
    <w:rsid w:val="00591A6C"/>
    <w:rsid w:val="00593737"/>
    <w:rsid w:val="005972A7"/>
    <w:rsid w:val="005978DB"/>
    <w:rsid w:val="00597AA2"/>
    <w:rsid w:val="005A2507"/>
    <w:rsid w:val="005A2803"/>
    <w:rsid w:val="005A5436"/>
    <w:rsid w:val="005A57FA"/>
    <w:rsid w:val="005A583E"/>
    <w:rsid w:val="005A5BEC"/>
    <w:rsid w:val="005A7087"/>
    <w:rsid w:val="005A74FE"/>
    <w:rsid w:val="005A76D9"/>
    <w:rsid w:val="005B2823"/>
    <w:rsid w:val="005B465B"/>
    <w:rsid w:val="005B6F1F"/>
    <w:rsid w:val="005B7CDB"/>
    <w:rsid w:val="005C0755"/>
    <w:rsid w:val="005C2C87"/>
    <w:rsid w:val="005C52A3"/>
    <w:rsid w:val="005C56A6"/>
    <w:rsid w:val="005D234B"/>
    <w:rsid w:val="005D242A"/>
    <w:rsid w:val="005E06F0"/>
    <w:rsid w:val="005E4831"/>
    <w:rsid w:val="005E6C51"/>
    <w:rsid w:val="005E6F3F"/>
    <w:rsid w:val="005E779D"/>
    <w:rsid w:val="005F3429"/>
    <w:rsid w:val="005F3B68"/>
    <w:rsid w:val="005F40F5"/>
    <w:rsid w:val="005F6B28"/>
    <w:rsid w:val="00603C4D"/>
    <w:rsid w:val="006059E6"/>
    <w:rsid w:val="00610697"/>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9C4"/>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118B"/>
    <w:rsid w:val="007133B5"/>
    <w:rsid w:val="007140BA"/>
    <w:rsid w:val="0071574F"/>
    <w:rsid w:val="00716307"/>
    <w:rsid w:val="00716A85"/>
    <w:rsid w:val="00717E7B"/>
    <w:rsid w:val="00720E26"/>
    <w:rsid w:val="00725291"/>
    <w:rsid w:val="00730242"/>
    <w:rsid w:val="00730BAA"/>
    <w:rsid w:val="007313FD"/>
    <w:rsid w:val="00731403"/>
    <w:rsid w:val="00731891"/>
    <w:rsid w:val="0073280F"/>
    <w:rsid w:val="00733178"/>
    <w:rsid w:val="00734993"/>
    <w:rsid w:val="007369BA"/>
    <w:rsid w:val="00740752"/>
    <w:rsid w:val="0074284B"/>
    <w:rsid w:val="00744C74"/>
    <w:rsid w:val="007512F6"/>
    <w:rsid w:val="0075179A"/>
    <w:rsid w:val="00751AB1"/>
    <w:rsid w:val="007553D4"/>
    <w:rsid w:val="00760AD1"/>
    <w:rsid w:val="00760D93"/>
    <w:rsid w:val="00761133"/>
    <w:rsid w:val="007619FB"/>
    <w:rsid w:val="00763AF2"/>
    <w:rsid w:val="00767AF5"/>
    <w:rsid w:val="00771193"/>
    <w:rsid w:val="007729C9"/>
    <w:rsid w:val="007742A1"/>
    <w:rsid w:val="00774600"/>
    <w:rsid w:val="00777FF4"/>
    <w:rsid w:val="00781332"/>
    <w:rsid w:val="007819B0"/>
    <w:rsid w:val="007837C1"/>
    <w:rsid w:val="0078514D"/>
    <w:rsid w:val="00791713"/>
    <w:rsid w:val="00793F58"/>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800060"/>
    <w:rsid w:val="008009B0"/>
    <w:rsid w:val="00803BB3"/>
    <w:rsid w:val="00804036"/>
    <w:rsid w:val="008059AB"/>
    <w:rsid w:val="008071A7"/>
    <w:rsid w:val="00807CCB"/>
    <w:rsid w:val="008101FC"/>
    <w:rsid w:val="008108E8"/>
    <w:rsid w:val="0081353F"/>
    <w:rsid w:val="00816407"/>
    <w:rsid w:val="00823CC6"/>
    <w:rsid w:val="00825809"/>
    <w:rsid w:val="00825F93"/>
    <w:rsid w:val="00831982"/>
    <w:rsid w:val="0083257F"/>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33CD"/>
    <w:rsid w:val="00887FCC"/>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30A02"/>
    <w:rsid w:val="00931FBC"/>
    <w:rsid w:val="009401C7"/>
    <w:rsid w:val="0094657E"/>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402F"/>
    <w:rsid w:val="009C4E1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5C38"/>
    <w:rsid w:val="00A06A2B"/>
    <w:rsid w:val="00A07231"/>
    <w:rsid w:val="00A07BF1"/>
    <w:rsid w:val="00A1609F"/>
    <w:rsid w:val="00A22594"/>
    <w:rsid w:val="00A22FC1"/>
    <w:rsid w:val="00A2484D"/>
    <w:rsid w:val="00A258C2"/>
    <w:rsid w:val="00A261DF"/>
    <w:rsid w:val="00A276D0"/>
    <w:rsid w:val="00A27C72"/>
    <w:rsid w:val="00A3056E"/>
    <w:rsid w:val="00A305BA"/>
    <w:rsid w:val="00A32610"/>
    <w:rsid w:val="00A35122"/>
    <w:rsid w:val="00A354D5"/>
    <w:rsid w:val="00A359F6"/>
    <w:rsid w:val="00A369A0"/>
    <w:rsid w:val="00A405DB"/>
    <w:rsid w:val="00A54E67"/>
    <w:rsid w:val="00A559D5"/>
    <w:rsid w:val="00A57051"/>
    <w:rsid w:val="00A602B0"/>
    <w:rsid w:val="00A60666"/>
    <w:rsid w:val="00A60DB0"/>
    <w:rsid w:val="00A618D1"/>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40B8"/>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16991"/>
    <w:rsid w:val="00B2081E"/>
    <w:rsid w:val="00B219FF"/>
    <w:rsid w:val="00B227C4"/>
    <w:rsid w:val="00B229A7"/>
    <w:rsid w:val="00B23A76"/>
    <w:rsid w:val="00B269D8"/>
    <w:rsid w:val="00B26FFA"/>
    <w:rsid w:val="00B36A6C"/>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578A"/>
    <w:rsid w:val="00C06CDD"/>
    <w:rsid w:val="00C1061F"/>
    <w:rsid w:val="00C10AC0"/>
    <w:rsid w:val="00C11B55"/>
    <w:rsid w:val="00C11CB1"/>
    <w:rsid w:val="00C16E0E"/>
    <w:rsid w:val="00C229BF"/>
    <w:rsid w:val="00C25779"/>
    <w:rsid w:val="00C3150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1B7B"/>
    <w:rsid w:val="00CA3E94"/>
    <w:rsid w:val="00CA406B"/>
    <w:rsid w:val="00CB0CB0"/>
    <w:rsid w:val="00CB0ED4"/>
    <w:rsid w:val="00CB1EFF"/>
    <w:rsid w:val="00CB4C4E"/>
    <w:rsid w:val="00CB5DCD"/>
    <w:rsid w:val="00CB682F"/>
    <w:rsid w:val="00CB7A61"/>
    <w:rsid w:val="00CC363D"/>
    <w:rsid w:val="00CC41FF"/>
    <w:rsid w:val="00CC64CA"/>
    <w:rsid w:val="00CC68BB"/>
    <w:rsid w:val="00CD4387"/>
    <w:rsid w:val="00CE0215"/>
    <w:rsid w:val="00CE5E1A"/>
    <w:rsid w:val="00CE6A7A"/>
    <w:rsid w:val="00CF025B"/>
    <w:rsid w:val="00CF0602"/>
    <w:rsid w:val="00CF1711"/>
    <w:rsid w:val="00CF1C87"/>
    <w:rsid w:val="00CF1E9D"/>
    <w:rsid w:val="00CF22B9"/>
    <w:rsid w:val="00CF2D7E"/>
    <w:rsid w:val="00CF3F70"/>
    <w:rsid w:val="00D0233D"/>
    <w:rsid w:val="00D023EE"/>
    <w:rsid w:val="00D0240D"/>
    <w:rsid w:val="00D040A1"/>
    <w:rsid w:val="00D0436A"/>
    <w:rsid w:val="00D111F5"/>
    <w:rsid w:val="00D12861"/>
    <w:rsid w:val="00D14DDC"/>
    <w:rsid w:val="00D20378"/>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8F9"/>
    <w:rsid w:val="00D57547"/>
    <w:rsid w:val="00D60137"/>
    <w:rsid w:val="00D6173A"/>
    <w:rsid w:val="00D61E9B"/>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22D17"/>
    <w:rsid w:val="00E26992"/>
    <w:rsid w:val="00E30502"/>
    <w:rsid w:val="00E359B9"/>
    <w:rsid w:val="00E37B8A"/>
    <w:rsid w:val="00E41D82"/>
    <w:rsid w:val="00E42135"/>
    <w:rsid w:val="00E42492"/>
    <w:rsid w:val="00E426E5"/>
    <w:rsid w:val="00E43030"/>
    <w:rsid w:val="00E43A3A"/>
    <w:rsid w:val="00E4464A"/>
    <w:rsid w:val="00E47137"/>
    <w:rsid w:val="00E512B0"/>
    <w:rsid w:val="00E5372B"/>
    <w:rsid w:val="00E5768A"/>
    <w:rsid w:val="00E61736"/>
    <w:rsid w:val="00E61CDC"/>
    <w:rsid w:val="00E6487C"/>
    <w:rsid w:val="00E64C9D"/>
    <w:rsid w:val="00E6544B"/>
    <w:rsid w:val="00E65876"/>
    <w:rsid w:val="00E718A6"/>
    <w:rsid w:val="00E80FBE"/>
    <w:rsid w:val="00E81E9F"/>
    <w:rsid w:val="00E82183"/>
    <w:rsid w:val="00E85F6A"/>
    <w:rsid w:val="00E909DA"/>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B24"/>
    <w:rsid w:val="00ED5E2F"/>
    <w:rsid w:val="00EE0E1C"/>
    <w:rsid w:val="00EE4333"/>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A3F"/>
    <w:rsid w:val="00F47518"/>
    <w:rsid w:val="00F5261B"/>
    <w:rsid w:val="00F55303"/>
    <w:rsid w:val="00F60439"/>
    <w:rsid w:val="00F609B3"/>
    <w:rsid w:val="00F617DE"/>
    <w:rsid w:val="00F623C8"/>
    <w:rsid w:val="00F63922"/>
    <w:rsid w:val="00F64331"/>
    <w:rsid w:val="00F67816"/>
    <w:rsid w:val="00F72058"/>
    <w:rsid w:val="00F737AC"/>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5D65"/>
    <w:rsid w:val="00FB6232"/>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E3EF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DC014"/>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1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BA4B6-80A2-40DE-B156-935698BC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9</Pages>
  <Words>2443</Words>
  <Characters>13440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189</cp:revision>
  <cp:lastPrinted>2017-12-06T22:40:00Z</cp:lastPrinted>
  <dcterms:created xsi:type="dcterms:W3CDTF">2016-10-05T20:00:00Z</dcterms:created>
  <dcterms:modified xsi:type="dcterms:W3CDTF">2017-12-06T22:41:00Z</dcterms:modified>
</cp:coreProperties>
</file>