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EF1E98">
        <w:rPr>
          <w:rFonts w:ascii="Arial" w:hAnsi="Arial" w:cs="Arial"/>
          <w:b/>
          <w:bCs/>
          <w:iCs/>
          <w:sz w:val="26"/>
          <w:szCs w:val="22"/>
          <w:lang w:val="es-CR"/>
        </w:rPr>
        <w:t>9</w:t>
      </w:r>
      <w:r w:rsidR="0024565B">
        <w:rPr>
          <w:rFonts w:ascii="Arial" w:hAnsi="Arial" w:cs="Arial"/>
          <w:b/>
          <w:bCs/>
          <w:iCs/>
          <w:sz w:val="26"/>
          <w:szCs w:val="22"/>
          <w:lang w:val="es-CR"/>
        </w:rPr>
        <w:t>50</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F41044" w:rsidRPr="00ED5B24" w:rsidRDefault="00190010" w:rsidP="00337455">
            <w:pPr>
              <w:jc w:val="both"/>
              <w:rPr>
                <w:rFonts w:ascii="Arial" w:eastAsia="Cambria" w:hAnsi="Arial" w:cs="Arial"/>
                <w:sz w:val="20"/>
                <w:szCs w:val="20"/>
                <w:lang w:val="es-ES_tradnl" w:eastAsia="en-US"/>
              </w:rPr>
            </w:pPr>
            <w:r w:rsidRPr="00ED5B24">
              <w:rPr>
                <w:rFonts w:ascii="Arial" w:eastAsia="Cambria" w:hAnsi="Arial" w:cs="Arial"/>
                <w:sz w:val="20"/>
                <w:szCs w:val="20"/>
                <w:lang w:val="es-ES_tradnl" w:eastAsia="en-US"/>
              </w:rPr>
              <w:t>Dr. Julio Calvo Alvarado</w:t>
            </w:r>
            <w:r w:rsidR="0090700F" w:rsidRPr="00ED5B24">
              <w:rPr>
                <w:rFonts w:ascii="Arial" w:eastAsia="Cambria" w:hAnsi="Arial" w:cs="Arial"/>
                <w:sz w:val="20"/>
                <w:szCs w:val="20"/>
                <w:lang w:val="es-ES_tradnl" w:eastAsia="en-US"/>
              </w:rPr>
              <w:t>, Rector</w:t>
            </w:r>
          </w:p>
          <w:p w:rsidR="00EF1E98" w:rsidRPr="009332DA" w:rsidRDefault="00EF1E98" w:rsidP="00EF1E98">
            <w:pPr>
              <w:ind w:left="45"/>
              <w:jc w:val="both"/>
              <w:rPr>
                <w:rFonts w:ascii="Arial" w:eastAsia="Cambria" w:hAnsi="Arial" w:cs="Arial"/>
                <w:sz w:val="20"/>
                <w:szCs w:val="20"/>
                <w:lang w:val="es-ES_tradnl" w:eastAsia="en-US"/>
              </w:rPr>
            </w:pPr>
            <w:r w:rsidRPr="009332DA">
              <w:rPr>
                <w:rFonts w:ascii="Arial" w:eastAsia="Cambria" w:hAnsi="Arial" w:cs="Arial"/>
                <w:sz w:val="20"/>
                <w:szCs w:val="20"/>
                <w:lang w:val="es-ES_tradnl" w:eastAsia="en-US"/>
              </w:rPr>
              <w:t>Dr. Humberto Villalta, Vicerrector de Administración</w:t>
            </w:r>
          </w:p>
          <w:p w:rsidR="00EF1E98" w:rsidRDefault="00EF1E98" w:rsidP="00EF1E98">
            <w:pPr>
              <w:ind w:left="45"/>
              <w:jc w:val="both"/>
              <w:rPr>
                <w:rFonts w:ascii="Arial" w:eastAsia="Cambria" w:hAnsi="Arial" w:cs="Arial"/>
                <w:sz w:val="20"/>
                <w:szCs w:val="20"/>
                <w:lang w:val="es-ES_tradnl" w:eastAsia="en-US"/>
              </w:rPr>
            </w:pPr>
            <w:r w:rsidRPr="009332DA">
              <w:rPr>
                <w:rFonts w:ascii="Arial" w:eastAsia="Cambria" w:hAnsi="Arial" w:cs="Arial"/>
                <w:sz w:val="20"/>
                <w:szCs w:val="20"/>
                <w:lang w:val="es-ES_tradnl" w:eastAsia="en-US"/>
              </w:rPr>
              <w:t xml:space="preserve">MAU. Tatiana Fernández, Directora Oficina de Planificación Institucional </w:t>
            </w:r>
          </w:p>
          <w:p w:rsidR="00793F58" w:rsidRDefault="00CA6835" w:rsidP="00CA6835">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MBA. Harold Blanco, Director Departamento Recursos Humanos</w:t>
            </w:r>
          </w:p>
          <w:p w:rsidR="00CA6835" w:rsidRPr="000F473C" w:rsidRDefault="00CA6835" w:rsidP="00CA6835">
            <w:pPr>
              <w:ind w:left="45"/>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Licda. </w:t>
            </w:r>
            <w:proofErr w:type="spellStart"/>
            <w:r>
              <w:rPr>
                <w:rFonts w:ascii="Arial" w:eastAsia="Cambria" w:hAnsi="Arial" w:cs="Arial"/>
                <w:sz w:val="22"/>
                <w:szCs w:val="22"/>
                <w:lang w:val="es-ES_tradnl" w:eastAsia="en-US"/>
              </w:rPr>
              <w:t>Bertalía</w:t>
            </w:r>
            <w:proofErr w:type="spellEnd"/>
            <w:r>
              <w:rPr>
                <w:rFonts w:ascii="Arial" w:eastAsia="Cambria" w:hAnsi="Arial" w:cs="Arial"/>
                <w:sz w:val="22"/>
                <w:szCs w:val="22"/>
                <w:lang w:val="es-ES_tradnl" w:eastAsia="en-US"/>
              </w:rPr>
              <w:t xml:space="preserve"> Sánchez Sala</w:t>
            </w:r>
            <w:r w:rsidR="00224C36">
              <w:rPr>
                <w:rFonts w:ascii="Arial" w:eastAsia="Cambria" w:hAnsi="Arial" w:cs="Arial"/>
                <w:sz w:val="22"/>
                <w:szCs w:val="22"/>
                <w:lang w:val="es-ES_tradnl" w:eastAsia="en-US"/>
              </w:rPr>
              <w:t>s</w:t>
            </w:r>
            <w:r>
              <w:rPr>
                <w:rFonts w:ascii="Arial" w:eastAsia="Cambria" w:hAnsi="Arial" w:cs="Arial"/>
                <w:sz w:val="22"/>
                <w:szCs w:val="22"/>
                <w:lang w:val="es-ES_tradnl" w:eastAsia="en-US"/>
              </w:rPr>
              <w:t>, Directora Ejecutiva</w:t>
            </w:r>
          </w:p>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Consejo </w:t>
            </w:r>
            <w:r w:rsidRPr="00267FAF">
              <w:rPr>
                <w:rFonts w:ascii="Arial" w:eastAsia="Cambria" w:hAnsi="Arial" w:cs="Arial"/>
                <w:sz w:val="22"/>
                <w:szCs w:val="22"/>
                <w:lang w:val="es-ES_tradnl" w:eastAsia="en-US"/>
              </w:rPr>
              <w:t>Institucional</w:t>
            </w:r>
          </w:p>
          <w:p w:rsidR="007742A1" w:rsidRPr="007F1052" w:rsidRDefault="00841F61" w:rsidP="00841F61">
            <w:pPr>
              <w:ind w:left="45"/>
              <w:jc w:val="both"/>
              <w:rPr>
                <w:rFonts w:ascii="Arial" w:eastAsia="Cambria" w:hAnsi="Arial" w:cs="Arial"/>
                <w:sz w:val="20"/>
                <w:szCs w:val="20"/>
                <w:lang w:val="es-ES_tradnl" w:eastAsia="en-US"/>
              </w:rPr>
            </w:pPr>
            <w:r w:rsidRPr="00267FAF">
              <w:rPr>
                <w:rFonts w:ascii="Arial" w:eastAsia="Cambria" w:hAnsi="Arial" w:cs="Arial"/>
                <w:sz w:val="22"/>
                <w:szCs w:val="22"/>
                <w:lang w:val="es-ES_tradnl" w:eastAsia="en-US"/>
              </w:rPr>
              <w:t>Instituto Tecnológico de Costa Rica</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7F1052" w:rsidRDefault="007742A1" w:rsidP="007742A1">
            <w:pPr>
              <w:tabs>
                <w:tab w:val="right" w:pos="2410"/>
                <w:tab w:val="left" w:pos="2694"/>
              </w:tabs>
              <w:rPr>
                <w:rFonts w:ascii="Arial" w:eastAsia="Cambria" w:hAnsi="Arial" w:cs="Arial"/>
                <w:b/>
                <w:sz w:val="20"/>
                <w:szCs w:val="20"/>
                <w:lang w:eastAsia="en-US"/>
              </w:rPr>
            </w:pPr>
          </w:p>
          <w:p w:rsidR="007742A1" w:rsidRPr="00267FAF" w:rsidRDefault="00FB0BE9"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13</w:t>
            </w:r>
            <w:r w:rsidR="00044242">
              <w:rPr>
                <w:rFonts w:ascii="Arial" w:eastAsia="Cambria" w:hAnsi="Arial" w:cs="Arial"/>
                <w:b/>
                <w:sz w:val="22"/>
                <w:szCs w:val="22"/>
                <w:lang w:val="es-ES_tradnl" w:eastAsia="en-US"/>
              </w:rPr>
              <w:t xml:space="preserve"> </w:t>
            </w:r>
            <w:r w:rsidR="007742A1" w:rsidRPr="00267FAF">
              <w:rPr>
                <w:rFonts w:ascii="Arial" w:eastAsia="Cambria" w:hAnsi="Arial" w:cs="Arial"/>
                <w:b/>
                <w:sz w:val="22"/>
                <w:szCs w:val="22"/>
                <w:lang w:val="es-ES_tradnl" w:eastAsia="en-US"/>
              </w:rPr>
              <w:t xml:space="preserve">de </w:t>
            </w:r>
            <w:r w:rsidR="007F28ED">
              <w:rPr>
                <w:rFonts w:ascii="Arial" w:eastAsia="Cambria" w:hAnsi="Arial" w:cs="Arial"/>
                <w:b/>
                <w:sz w:val="22"/>
                <w:szCs w:val="22"/>
                <w:lang w:val="es-ES_tradnl" w:eastAsia="en-US"/>
              </w:rPr>
              <w:t>dic</w:t>
            </w:r>
            <w:r w:rsidR="00841F61">
              <w:rPr>
                <w:rFonts w:ascii="Arial" w:eastAsia="Cambria" w:hAnsi="Arial" w:cs="Arial"/>
                <w:b/>
                <w:sz w:val="22"/>
                <w:szCs w:val="22"/>
                <w:lang w:val="es-ES_tradnl" w:eastAsia="en-US"/>
              </w:rPr>
              <w:t>iem</w:t>
            </w:r>
            <w:r w:rsidR="00AA0A77">
              <w:rPr>
                <w:rFonts w:ascii="Arial" w:eastAsia="Cambria" w:hAnsi="Arial" w:cs="Arial"/>
                <w:b/>
                <w:sz w:val="22"/>
                <w:szCs w:val="22"/>
                <w:lang w:val="es-ES_tradnl" w:eastAsia="en-US"/>
              </w:rPr>
              <w:t>b</w:t>
            </w:r>
            <w:r w:rsidR="00190010">
              <w:rPr>
                <w:rFonts w:ascii="Arial" w:eastAsia="Cambria" w:hAnsi="Arial" w:cs="Arial"/>
                <w:b/>
                <w:sz w:val="22"/>
                <w:szCs w:val="22"/>
                <w:lang w:val="es-ES_tradnl" w:eastAsia="en-US"/>
              </w:rPr>
              <w:t>re</w:t>
            </w:r>
            <w:r w:rsidR="007742A1" w:rsidRPr="00267FAF">
              <w:rPr>
                <w:rFonts w:ascii="Arial" w:eastAsia="Cambria" w:hAnsi="Arial" w:cs="Arial"/>
                <w:b/>
                <w:sz w:val="22"/>
                <w:szCs w:val="22"/>
                <w:lang w:val="es-ES_tradnl" w:eastAsia="en-US"/>
              </w:rPr>
              <w:t xml:space="preserve"> de 201</w:t>
            </w:r>
            <w:r w:rsidR="00A772EF" w:rsidRPr="00267FAF">
              <w:rPr>
                <w:rFonts w:ascii="Arial" w:eastAsia="Cambria" w:hAnsi="Arial" w:cs="Arial"/>
                <w:b/>
                <w:sz w:val="22"/>
                <w:szCs w:val="22"/>
                <w:lang w:val="es-ES_tradnl" w:eastAsia="en-US"/>
              </w:rPr>
              <w:t>7</w:t>
            </w:r>
          </w:p>
          <w:p w:rsidR="007F1052" w:rsidRPr="007F1052" w:rsidRDefault="007F1052" w:rsidP="000B5852">
            <w:pPr>
              <w:jc w:val="both"/>
              <w:rPr>
                <w:rFonts w:ascii="Arial" w:eastAsia="Cambria" w:hAnsi="Arial" w:cs="Arial"/>
                <w:b/>
                <w:sz w:val="20"/>
                <w:szCs w:val="20"/>
                <w:lang w:val="es-ES_tradnl" w:eastAsia="en-US"/>
              </w:rPr>
            </w:pPr>
          </w:p>
        </w:tc>
      </w:tr>
      <w:tr w:rsidR="00A2484D" w:rsidRPr="00A2484D"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7F28ED" w:rsidRPr="00FB0BE9" w:rsidRDefault="007742A1" w:rsidP="007F28ED">
            <w:pPr>
              <w:pStyle w:val="Prrafodelista"/>
              <w:ind w:left="-31"/>
              <w:jc w:val="both"/>
              <w:rPr>
                <w:rFonts w:ascii="Arial" w:eastAsia="Cambria" w:hAnsi="Arial" w:cs="Arial"/>
                <w:b/>
                <w:sz w:val="22"/>
                <w:szCs w:val="22"/>
                <w:highlight w:val="yellow"/>
                <w:lang w:val="es-CR" w:eastAsia="en-US"/>
              </w:rPr>
            </w:pPr>
            <w:r w:rsidRPr="00267FAF">
              <w:rPr>
                <w:rFonts w:ascii="Arial" w:eastAsia="Calibri" w:hAnsi="Arial" w:cs="Arial"/>
                <w:b/>
                <w:sz w:val="22"/>
                <w:szCs w:val="22"/>
              </w:rPr>
              <w:t xml:space="preserve">Sesión Ordinaria No. </w:t>
            </w:r>
            <w:r w:rsidR="00337455" w:rsidRPr="00267FAF">
              <w:rPr>
                <w:rFonts w:ascii="Arial" w:eastAsia="Calibri" w:hAnsi="Arial" w:cs="Arial"/>
                <w:b/>
                <w:sz w:val="22"/>
                <w:szCs w:val="22"/>
              </w:rPr>
              <w:t>30</w:t>
            </w:r>
            <w:r w:rsidR="007F28ED">
              <w:rPr>
                <w:rFonts w:ascii="Arial" w:eastAsia="Calibri" w:hAnsi="Arial" w:cs="Arial"/>
                <w:b/>
                <w:sz w:val="22"/>
                <w:szCs w:val="22"/>
              </w:rPr>
              <w:t>5</w:t>
            </w:r>
            <w:r w:rsidR="00FB0BE9">
              <w:rPr>
                <w:rFonts w:ascii="Arial" w:eastAsia="Calibri" w:hAnsi="Arial" w:cs="Arial"/>
                <w:b/>
                <w:sz w:val="22"/>
                <w:szCs w:val="22"/>
              </w:rPr>
              <w:t>1</w:t>
            </w:r>
            <w:r w:rsidRPr="00267FAF">
              <w:rPr>
                <w:rFonts w:ascii="Arial" w:eastAsia="Calibri" w:hAnsi="Arial" w:cs="Arial"/>
                <w:b/>
                <w:sz w:val="22"/>
                <w:szCs w:val="22"/>
              </w:rPr>
              <w:t>, Artículo</w:t>
            </w:r>
            <w:r w:rsidR="00437F0F" w:rsidRPr="00267FAF">
              <w:rPr>
                <w:rFonts w:ascii="Arial" w:eastAsia="Calibri" w:hAnsi="Arial" w:cs="Arial"/>
                <w:b/>
                <w:sz w:val="22"/>
                <w:szCs w:val="22"/>
              </w:rPr>
              <w:t xml:space="preserve"> </w:t>
            </w:r>
            <w:r w:rsidR="000F5C99">
              <w:rPr>
                <w:rFonts w:ascii="Arial" w:eastAsia="Calibri" w:hAnsi="Arial" w:cs="Arial"/>
                <w:b/>
                <w:sz w:val="22"/>
                <w:szCs w:val="22"/>
              </w:rPr>
              <w:t>1</w:t>
            </w:r>
            <w:r w:rsidR="00FB0BE9">
              <w:rPr>
                <w:rFonts w:ascii="Arial" w:eastAsia="Calibri" w:hAnsi="Arial" w:cs="Arial"/>
                <w:b/>
                <w:sz w:val="22"/>
                <w:szCs w:val="22"/>
              </w:rPr>
              <w:t>7</w:t>
            </w:r>
            <w:r w:rsidR="00337455" w:rsidRPr="00267FAF">
              <w:rPr>
                <w:rFonts w:ascii="Arial" w:eastAsia="Calibri" w:hAnsi="Arial" w:cs="Arial"/>
                <w:b/>
                <w:sz w:val="22"/>
                <w:szCs w:val="22"/>
              </w:rPr>
              <w:t>,</w:t>
            </w:r>
            <w:r w:rsidRPr="00267FAF">
              <w:rPr>
                <w:rFonts w:ascii="Arial" w:eastAsia="Calibri" w:hAnsi="Arial" w:cs="Arial"/>
                <w:b/>
                <w:sz w:val="22"/>
                <w:szCs w:val="22"/>
              </w:rPr>
              <w:t xml:space="preserve"> del </w:t>
            </w:r>
            <w:r w:rsidR="00FB0BE9">
              <w:rPr>
                <w:rFonts w:ascii="Arial" w:eastAsia="Calibri" w:hAnsi="Arial" w:cs="Arial"/>
                <w:b/>
                <w:sz w:val="22"/>
                <w:szCs w:val="22"/>
              </w:rPr>
              <w:t>13</w:t>
            </w:r>
            <w:r w:rsidRPr="00267FAF">
              <w:rPr>
                <w:rFonts w:ascii="Arial" w:eastAsia="Calibri" w:hAnsi="Arial" w:cs="Arial"/>
                <w:b/>
                <w:sz w:val="22"/>
                <w:szCs w:val="22"/>
              </w:rPr>
              <w:t xml:space="preserve"> de </w:t>
            </w:r>
            <w:r w:rsidR="007F28ED">
              <w:rPr>
                <w:rFonts w:ascii="Arial" w:eastAsia="Calibri" w:hAnsi="Arial" w:cs="Arial"/>
                <w:b/>
                <w:sz w:val="22"/>
                <w:szCs w:val="22"/>
              </w:rPr>
              <w:t>dic</w:t>
            </w:r>
            <w:r w:rsidR="00841F61">
              <w:rPr>
                <w:rFonts w:ascii="Arial" w:eastAsia="Calibri" w:hAnsi="Arial" w:cs="Arial"/>
                <w:b/>
                <w:sz w:val="22"/>
                <w:szCs w:val="22"/>
              </w:rPr>
              <w:t>iem</w:t>
            </w:r>
            <w:r w:rsidR="00AA0A77">
              <w:rPr>
                <w:rFonts w:ascii="Arial" w:eastAsia="Calibri" w:hAnsi="Arial" w:cs="Arial"/>
                <w:b/>
                <w:sz w:val="22"/>
                <w:szCs w:val="22"/>
              </w:rPr>
              <w:t>bre</w:t>
            </w:r>
            <w:r w:rsidR="007A2D73" w:rsidRPr="00267FAF">
              <w:rPr>
                <w:rFonts w:ascii="Arial" w:eastAsia="Calibri" w:hAnsi="Arial" w:cs="Arial"/>
                <w:b/>
                <w:sz w:val="22"/>
                <w:szCs w:val="22"/>
              </w:rPr>
              <w:t xml:space="preserve"> </w:t>
            </w:r>
            <w:r w:rsidR="00A772EF" w:rsidRPr="00267FAF">
              <w:rPr>
                <w:rFonts w:ascii="Arial" w:eastAsia="Calibri" w:hAnsi="Arial" w:cs="Arial"/>
                <w:b/>
                <w:sz w:val="22"/>
                <w:szCs w:val="22"/>
              </w:rPr>
              <w:t>de 2017</w:t>
            </w:r>
            <w:r w:rsidR="00457DD8">
              <w:rPr>
                <w:rFonts w:ascii="Arial" w:eastAsia="Calibri" w:hAnsi="Arial" w:cs="Arial"/>
                <w:b/>
                <w:sz w:val="22"/>
                <w:szCs w:val="22"/>
              </w:rPr>
              <w:t xml:space="preserve">.  </w:t>
            </w:r>
            <w:r w:rsidR="00FB0BE9" w:rsidRPr="00FB0BE9">
              <w:rPr>
                <w:rFonts w:ascii="Arial" w:eastAsia="Cambria" w:hAnsi="Arial" w:cs="Arial"/>
                <w:b/>
                <w:bCs/>
                <w:sz w:val="22"/>
                <w:szCs w:val="22"/>
                <w:lang w:val="es-CR" w:eastAsia="en-US"/>
              </w:rPr>
              <w:t>Modificación de características de la Plaza NT 0216</w:t>
            </w:r>
          </w:p>
          <w:p w:rsidR="007F28ED" w:rsidRPr="007F1052" w:rsidRDefault="007F28ED" w:rsidP="007F28ED">
            <w:pPr>
              <w:pStyle w:val="Prrafodelista"/>
              <w:ind w:left="-31"/>
              <w:jc w:val="both"/>
              <w:rPr>
                <w:rFonts w:ascii="Arial" w:eastAsia="Cambria" w:hAnsi="Arial" w:cs="Arial"/>
                <w:b/>
                <w:sz w:val="20"/>
                <w:szCs w:val="20"/>
                <w:highlight w:val="yellow"/>
                <w:lang w:val="es-CR"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41439E" w:rsidRDefault="0041439E" w:rsidP="007742A1">
      <w:pPr>
        <w:jc w:val="both"/>
        <w:rPr>
          <w:rFonts w:ascii="Arial" w:eastAsia="Cambria" w:hAnsi="Arial" w:cs="Arial"/>
          <w:lang w:val="es-ES_tradnl" w:eastAsia="en-US"/>
        </w:rPr>
      </w:pPr>
    </w:p>
    <w:p w:rsidR="00CA6835" w:rsidRPr="00CA6835" w:rsidRDefault="00CA6835" w:rsidP="00CA6835">
      <w:pPr>
        <w:rPr>
          <w:rFonts w:ascii="Arial" w:hAnsi="Arial" w:cs="Arial"/>
          <w:b/>
        </w:rPr>
      </w:pPr>
      <w:r w:rsidRPr="00CA6835">
        <w:rPr>
          <w:rFonts w:ascii="Arial" w:hAnsi="Arial" w:cs="Arial"/>
          <w:b/>
        </w:rPr>
        <w:t>RESULTANDO QUE:</w:t>
      </w:r>
    </w:p>
    <w:p w:rsidR="00CA6835" w:rsidRPr="00CA6835" w:rsidRDefault="00CA6835" w:rsidP="00CA6835">
      <w:pPr>
        <w:rPr>
          <w:rFonts w:ascii="Arial" w:hAnsi="Arial" w:cs="Arial"/>
          <w:b/>
          <w:sz w:val="28"/>
        </w:rPr>
      </w:pPr>
    </w:p>
    <w:p w:rsidR="00CA6835" w:rsidRPr="00CA6835" w:rsidRDefault="00CA6835" w:rsidP="00A32191">
      <w:pPr>
        <w:numPr>
          <w:ilvl w:val="0"/>
          <w:numId w:val="3"/>
        </w:numPr>
        <w:contextualSpacing/>
        <w:jc w:val="both"/>
        <w:rPr>
          <w:rFonts w:ascii="Arial" w:eastAsia="Calibri" w:hAnsi="Arial" w:cs="Arial"/>
          <w:lang w:val="es-CR" w:eastAsia="en-US"/>
        </w:rPr>
      </w:pPr>
      <w:r w:rsidRPr="00CA6835">
        <w:rPr>
          <w:rFonts w:ascii="Arial" w:eastAsia="Calibri" w:hAnsi="Arial" w:cs="Arial"/>
          <w:lang w:val="es-CR" w:eastAsia="en-US"/>
        </w:rPr>
        <w:t>El Artículo 21 del Reglamento del Consejo Institucional indica lo siguiente:</w:t>
      </w:r>
    </w:p>
    <w:p w:rsidR="00CA6835" w:rsidRPr="00CA6835" w:rsidRDefault="00CA6835" w:rsidP="00CA6835">
      <w:pPr>
        <w:ind w:left="709"/>
        <w:jc w:val="both"/>
        <w:rPr>
          <w:rFonts w:ascii="Arial" w:eastAsia="Calibri" w:hAnsi="Arial" w:cs="Arial"/>
          <w:i/>
          <w:lang w:val="es-CR" w:eastAsia="en-US"/>
        </w:rPr>
      </w:pPr>
    </w:p>
    <w:p w:rsidR="00CA6835" w:rsidRPr="00CA6835" w:rsidRDefault="00CA6835" w:rsidP="00CA6835">
      <w:pPr>
        <w:ind w:left="993" w:right="333"/>
        <w:jc w:val="both"/>
        <w:rPr>
          <w:rFonts w:ascii="Arial" w:eastAsia="Calibri" w:hAnsi="Arial" w:cs="Arial"/>
          <w:i/>
          <w:lang w:val="es-CR" w:eastAsia="en-US"/>
        </w:rPr>
      </w:pPr>
      <w:r w:rsidRPr="00CA6835">
        <w:rPr>
          <w:rFonts w:ascii="Arial" w:eastAsia="Calibri" w:hAnsi="Arial" w:cs="Arial"/>
          <w:i/>
          <w:lang w:val="es-CR" w:eastAsia="en-US"/>
        </w:rPr>
        <w:t xml:space="preserve">Son asuntos propios del análisis y dictamen de la Comisión de Planificación y Administración según su competencia los siguientes: </w:t>
      </w:r>
    </w:p>
    <w:p w:rsidR="00CA6835" w:rsidRPr="00CA6835" w:rsidRDefault="00CA6835" w:rsidP="00CA6835">
      <w:pPr>
        <w:ind w:left="993" w:right="333"/>
        <w:jc w:val="both"/>
        <w:rPr>
          <w:rFonts w:ascii="Arial" w:eastAsia="Calibri" w:hAnsi="Arial" w:cs="Arial"/>
          <w:i/>
          <w:lang w:val="es-CR" w:eastAsia="en-US"/>
        </w:rPr>
      </w:pPr>
      <w:r w:rsidRPr="00CA6835">
        <w:rPr>
          <w:rFonts w:ascii="Arial" w:eastAsia="Calibri" w:hAnsi="Arial" w:cs="Arial"/>
          <w:i/>
          <w:lang w:val="es-CR" w:eastAsia="en-US"/>
        </w:rPr>
        <w:t>…</w:t>
      </w:r>
    </w:p>
    <w:p w:rsidR="00CA6835" w:rsidRPr="00CA6835" w:rsidRDefault="00CA6835" w:rsidP="00CA6835">
      <w:pPr>
        <w:ind w:left="993" w:right="333"/>
        <w:jc w:val="both"/>
        <w:rPr>
          <w:rFonts w:ascii="Arial" w:eastAsia="Calibri" w:hAnsi="Arial" w:cs="Arial"/>
          <w:i/>
          <w:lang w:val="es-CR" w:eastAsia="en-US"/>
        </w:rPr>
      </w:pPr>
      <w:r w:rsidRPr="00CA6835">
        <w:rPr>
          <w:rFonts w:ascii="Arial" w:eastAsia="Calibri" w:hAnsi="Arial" w:cs="Arial"/>
          <w:i/>
          <w:lang w:val="es-CR" w:eastAsia="en-US"/>
        </w:rPr>
        <w:t>c. La creación, modificación y eliminación de plazas.</w:t>
      </w:r>
    </w:p>
    <w:p w:rsidR="00CA6835" w:rsidRPr="00CA6835" w:rsidRDefault="00CA6835" w:rsidP="00CA6835">
      <w:pPr>
        <w:ind w:left="709"/>
        <w:jc w:val="both"/>
        <w:rPr>
          <w:rFonts w:ascii="Arial" w:eastAsia="Calibri" w:hAnsi="Arial" w:cs="Arial"/>
          <w:lang w:val="es-CR" w:eastAsia="en-US"/>
        </w:rPr>
      </w:pPr>
    </w:p>
    <w:p w:rsidR="00CA6835" w:rsidRPr="00CA6835" w:rsidRDefault="00CA6835" w:rsidP="00A32191">
      <w:pPr>
        <w:numPr>
          <w:ilvl w:val="0"/>
          <w:numId w:val="3"/>
        </w:numPr>
        <w:contextualSpacing/>
        <w:jc w:val="both"/>
        <w:rPr>
          <w:rFonts w:ascii="Arial" w:eastAsia="Calibri" w:hAnsi="Arial" w:cs="Arial"/>
          <w:lang w:val="es-CR" w:eastAsia="en-US"/>
        </w:rPr>
      </w:pPr>
      <w:r w:rsidRPr="00CA6835">
        <w:rPr>
          <w:rFonts w:ascii="Arial" w:eastAsia="Calibri" w:hAnsi="Arial" w:cs="Arial"/>
          <w:lang w:val="es-CR" w:eastAsia="en-US"/>
        </w:rPr>
        <w:t>Las Normas de Contratación y Remuneración del Personal del Instituto Tecnológico de Costa Rica, indican en su Artículo 2, inciso a, lo siguiente:</w:t>
      </w:r>
    </w:p>
    <w:p w:rsidR="00CA6835" w:rsidRPr="00CA6835" w:rsidRDefault="00CA6835" w:rsidP="00CA6835">
      <w:pPr>
        <w:ind w:left="708"/>
        <w:jc w:val="both"/>
        <w:rPr>
          <w:rFonts w:ascii="Arial" w:eastAsia="Calibri" w:hAnsi="Arial" w:cs="Arial"/>
          <w:lang w:val="es-CR" w:eastAsia="en-US"/>
        </w:rPr>
      </w:pPr>
    </w:p>
    <w:p w:rsidR="00CA6835" w:rsidRPr="00CA6835" w:rsidRDefault="00CA6835" w:rsidP="00CA6835">
      <w:pPr>
        <w:ind w:left="993" w:right="333"/>
        <w:jc w:val="both"/>
        <w:rPr>
          <w:rFonts w:ascii="Arial" w:eastAsia="Calibri" w:hAnsi="Arial" w:cs="Arial"/>
          <w:i/>
          <w:lang w:val="es-CR" w:eastAsia="en-US"/>
        </w:rPr>
      </w:pPr>
      <w:r w:rsidRPr="00CA6835">
        <w:rPr>
          <w:rFonts w:ascii="Arial" w:eastAsia="Calibri" w:hAnsi="Arial" w:cs="Arial"/>
          <w:i/>
          <w:lang w:val="es-CR" w:eastAsia="en-US"/>
        </w:rPr>
        <w:t>Las solicitudes para creación y modificación de plazas deberán ser presentadas al Rector por el Vicerrector respectivo o el Director de Sede o Centro Académico. Para ello se deberá presentar la justificación según el plan operativo, los programas y las funciones por realizar. Además, se presentarán: un dictamen elaborado por la Oficina de Planificación sobre el impacto presupuestario y académico, la concordancia con los lineamientos del Plan Anual Operativo y del Plan de Desarrollo Institucional y un estudio de la factibilidad de recursos para atender las solicitudes realizado por el Departamento Financiero Contable.</w:t>
      </w:r>
    </w:p>
    <w:p w:rsidR="00CA6835" w:rsidRPr="00CA6835" w:rsidRDefault="00CA6835" w:rsidP="00CA6835">
      <w:pPr>
        <w:ind w:left="426"/>
        <w:jc w:val="both"/>
        <w:rPr>
          <w:rFonts w:ascii="Arial" w:eastAsia="Calibri" w:hAnsi="Arial" w:cs="Arial"/>
          <w:lang w:val="es-CR" w:eastAsia="en-US"/>
        </w:rPr>
      </w:pPr>
    </w:p>
    <w:p w:rsidR="00CA6835" w:rsidRDefault="00CA6835" w:rsidP="00A32191">
      <w:pPr>
        <w:numPr>
          <w:ilvl w:val="0"/>
          <w:numId w:val="3"/>
        </w:numPr>
        <w:ind w:left="426"/>
        <w:contextualSpacing/>
        <w:jc w:val="both"/>
        <w:rPr>
          <w:rFonts w:ascii="Arial" w:eastAsia="Calibri" w:hAnsi="Arial" w:cs="Arial"/>
          <w:lang w:val="es-CR" w:eastAsia="en-US"/>
        </w:rPr>
      </w:pPr>
      <w:r w:rsidRPr="00CA6835">
        <w:rPr>
          <w:rFonts w:ascii="Arial" w:eastAsia="Calibri" w:hAnsi="Arial" w:cs="Arial"/>
          <w:lang w:val="es-CR" w:eastAsia="en-US"/>
        </w:rPr>
        <w:t>El Consejo Institucional aprobó, en la Sesión Ordinaria No. 2952, Artículo 10, del 11 de diciembre de 2015, la Renovación y Reconversión de plazas 2016 con Fondos FEES, y en su inciso a) se incluye la plaza NT0216, con las características del siguiente cuadro:</w:t>
      </w:r>
    </w:p>
    <w:p w:rsidR="0097227C" w:rsidRDefault="0097227C" w:rsidP="0097227C">
      <w:pPr>
        <w:contextualSpacing/>
        <w:jc w:val="both"/>
        <w:rPr>
          <w:rFonts w:ascii="Arial" w:eastAsia="Calibri" w:hAnsi="Arial" w:cs="Arial"/>
          <w:lang w:val="es-CR" w:eastAsia="en-US"/>
        </w:rPr>
      </w:pPr>
    </w:p>
    <w:p w:rsidR="0097227C" w:rsidRPr="00CA6835" w:rsidRDefault="0097227C" w:rsidP="0097227C">
      <w:pPr>
        <w:contextualSpacing/>
        <w:jc w:val="both"/>
        <w:rPr>
          <w:rFonts w:ascii="Arial" w:eastAsia="Calibri" w:hAnsi="Arial" w:cs="Arial"/>
          <w:lang w:val="es-CR" w:eastAsia="en-US"/>
        </w:rPr>
      </w:pPr>
    </w:p>
    <w:p w:rsidR="00CA6835" w:rsidRPr="00CA6835" w:rsidRDefault="00CA6835" w:rsidP="00CA6835">
      <w:pPr>
        <w:ind w:left="852"/>
        <w:jc w:val="both"/>
      </w:pPr>
      <w:bookmarkStart w:id="0" w:name="gjdgxs" w:colFirst="0" w:colLast="0"/>
      <w:bookmarkEnd w:id="0"/>
    </w:p>
    <w:tbl>
      <w:tblPr>
        <w:tblW w:w="560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705"/>
        <w:gridCol w:w="723"/>
        <w:gridCol w:w="1042"/>
        <w:gridCol w:w="955"/>
        <w:gridCol w:w="839"/>
        <w:gridCol w:w="821"/>
        <w:gridCol w:w="536"/>
        <w:gridCol w:w="1345"/>
        <w:gridCol w:w="1201"/>
        <w:gridCol w:w="1365"/>
      </w:tblGrid>
      <w:tr w:rsidR="00CA6835" w:rsidRPr="00CA6835" w:rsidTr="004411B2">
        <w:trPr>
          <w:trHeight w:val="873"/>
        </w:trPr>
        <w:tc>
          <w:tcPr>
            <w:tcW w:w="308" w:type="pct"/>
            <w:shd w:val="clear" w:color="auto" w:fill="2F75B5"/>
            <w:vAlign w:val="center"/>
          </w:tcPr>
          <w:p w:rsidR="00CA6835" w:rsidRPr="00CA6835" w:rsidRDefault="00CA6835" w:rsidP="00CA6835">
            <w:pPr>
              <w:jc w:val="center"/>
              <w:rPr>
                <w:b/>
                <w:sz w:val="16"/>
              </w:rPr>
            </w:pPr>
            <w:proofErr w:type="spellStart"/>
            <w:r w:rsidRPr="00CA6835">
              <w:rPr>
                <w:rFonts w:ascii="Arial" w:eastAsia="Arial" w:hAnsi="Arial" w:cs="Arial"/>
                <w:b/>
                <w:sz w:val="16"/>
                <w:szCs w:val="18"/>
              </w:rPr>
              <w:lastRenderedPageBreak/>
              <w:t>Prog</w:t>
            </w:r>
            <w:proofErr w:type="spellEnd"/>
            <w:r w:rsidRPr="00CA6835">
              <w:rPr>
                <w:rFonts w:ascii="Arial" w:eastAsia="Arial" w:hAnsi="Arial" w:cs="Arial"/>
                <w:b/>
                <w:sz w:val="16"/>
                <w:szCs w:val="18"/>
              </w:rPr>
              <w:t>.</w:t>
            </w:r>
          </w:p>
        </w:tc>
        <w:tc>
          <w:tcPr>
            <w:tcW w:w="347" w:type="pct"/>
            <w:shd w:val="clear" w:color="auto" w:fill="2F75B5"/>
            <w:vAlign w:val="center"/>
          </w:tcPr>
          <w:p w:rsidR="00CA6835" w:rsidRPr="00CA6835" w:rsidRDefault="00CA6835" w:rsidP="00CA6835">
            <w:pPr>
              <w:jc w:val="center"/>
              <w:rPr>
                <w:b/>
                <w:sz w:val="16"/>
              </w:rPr>
            </w:pPr>
            <w:r w:rsidRPr="00CA6835">
              <w:rPr>
                <w:rFonts w:ascii="Arial" w:eastAsia="Arial" w:hAnsi="Arial" w:cs="Arial"/>
                <w:b/>
                <w:sz w:val="16"/>
                <w:szCs w:val="18"/>
              </w:rPr>
              <w:t>Cód. plaza Actual</w:t>
            </w:r>
          </w:p>
        </w:tc>
        <w:tc>
          <w:tcPr>
            <w:tcW w:w="356" w:type="pct"/>
            <w:shd w:val="clear" w:color="auto" w:fill="2F75B5"/>
            <w:vAlign w:val="center"/>
          </w:tcPr>
          <w:p w:rsidR="00CA6835" w:rsidRPr="00CA6835" w:rsidRDefault="00CA6835" w:rsidP="00CA6835">
            <w:pPr>
              <w:jc w:val="center"/>
              <w:rPr>
                <w:b/>
                <w:sz w:val="16"/>
              </w:rPr>
            </w:pPr>
            <w:r w:rsidRPr="00CA6835">
              <w:rPr>
                <w:rFonts w:ascii="Calibri" w:eastAsia="Calibri" w:hAnsi="Calibri" w:cs="Calibri"/>
                <w:b/>
                <w:sz w:val="16"/>
                <w:szCs w:val="22"/>
              </w:rPr>
              <w:t>Nuevo</w:t>
            </w:r>
            <w:r w:rsidRPr="00CA6835">
              <w:rPr>
                <w:rFonts w:ascii="Calibri" w:eastAsia="Calibri" w:hAnsi="Calibri" w:cs="Calibri"/>
                <w:b/>
                <w:sz w:val="16"/>
                <w:szCs w:val="22"/>
              </w:rPr>
              <w:br/>
            </w:r>
            <w:proofErr w:type="spellStart"/>
            <w:r w:rsidRPr="00CA6835">
              <w:rPr>
                <w:rFonts w:ascii="Calibri" w:eastAsia="Calibri" w:hAnsi="Calibri" w:cs="Calibri"/>
                <w:b/>
                <w:sz w:val="16"/>
                <w:szCs w:val="22"/>
              </w:rPr>
              <w:t>Num</w:t>
            </w:r>
            <w:proofErr w:type="spellEnd"/>
            <w:r w:rsidRPr="00CA6835">
              <w:rPr>
                <w:rFonts w:ascii="Calibri" w:eastAsia="Calibri" w:hAnsi="Calibri" w:cs="Calibri"/>
                <w:b/>
                <w:sz w:val="16"/>
                <w:szCs w:val="22"/>
              </w:rPr>
              <w:t xml:space="preserve"> Plaza</w:t>
            </w:r>
          </w:p>
        </w:tc>
        <w:tc>
          <w:tcPr>
            <w:tcW w:w="513" w:type="pct"/>
            <w:shd w:val="clear" w:color="auto" w:fill="2F75B5"/>
            <w:vAlign w:val="center"/>
          </w:tcPr>
          <w:p w:rsidR="00CA6835" w:rsidRPr="00CA6835" w:rsidRDefault="00CA6835" w:rsidP="00CA6835">
            <w:pPr>
              <w:jc w:val="center"/>
              <w:rPr>
                <w:b/>
                <w:sz w:val="16"/>
              </w:rPr>
            </w:pPr>
            <w:r w:rsidRPr="00CA6835">
              <w:rPr>
                <w:rFonts w:ascii="Arial" w:eastAsia="Arial" w:hAnsi="Arial" w:cs="Arial"/>
                <w:b/>
                <w:sz w:val="16"/>
                <w:szCs w:val="18"/>
              </w:rPr>
              <w:t>Puesto</w:t>
            </w:r>
          </w:p>
        </w:tc>
        <w:tc>
          <w:tcPr>
            <w:tcW w:w="470" w:type="pct"/>
            <w:shd w:val="clear" w:color="auto" w:fill="2F75B5"/>
            <w:vAlign w:val="center"/>
          </w:tcPr>
          <w:p w:rsidR="00CA6835" w:rsidRPr="00CA6835" w:rsidRDefault="00CA6835" w:rsidP="00CA6835">
            <w:pPr>
              <w:jc w:val="center"/>
              <w:rPr>
                <w:b/>
                <w:sz w:val="16"/>
              </w:rPr>
            </w:pPr>
            <w:r w:rsidRPr="00CA6835">
              <w:rPr>
                <w:rFonts w:ascii="Arial" w:eastAsia="Arial" w:hAnsi="Arial" w:cs="Arial"/>
                <w:b/>
                <w:sz w:val="16"/>
                <w:szCs w:val="16"/>
              </w:rPr>
              <w:t>Categoría</w:t>
            </w:r>
          </w:p>
        </w:tc>
        <w:tc>
          <w:tcPr>
            <w:tcW w:w="413" w:type="pct"/>
            <w:shd w:val="clear" w:color="auto" w:fill="2F75B5"/>
            <w:vAlign w:val="center"/>
          </w:tcPr>
          <w:p w:rsidR="00CA6835" w:rsidRPr="00CA6835" w:rsidRDefault="00CA6835" w:rsidP="00CA6835">
            <w:pPr>
              <w:jc w:val="center"/>
              <w:rPr>
                <w:b/>
                <w:sz w:val="16"/>
              </w:rPr>
            </w:pPr>
            <w:r w:rsidRPr="00CA6835">
              <w:rPr>
                <w:rFonts w:ascii="Arial" w:eastAsia="Arial" w:hAnsi="Arial" w:cs="Arial"/>
                <w:b/>
                <w:sz w:val="16"/>
                <w:szCs w:val="18"/>
              </w:rPr>
              <w:t>Jornada</w:t>
            </w:r>
          </w:p>
        </w:tc>
        <w:tc>
          <w:tcPr>
            <w:tcW w:w="404" w:type="pct"/>
            <w:shd w:val="clear" w:color="auto" w:fill="2F75B5"/>
            <w:vAlign w:val="center"/>
          </w:tcPr>
          <w:p w:rsidR="00CA6835" w:rsidRPr="00CA6835" w:rsidRDefault="00CA6835" w:rsidP="00CA6835">
            <w:pPr>
              <w:jc w:val="center"/>
              <w:rPr>
                <w:b/>
                <w:sz w:val="16"/>
              </w:rPr>
            </w:pPr>
            <w:r w:rsidRPr="00CA6835">
              <w:rPr>
                <w:rFonts w:ascii="Arial" w:eastAsia="Arial" w:hAnsi="Arial" w:cs="Arial"/>
                <w:b/>
                <w:sz w:val="16"/>
                <w:szCs w:val="18"/>
              </w:rPr>
              <w:t>Periodo (meses)</w:t>
            </w:r>
          </w:p>
        </w:tc>
        <w:tc>
          <w:tcPr>
            <w:tcW w:w="264" w:type="pct"/>
            <w:shd w:val="clear" w:color="auto" w:fill="2F75B5"/>
            <w:vAlign w:val="center"/>
          </w:tcPr>
          <w:p w:rsidR="00CA6835" w:rsidRPr="00CA6835" w:rsidRDefault="00CA6835" w:rsidP="00CA6835">
            <w:pPr>
              <w:jc w:val="center"/>
              <w:rPr>
                <w:b/>
                <w:sz w:val="16"/>
              </w:rPr>
            </w:pPr>
            <w:r w:rsidRPr="00CA6835">
              <w:rPr>
                <w:rFonts w:ascii="Arial" w:eastAsia="Arial" w:hAnsi="Arial" w:cs="Arial"/>
                <w:b/>
                <w:sz w:val="16"/>
                <w:szCs w:val="18"/>
              </w:rPr>
              <w:t>TCE</w:t>
            </w:r>
          </w:p>
        </w:tc>
        <w:tc>
          <w:tcPr>
            <w:tcW w:w="662" w:type="pct"/>
            <w:shd w:val="clear" w:color="auto" w:fill="2F75B5"/>
            <w:vAlign w:val="center"/>
          </w:tcPr>
          <w:p w:rsidR="00CA6835" w:rsidRPr="00CA6835" w:rsidRDefault="00CA6835" w:rsidP="00CA6835">
            <w:pPr>
              <w:jc w:val="center"/>
              <w:rPr>
                <w:b/>
                <w:sz w:val="16"/>
              </w:rPr>
            </w:pPr>
            <w:r w:rsidRPr="00CA6835">
              <w:rPr>
                <w:rFonts w:ascii="Arial" w:eastAsia="Arial" w:hAnsi="Arial" w:cs="Arial"/>
                <w:b/>
                <w:sz w:val="16"/>
                <w:szCs w:val="18"/>
              </w:rPr>
              <w:t>Nombramiento</w:t>
            </w:r>
          </w:p>
        </w:tc>
        <w:tc>
          <w:tcPr>
            <w:tcW w:w="591" w:type="pct"/>
            <w:shd w:val="clear" w:color="auto" w:fill="2F75B5"/>
            <w:vAlign w:val="center"/>
          </w:tcPr>
          <w:p w:rsidR="00CA6835" w:rsidRPr="00CA6835" w:rsidRDefault="00CA6835" w:rsidP="00CA6835">
            <w:pPr>
              <w:jc w:val="center"/>
              <w:rPr>
                <w:b/>
                <w:sz w:val="16"/>
              </w:rPr>
            </w:pPr>
            <w:r w:rsidRPr="00CA6835">
              <w:rPr>
                <w:rFonts w:ascii="Arial" w:eastAsia="Arial" w:hAnsi="Arial" w:cs="Arial"/>
                <w:b/>
                <w:sz w:val="16"/>
                <w:szCs w:val="18"/>
              </w:rPr>
              <w:t>Adscrita a:</w:t>
            </w:r>
          </w:p>
        </w:tc>
        <w:tc>
          <w:tcPr>
            <w:tcW w:w="672" w:type="pct"/>
            <w:shd w:val="clear" w:color="auto" w:fill="2F75B5"/>
            <w:vAlign w:val="center"/>
          </w:tcPr>
          <w:p w:rsidR="00CA6835" w:rsidRPr="00CA6835" w:rsidRDefault="00CA6835" w:rsidP="00CA6835">
            <w:pPr>
              <w:jc w:val="center"/>
              <w:rPr>
                <w:b/>
                <w:sz w:val="16"/>
              </w:rPr>
            </w:pPr>
            <w:r w:rsidRPr="00CA6835">
              <w:rPr>
                <w:rFonts w:ascii="Arial" w:eastAsia="Arial" w:hAnsi="Arial" w:cs="Arial"/>
                <w:b/>
                <w:sz w:val="16"/>
                <w:szCs w:val="18"/>
              </w:rPr>
              <w:t>Observaciones</w:t>
            </w:r>
          </w:p>
        </w:tc>
      </w:tr>
      <w:tr w:rsidR="00CA6835" w:rsidRPr="00CA6835" w:rsidTr="004411B2">
        <w:trPr>
          <w:trHeight w:val="720"/>
        </w:trPr>
        <w:tc>
          <w:tcPr>
            <w:tcW w:w="308" w:type="pct"/>
            <w:vAlign w:val="center"/>
          </w:tcPr>
          <w:p w:rsidR="00CA6835" w:rsidRPr="00CA6835" w:rsidRDefault="00CA6835" w:rsidP="00CA6835">
            <w:pPr>
              <w:jc w:val="center"/>
              <w:rPr>
                <w:sz w:val="16"/>
              </w:rPr>
            </w:pPr>
            <w:r w:rsidRPr="00CA6835">
              <w:rPr>
                <w:rFonts w:ascii="Calibri" w:eastAsia="Calibri" w:hAnsi="Calibri" w:cs="Calibri"/>
                <w:sz w:val="16"/>
                <w:szCs w:val="18"/>
              </w:rPr>
              <w:t>1.1</w:t>
            </w:r>
          </w:p>
        </w:tc>
        <w:tc>
          <w:tcPr>
            <w:tcW w:w="347" w:type="pct"/>
            <w:vAlign w:val="center"/>
          </w:tcPr>
          <w:p w:rsidR="00CA6835" w:rsidRPr="00CA6835" w:rsidRDefault="00CA6835" w:rsidP="00CA6835">
            <w:pPr>
              <w:jc w:val="center"/>
              <w:rPr>
                <w:sz w:val="16"/>
              </w:rPr>
            </w:pPr>
            <w:r w:rsidRPr="00CA6835">
              <w:rPr>
                <w:rFonts w:ascii="Calibri" w:eastAsia="Calibri" w:hAnsi="Calibri" w:cs="Calibri"/>
                <w:sz w:val="16"/>
                <w:szCs w:val="22"/>
              </w:rPr>
              <w:t>CT0247</w:t>
            </w:r>
          </w:p>
        </w:tc>
        <w:tc>
          <w:tcPr>
            <w:tcW w:w="356" w:type="pct"/>
            <w:vAlign w:val="center"/>
          </w:tcPr>
          <w:p w:rsidR="00CA6835" w:rsidRPr="00CA6835" w:rsidRDefault="00CA6835" w:rsidP="00CA6835">
            <w:pPr>
              <w:jc w:val="center"/>
              <w:rPr>
                <w:sz w:val="16"/>
              </w:rPr>
            </w:pPr>
            <w:r w:rsidRPr="00CA6835">
              <w:rPr>
                <w:rFonts w:ascii="Calibri" w:eastAsia="Calibri" w:hAnsi="Calibri" w:cs="Calibri"/>
                <w:sz w:val="16"/>
                <w:szCs w:val="22"/>
              </w:rPr>
              <w:t>NT0216</w:t>
            </w:r>
          </w:p>
        </w:tc>
        <w:tc>
          <w:tcPr>
            <w:tcW w:w="513" w:type="pct"/>
            <w:vAlign w:val="center"/>
          </w:tcPr>
          <w:p w:rsidR="00CA6835" w:rsidRPr="00CA6835" w:rsidRDefault="00CA6835" w:rsidP="00CA6835">
            <w:pPr>
              <w:rPr>
                <w:sz w:val="16"/>
              </w:rPr>
            </w:pPr>
            <w:r w:rsidRPr="00CA6835">
              <w:rPr>
                <w:rFonts w:ascii="Calibri" w:eastAsia="Calibri" w:hAnsi="Calibri" w:cs="Calibri"/>
                <w:sz w:val="16"/>
                <w:szCs w:val="18"/>
              </w:rPr>
              <w:t>Profesional en Ingeniería o Arquitectura</w:t>
            </w:r>
          </w:p>
        </w:tc>
        <w:tc>
          <w:tcPr>
            <w:tcW w:w="470" w:type="pct"/>
            <w:vAlign w:val="center"/>
          </w:tcPr>
          <w:p w:rsidR="00CA6835" w:rsidRPr="00CA6835" w:rsidRDefault="00CA6835" w:rsidP="00CA6835">
            <w:pPr>
              <w:jc w:val="center"/>
              <w:rPr>
                <w:sz w:val="16"/>
              </w:rPr>
            </w:pPr>
            <w:r w:rsidRPr="00CA6835">
              <w:rPr>
                <w:rFonts w:ascii="Calibri" w:eastAsia="Calibri" w:hAnsi="Calibri" w:cs="Calibri"/>
                <w:sz w:val="16"/>
                <w:szCs w:val="18"/>
              </w:rPr>
              <w:t>23</w:t>
            </w:r>
          </w:p>
        </w:tc>
        <w:tc>
          <w:tcPr>
            <w:tcW w:w="413" w:type="pct"/>
            <w:vAlign w:val="center"/>
          </w:tcPr>
          <w:p w:rsidR="00CA6835" w:rsidRPr="00CA6835" w:rsidRDefault="00CA6835" w:rsidP="00CA6835">
            <w:pPr>
              <w:jc w:val="center"/>
              <w:rPr>
                <w:sz w:val="16"/>
              </w:rPr>
            </w:pPr>
            <w:r w:rsidRPr="00CA6835">
              <w:rPr>
                <w:rFonts w:ascii="Calibri" w:eastAsia="Calibri" w:hAnsi="Calibri" w:cs="Calibri"/>
                <w:sz w:val="16"/>
                <w:szCs w:val="18"/>
              </w:rPr>
              <w:t>100%</w:t>
            </w:r>
          </w:p>
        </w:tc>
        <w:tc>
          <w:tcPr>
            <w:tcW w:w="404" w:type="pct"/>
            <w:vAlign w:val="center"/>
          </w:tcPr>
          <w:p w:rsidR="00CA6835" w:rsidRPr="00CA6835" w:rsidRDefault="00CA6835" w:rsidP="00CA6835">
            <w:pPr>
              <w:jc w:val="center"/>
              <w:rPr>
                <w:sz w:val="16"/>
              </w:rPr>
            </w:pPr>
            <w:r w:rsidRPr="00CA6835">
              <w:rPr>
                <w:rFonts w:ascii="Calibri" w:eastAsia="Calibri" w:hAnsi="Calibri" w:cs="Calibri"/>
                <w:sz w:val="16"/>
                <w:szCs w:val="18"/>
              </w:rPr>
              <w:t>12</w:t>
            </w:r>
          </w:p>
        </w:tc>
        <w:tc>
          <w:tcPr>
            <w:tcW w:w="264" w:type="pct"/>
            <w:vAlign w:val="center"/>
          </w:tcPr>
          <w:p w:rsidR="00CA6835" w:rsidRPr="00CA6835" w:rsidRDefault="00CA6835" w:rsidP="00CA6835">
            <w:pPr>
              <w:jc w:val="center"/>
              <w:rPr>
                <w:sz w:val="16"/>
              </w:rPr>
            </w:pPr>
            <w:r w:rsidRPr="00CA6835">
              <w:rPr>
                <w:rFonts w:ascii="Calibri" w:eastAsia="Calibri" w:hAnsi="Calibri" w:cs="Calibri"/>
                <w:sz w:val="16"/>
                <w:szCs w:val="18"/>
              </w:rPr>
              <w:t>1,00</w:t>
            </w:r>
          </w:p>
        </w:tc>
        <w:tc>
          <w:tcPr>
            <w:tcW w:w="662" w:type="pct"/>
            <w:vAlign w:val="center"/>
          </w:tcPr>
          <w:p w:rsidR="00CA6835" w:rsidRPr="00CA6835" w:rsidRDefault="00CA6835" w:rsidP="00CA6835">
            <w:pPr>
              <w:jc w:val="center"/>
              <w:rPr>
                <w:sz w:val="16"/>
              </w:rPr>
            </w:pPr>
            <w:r w:rsidRPr="00CA6835">
              <w:rPr>
                <w:rFonts w:ascii="Calibri" w:eastAsia="Calibri" w:hAnsi="Calibri" w:cs="Calibri"/>
                <w:sz w:val="16"/>
                <w:szCs w:val="18"/>
              </w:rPr>
              <w:t>Permanente NT</w:t>
            </w:r>
          </w:p>
        </w:tc>
        <w:tc>
          <w:tcPr>
            <w:tcW w:w="591" w:type="pct"/>
            <w:vAlign w:val="center"/>
          </w:tcPr>
          <w:p w:rsidR="00CA6835" w:rsidRPr="00CA6835" w:rsidRDefault="00CA6835" w:rsidP="00CA6835">
            <w:pPr>
              <w:rPr>
                <w:sz w:val="16"/>
              </w:rPr>
            </w:pPr>
            <w:r w:rsidRPr="00CA6835">
              <w:rPr>
                <w:rFonts w:ascii="Calibri" w:eastAsia="Calibri" w:hAnsi="Calibri" w:cs="Calibri"/>
                <w:sz w:val="16"/>
                <w:szCs w:val="18"/>
              </w:rPr>
              <w:t>Vicerrectoría de Administración</w:t>
            </w:r>
          </w:p>
        </w:tc>
        <w:tc>
          <w:tcPr>
            <w:tcW w:w="672" w:type="pct"/>
            <w:vAlign w:val="center"/>
          </w:tcPr>
          <w:p w:rsidR="00CA6835" w:rsidRPr="00CA6835" w:rsidRDefault="00CA6835" w:rsidP="00CA6835">
            <w:pPr>
              <w:rPr>
                <w:sz w:val="16"/>
              </w:rPr>
            </w:pPr>
            <w:r w:rsidRPr="00CA6835">
              <w:rPr>
                <w:rFonts w:ascii="Calibri" w:eastAsia="Calibri" w:hAnsi="Calibri" w:cs="Calibri"/>
                <w:sz w:val="16"/>
                <w:szCs w:val="18"/>
              </w:rPr>
              <w:t>Será de nombramiento discrecional del Vicerrector.</w:t>
            </w:r>
            <w:r w:rsidRPr="00CA6835">
              <w:rPr>
                <w:rFonts w:ascii="Calibri" w:eastAsia="Calibri" w:hAnsi="Calibri" w:cs="Calibri"/>
                <w:sz w:val="16"/>
                <w:szCs w:val="18"/>
              </w:rPr>
              <w:br/>
              <w:t>Se modifica según oficio VAD-650-2015</w:t>
            </w:r>
            <w:r w:rsidRPr="00CA6835">
              <w:rPr>
                <w:rFonts w:ascii="Calibri" w:eastAsia="Calibri" w:hAnsi="Calibri" w:cs="Calibri"/>
                <w:sz w:val="16"/>
                <w:szCs w:val="18"/>
              </w:rPr>
              <w:br/>
              <w:t>Unidad de Gestión Integrada</w:t>
            </w:r>
          </w:p>
        </w:tc>
      </w:tr>
    </w:tbl>
    <w:p w:rsidR="00CA6835" w:rsidRPr="00CA6835" w:rsidRDefault="00CA6835" w:rsidP="00CA6835">
      <w:pPr>
        <w:ind w:left="426"/>
        <w:rPr>
          <w:rFonts w:ascii="Arial" w:hAnsi="Arial" w:cs="Arial"/>
        </w:rPr>
      </w:pPr>
    </w:p>
    <w:p w:rsidR="00CA6835" w:rsidRPr="00CA6835" w:rsidRDefault="00CA6835" w:rsidP="00CA6835">
      <w:pPr>
        <w:ind w:left="426"/>
        <w:rPr>
          <w:rFonts w:ascii="Arial" w:hAnsi="Arial" w:cs="Arial"/>
        </w:rPr>
      </w:pPr>
      <w:r w:rsidRPr="00CA6835">
        <w:rPr>
          <w:rFonts w:ascii="Arial" w:hAnsi="Arial" w:cs="Arial"/>
        </w:rPr>
        <w:t xml:space="preserve">En ese acuerdo se indica, en el inciso b), lo siguiente: </w:t>
      </w:r>
    </w:p>
    <w:p w:rsidR="00CA6835" w:rsidRPr="00CA6835" w:rsidRDefault="00CA6835" w:rsidP="00CA6835">
      <w:pPr>
        <w:ind w:left="426"/>
        <w:rPr>
          <w:rFonts w:ascii="Arial" w:hAnsi="Arial" w:cs="Arial"/>
        </w:rPr>
      </w:pPr>
    </w:p>
    <w:p w:rsidR="00CA6835" w:rsidRPr="00CA6835" w:rsidRDefault="00CA6835" w:rsidP="00CA6835">
      <w:pPr>
        <w:ind w:left="993" w:right="191" w:hanging="285"/>
        <w:jc w:val="both"/>
        <w:rPr>
          <w:rFonts w:ascii="Arial" w:eastAsia="Calibri" w:hAnsi="Arial" w:cs="Arial"/>
          <w:i/>
          <w:sz w:val="22"/>
          <w:szCs w:val="22"/>
          <w:lang w:val="es-CR" w:eastAsia="en-US"/>
        </w:rPr>
      </w:pPr>
      <w:r w:rsidRPr="00CA6835">
        <w:rPr>
          <w:rFonts w:ascii="Arial" w:eastAsia="Calibri" w:hAnsi="Arial" w:cs="Arial"/>
          <w:i/>
          <w:sz w:val="22"/>
          <w:szCs w:val="22"/>
          <w:lang w:val="es-CR" w:eastAsia="en-US"/>
        </w:rPr>
        <w:t>b. Recordar a la Administración que la modificación de cualquiera de las condiciones de estas plazas, sólo puede hacerse por parte del Consejo Institucional.</w:t>
      </w:r>
    </w:p>
    <w:p w:rsidR="00CA6835" w:rsidRPr="00CA6835" w:rsidRDefault="00CA6835" w:rsidP="00CA6835">
      <w:pPr>
        <w:ind w:left="425"/>
        <w:rPr>
          <w:rFonts w:ascii="Arial" w:hAnsi="Arial" w:cs="Arial"/>
        </w:rPr>
      </w:pPr>
    </w:p>
    <w:p w:rsidR="00CA6835" w:rsidRPr="00CA6835" w:rsidRDefault="00CA6835" w:rsidP="00A32191">
      <w:pPr>
        <w:numPr>
          <w:ilvl w:val="0"/>
          <w:numId w:val="3"/>
        </w:numPr>
        <w:ind w:left="426"/>
        <w:contextualSpacing/>
        <w:jc w:val="both"/>
        <w:rPr>
          <w:rFonts w:ascii="Arial" w:eastAsia="Calibri" w:hAnsi="Arial" w:cs="Arial"/>
          <w:bCs/>
          <w:lang w:val="es-ES_tradnl" w:eastAsia="en-US"/>
        </w:rPr>
      </w:pPr>
      <w:r w:rsidRPr="00CA6835">
        <w:rPr>
          <w:rFonts w:ascii="Arial" w:eastAsia="Calibri" w:hAnsi="Arial" w:cs="Arial"/>
          <w:lang w:val="es-CR" w:eastAsia="en-US"/>
        </w:rPr>
        <w:t xml:space="preserve">El Consejo Institucional, en la Sesión Ordinaria No. 3004, Artículo 12, del 14 de diciembre de 2016, acordó aprobar el Plan Estratégico Institucional 2017-2021, el que incluye en la categoría de estratégico el </w:t>
      </w:r>
      <w:r w:rsidRPr="00CA6835">
        <w:rPr>
          <w:rFonts w:ascii="Arial" w:eastAsia="Calibri" w:hAnsi="Arial" w:cs="Arial"/>
          <w:i/>
          <w:lang w:val="es-CR" w:eastAsia="en-US"/>
        </w:rPr>
        <w:t>“</w:t>
      </w:r>
      <w:r w:rsidRPr="00CA6835">
        <w:rPr>
          <w:rFonts w:ascii="Arial" w:eastAsia="Calibri" w:hAnsi="Arial" w:cs="Arial"/>
          <w:lang w:val="es-CR" w:eastAsia="en-US"/>
        </w:rPr>
        <w:t>Proyecto de Implementación del Modelo de Excelencia en la Gestión</w:t>
      </w:r>
      <w:r w:rsidRPr="00CA6835">
        <w:rPr>
          <w:rFonts w:ascii="Arial" w:eastAsia="Calibri" w:hAnsi="Arial" w:cs="Arial"/>
          <w:i/>
          <w:lang w:val="es-CR" w:eastAsia="en-US"/>
        </w:rPr>
        <w:t xml:space="preserve">”, </w:t>
      </w:r>
      <w:r w:rsidRPr="00CA6835">
        <w:rPr>
          <w:rFonts w:ascii="Arial" w:eastAsia="Calibri" w:hAnsi="Arial" w:cs="Arial"/>
          <w:lang w:val="es-CR" w:eastAsia="en-US"/>
        </w:rPr>
        <w:t>con el fin de asegurar la calidad de los servicios que presta la Institución se pretende implementar el Modelo de Excelencia Iberoamericano en el Tecnológico de Costa Rica.</w:t>
      </w:r>
    </w:p>
    <w:p w:rsidR="00CA6835" w:rsidRPr="00CA6835" w:rsidRDefault="00CA6835" w:rsidP="00CA6835">
      <w:pPr>
        <w:ind w:left="2160"/>
        <w:jc w:val="both"/>
        <w:rPr>
          <w:rFonts w:ascii="Arial" w:eastAsia="Calibri" w:hAnsi="Arial" w:cs="Arial"/>
          <w:bCs/>
          <w:lang w:val="es-ES_tradnl" w:eastAsia="en-US"/>
        </w:rPr>
      </w:pPr>
    </w:p>
    <w:p w:rsidR="00CA6835" w:rsidRPr="00CA6835" w:rsidRDefault="00CA6835" w:rsidP="00A32191">
      <w:pPr>
        <w:numPr>
          <w:ilvl w:val="0"/>
          <w:numId w:val="3"/>
        </w:numPr>
        <w:ind w:left="426"/>
        <w:contextualSpacing/>
        <w:jc w:val="both"/>
        <w:rPr>
          <w:rFonts w:ascii="Arial" w:eastAsia="Calibri" w:hAnsi="Arial" w:cs="Arial"/>
          <w:lang w:val="es-CR" w:eastAsia="en-US"/>
        </w:rPr>
      </w:pPr>
      <w:r w:rsidRPr="00CA6835">
        <w:rPr>
          <w:rFonts w:ascii="Arial" w:eastAsia="Calibri" w:hAnsi="Arial" w:cs="Arial"/>
          <w:lang w:val="es-CR" w:eastAsia="en-US"/>
        </w:rPr>
        <w:t>La Segunda Convención Colectiva de Trabajo y sus Reformas establece, en los artículos 27 y 28, lo siguiente:</w:t>
      </w:r>
    </w:p>
    <w:p w:rsidR="00CA6835" w:rsidRPr="00CA6835" w:rsidRDefault="00CA6835" w:rsidP="00CA6835">
      <w:pPr>
        <w:ind w:left="2160"/>
        <w:jc w:val="both"/>
        <w:rPr>
          <w:rFonts w:ascii="Arial" w:eastAsia="Calibri" w:hAnsi="Arial" w:cs="Arial"/>
          <w:bCs/>
          <w:lang w:val="es-ES_tradnl" w:eastAsia="en-US"/>
        </w:rPr>
      </w:pPr>
    </w:p>
    <w:p w:rsidR="00CA6835" w:rsidRPr="00CA6835" w:rsidRDefault="00CA6835" w:rsidP="00CA6835">
      <w:pPr>
        <w:ind w:left="993" w:right="333"/>
        <w:jc w:val="both"/>
        <w:rPr>
          <w:rFonts w:ascii="Arial" w:eastAsia="Calibri" w:hAnsi="Arial" w:cs="Arial"/>
          <w:i/>
          <w:sz w:val="22"/>
          <w:szCs w:val="22"/>
          <w:lang w:val="es-CR" w:eastAsia="en-US"/>
        </w:rPr>
      </w:pPr>
      <w:r w:rsidRPr="00CA6835">
        <w:rPr>
          <w:rFonts w:ascii="Arial" w:eastAsia="Calibri" w:hAnsi="Arial" w:cs="Arial"/>
          <w:i/>
          <w:sz w:val="22"/>
          <w:szCs w:val="22"/>
          <w:lang w:val="es-CR" w:eastAsia="en-US"/>
        </w:rPr>
        <w:t xml:space="preserve">Artículo 27 </w:t>
      </w:r>
    </w:p>
    <w:p w:rsidR="00CA6835" w:rsidRPr="00CA6835" w:rsidRDefault="00CA6835" w:rsidP="00CA6835">
      <w:pPr>
        <w:ind w:left="993" w:right="333"/>
        <w:jc w:val="both"/>
        <w:rPr>
          <w:rFonts w:ascii="Arial" w:eastAsia="Calibri" w:hAnsi="Arial" w:cs="Arial"/>
          <w:i/>
          <w:sz w:val="22"/>
          <w:szCs w:val="22"/>
          <w:lang w:val="es-CR" w:eastAsia="en-US"/>
        </w:rPr>
      </w:pPr>
    </w:p>
    <w:p w:rsidR="00CA6835" w:rsidRPr="00CA6835" w:rsidRDefault="00CA6835" w:rsidP="00CA6835">
      <w:pPr>
        <w:ind w:left="993" w:right="333"/>
        <w:jc w:val="both"/>
        <w:rPr>
          <w:rFonts w:ascii="Arial" w:eastAsia="Calibri" w:hAnsi="Arial" w:cs="Arial"/>
          <w:i/>
          <w:sz w:val="22"/>
          <w:szCs w:val="22"/>
          <w:lang w:val="es-CR" w:eastAsia="en-US"/>
        </w:rPr>
      </w:pPr>
      <w:r w:rsidRPr="00CA6835">
        <w:rPr>
          <w:rFonts w:ascii="Arial" w:eastAsia="Calibri" w:hAnsi="Arial" w:cs="Arial"/>
          <w:i/>
          <w:sz w:val="22"/>
          <w:szCs w:val="22"/>
          <w:lang w:val="es-CR" w:eastAsia="en-US"/>
        </w:rPr>
        <w:t xml:space="preserve">El Instituto promoverá la carrera laboral con el fin de dar oportunidad a aquellos funcionarios que hayan hecho méritos en el desarrollo de sus labores, utilizando los mecanismos establecidos en esta Convención y la reglamentación que para tal fin emita el Instituto. </w:t>
      </w:r>
      <w:r w:rsidRPr="00CA6835">
        <w:rPr>
          <w:rFonts w:ascii="Arial" w:eastAsia="Calibri" w:hAnsi="Arial" w:cs="Arial"/>
          <w:i/>
          <w:sz w:val="22"/>
          <w:szCs w:val="22"/>
          <w:u w:val="single"/>
          <w:lang w:val="es-CR" w:eastAsia="en-US"/>
        </w:rPr>
        <w:t xml:space="preserve">Obligatoriamente toda plaza nueva o que haya quedado vacante por tiempo indefinido será llenada mediante concurso de antecedentes, salvo los casos expresamente señalados en el Estatuto Orgánico, y el encargado de </w:t>
      </w:r>
      <w:smartTag w:uri="urn:schemas-microsoft-com:office:smarttags" w:element="PersonName">
        <w:smartTagPr>
          <w:attr w:name="ProductID" w:val="la Secretar￭a"/>
        </w:smartTagPr>
        <w:r w:rsidRPr="00CA6835">
          <w:rPr>
            <w:rFonts w:ascii="Arial" w:eastAsia="Calibri" w:hAnsi="Arial" w:cs="Arial"/>
            <w:i/>
            <w:sz w:val="22"/>
            <w:szCs w:val="22"/>
            <w:u w:val="single"/>
            <w:lang w:val="es-CR" w:eastAsia="en-US"/>
          </w:rPr>
          <w:t>la Secretaría</w:t>
        </w:r>
      </w:smartTag>
      <w:r w:rsidRPr="00CA6835">
        <w:rPr>
          <w:rFonts w:ascii="Arial" w:eastAsia="Calibri" w:hAnsi="Arial" w:cs="Arial"/>
          <w:i/>
          <w:sz w:val="22"/>
          <w:szCs w:val="22"/>
          <w:u w:val="single"/>
          <w:lang w:val="es-CR" w:eastAsia="en-US"/>
        </w:rPr>
        <w:t xml:space="preserve"> del Consejo Institucional y el Director de </w:t>
      </w:r>
      <w:smartTag w:uri="urn:schemas-microsoft-com:office:smarttags" w:element="PersonName">
        <w:smartTagPr>
          <w:attr w:name="ProductID" w:val="la Oficina"/>
        </w:smartTagPr>
        <w:r w:rsidRPr="00CA6835">
          <w:rPr>
            <w:rFonts w:ascii="Arial" w:eastAsia="Calibri" w:hAnsi="Arial" w:cs="Arial"/>
            <w:i/>
            <w:sz w:val="22"/>
            <w:szCs w:val="22"/>
            <w:u w:val="single"/>
            <w:lang w:val="es-CR" w:eastAsia="en-US"/>
          </w:rPr>
          <w:t>la Oficina</w:t>
        </w:r>
      </w:smartTag>
      <w:r w:rsidRPr="00CA6835">
        <w:rPr>
          <w:rFonts w:ascii="Arial" w:eastAsia="Calibri" w:hAnsi="Arial" w:cs="Arial"/>
          <w:i/>
          <w:sz w:val="22"/>
          <w:szCs w:val="22"/>
          <w:u w:val="single"/>
          <w:lang w:val="es-CR" w:eastAsia="en-US"/>
        </w:rPr>
        <w:t xml:space="preserve"> de Prensa</w:t>
      </w:r>
      <w:r w:rsidRPr="00CA6835">
        <w:rPr>
          <w:rFonts w:ascii="Arial" w:eastAsia="Calibri" w:hAnsi="Arial" w:cs="Arial"/>
          <w:i/>
          <w:sz w:val="22"/>
          <w:szCs w:val="22"/>
          <w:lang w:val="es-CR" w:eastAsia="en-US"/>
        </w:rPr>
        <w:t>. (Destacado no es del original)</w:t>
      </w:r>
    </w:p>
    <w:p w:rsidR="00CA6835" w:rsidRPr="00CA6835" w:rsidRDefault="00CA6835" w:rsidP="00CA6835">
      <w:pPr>
        <w:jc w:val="both"/>
        <w:rPr>
          <w:i/>
          <w:sz w:val="22"/>
          <w:szCs w:val="22"/>
        </w:rPr>
      </w:pPr>
    </w:p>
    <w:p w:rsidR="00CA6835" w:rsidRPr="00CA6835" w:rsidRDefault="00CA6835" w:rsidP="00CA6835">
      <w:pPr>
        <w:ind w:left="993" w:right="333"/>
        <w:jc w:val="both"/>
        <w:rPr>
          <w:rFonts w:ascii="Arial" w:eastAsia="Calibri" w:hAnsi="Arial" w:cs="Arial"/>
          <w:i/>
          <w:sz w:val="22"/>
          <w:szCs w:val="22"/>
          <w:lang w:val="es-CR" w:eastAsia="en-US"/>
        </w:rPr>
      </w:pPr>
      <w:r w:rsidRPr="00CA6835">
        <w:rPr>
          <w:rFonts w:ascii="Arial" w:eastAsia="Calibri" w:hAnsi="Arial" w:cs="Arial"/>
          <w:i/>
          <w:sz w:val="22"/>
          <w:szCs w:val="22"/>
          <w:lang w:val="es-CR" w:eastAsia="en-US"/>
        </w:rPr>
        <w:t xml:space="preserve">Artículo 28 </w:t>
      </w:r>
    </w:p>
    <w:p w:rsidR="00CA6835" w:rsidRPr="00CA6835" w:rsidRDefault="00CA6835" w:rsidP="00CA6835">
      <w:pPr>
        <w:ind w:left="993" w:right="333"/>
        <w:jc w:val="both"/>
        <w:rPr>
          <w:rFonts w:ascii="Arial" w:eastAsia="Calibri" w:hAnsi="Arial" w:cs="Arial"/>
          <w:i/>
          <w:sz w:val="22"/>
          <w:szCs w:val="22"/>
          <w:lang w:val="es-CR" w:eastAsia="en-US"/>
        </w:rPr>
      </w:pPr>
    </w:p>
    <w:p w:rsidR="00CA6835" w:rsidRPr="00CA6835" w:rsidRDefault="00CA6835" w:rsidP="00CA6835">
      <w:pPr>
        <w:ind w:left="993" w:right="333"/>
        <w:jc w:val="both"/>
        <w:rPr>
          <w:rFonts w:ascii="Arial" w:eastAsia="Calibri" w:hAnsi="Arial" w:cs="Arial"/>
          <w:i/>
          <w:sz w:val="22"/>
          <w:szCs w:val="22"/>
          <w:lang w:val="es-CR" w:eastAsia="en-US"/>
        </w:rPr>
      </w:pPr>
      <w:r w:rsidRPr="00CA6835">
        <w:rPr>
          <w:rFonts w:ascii="Arial" w:eastAsia="Calibri" w:hAnsi="Arial" w:cs="Arial"/>
          <w:i/>
          <w:sz w:val="22"/>
          <w:szCs w:val="22"/>
          <w:lang w:val="es-CR" w:eastAsia="en-US"/>
        </w:rPr>
        <w:t xml:space="preserve">Siempre que se cree una plaza no profesional o de profesionales administrativos nueva o haya quedado vacante, en forma definitiva o transitoria por más de dos meses, se facilitarán los ascensos o traslados de los funcionarios dentro del Instituto que comprueben reunir los requisitos para la categoría solicitada y que hayan tenido un satisfactorio desempeño laboral. </w:t>
      </w:r>
      <w:r w:rsidRPr="00CA6835">
        <w:rPr>
          <w:rFonts w:ascii="Arial" w:eastAsia="Calibri" w:hAnsi="Arial" w:cs="Arial"/>
          <w:i/>
          <w:sz w:val="22"/>
          <w:szCs w:val="22"/>
          <w:u w:val="single"/>
          <w:lang w:val="es-CR" w:eastAsia="en-US"/>
        </w:rPr>
        <w:t>Para tal fin se convocará a los concursos internos necesarios para divulgar las plazas en forma tal que se garantice una igualdad de oportunidades para todos los que deseen participar</w:t>
      </w:r>
      <w:r w:rsidRPr="00CA6835">
        <w:rPr>
          <w:rFonts w:ascii="Arial" w:eastAsia="Calibri" w:hAnsi="Arial" w:cs="Arial"/>
          <w:i/>
          <w:sz w:val="22"/>
          <w:szCs w:val="22"/>
          <w:lang w:val="es-CR" w:eastAsia="en-US"/>
        </w:rPr>
        <w:t xml:space="preserve">. </w:t>
      </w:r>
    </w:p>
    <w:p w:rsidR="00CA6835" w:rsidRPr="00CA6835" w:rsidRDefault="00CA6835" w:rsidP="0033165E">
      <w:pPr>
        <w:ind w:left="993" w:right="333"/>
        <w:jc w:val="both"/>
        <w:rPr>
          <w:rFonts w:ascii="Arial" w:eastAsia="Calibri" w:hAnsi="Arial" w:cs="Arial"/>
          <w:i/>
          <w:sz w:val="22"/>
          <w:szCs w:val="22"/>
          <w:lang w:val="es-CR" w:eastAsia="en-US"/>
        </w:rPr>
      </w:pPr>
      <w:r w:rsidRPr="00CA6835">
        <w:rPr>
          <w:rFonts w:ascii="Arial" w:eastAsia="Calibri" w:hAnsi="Arial" w:cs="Arial"/>
          <w:i/>
          <w:sz w:val="22"/>
          <w:szCs w:val="22"/>
          <w:lang w:val="es-CR" w:eastAsia="en-US"/>
        </w:rPr>
        <w:t xml:space="preserve">No se aplicará esta norma a los casos contemplados en el Estatuto Orgánico ni a los puestos de Encargado de </w:t>
      </w:r>
      <w:smartTag w:uri="urn:schemas-microsoft-com:office:smarttags" w:element="PersonName">
        <w:smartTagPr>
          <w:attr w:name="ProductID" w:val="la Secretar￭a"/>
        </w:smartTagPr>
        <w:r w:rsidRPr="00CA6835">
          <w:rPr>
            <w:rFonts w:ascii="Arial" w:eastAsia="Calibri" w:hAnsi="Arial" w:cs="Arial"/>
            <w:i/>
            <w:sz w:val="22"/>
            <w:szCs w:val="22"/>
            <w:lang w:val="es-CR" w:eastAsia="en-US"/>
          </w:rPr>
          <w:t>la Secretaría</w:t>
        </w:r>
      </w:smartTag>
      <w:r w:rsidRPr="00CA6835">
        <w:rPr>
          <w:rFonts w:ascii="Arial" w:eastAsia="Calibri" w:hAnsi="Arial" w:cs="Arial"/>
          <w:i/>
          <w:sz w:val="22"/>
          <w:szCs w:val="22"/>
          <w:lang w:val="es-CR" w:eastAsia="en-US"/>
        </w:rPr>
        <w:t xml:space="preserve"> del Consejo Institucional y Director de </w:t>
      </w:r>
      <w:smartTag w:uri="urn:schemas-microsoft-com:office:smarttags" w:element="PersonName">
        <w:smartTagPr>
          <w:attr w:name="ProductID" w:val="la Oficina"/>
        </w:smartTagPr>
        <w:r w:rsidRPr="00CA6835">
          <w:rPr>
            <w:rFonts w:ascii="Arial" w:eastAsia="Calibri" w:hAnsi="Arial" w:cs="Arial"/>
            <w:i/>
            <w:sz w:val="22"/>
            <w:szCs w:val="22"/>
            <w:lang w:val="es-CR" w:eastAsia="en-US"/>
          </w:rPr>
          <w:t>la Oficina</w:t>
        </w:r>
      </w:smartTag>
      <w:r w:rsidRPr="00CA6835">
        <w:rPr>
          <w:rFonts w:ascii="Arial" w:eastAsia="Calibri" w:hAnsi="Arial" w:cs="Arial"/>
          <w:i/>
          <w:sz w:val="22"/>
          <w:szCs w:val="22"/>
          <w:lang w:val="es-CR" w:eastAsia="en-US"/>
        </w:rPr>
        <w:t xml:space="preserve"> de Prensa. (Destacado no es del original)</w:t>
      </w:r>
    </w:p>
    <w:p w:rsidR="00CA6835" w:rsidRPr="00CA6835" w:rsidRDefault="00CA6835" w:rsidP="00CA6835">
      <w:pPr>
        <w:ind w:left="2160"/>
        <w:jc w:val="both"/>
        <w:rPr>
          <w:rFonts w:ascii="Arial" w:eastAsia="Calibri" w:hAnsi="Arial" w:cs="Arial"/>
          <w:lang w:val="es-CR" w:eastAsia="en-US"/>
        </w:rPr>
      </w:pPr>
    </w:p>
    <w:p w:rsidR="0097227C" w:rsidRDefault="0097227C" w:rsidP="00CA6835">
      <w:pPr>
        <w:rPr>
          <w:rFonts w:ascii="Arial" w:hAnsi="Arial" w:cs="Arial"/>
          <w:b/>
        </w:rPr>
      </w:pPr>
    </w:p>
    <w:p w:rsidR="0097227C" w:rsidRDefault="0097227C" w:rsidP="00CA6835">
      <w:pPr>
        <w:rPr>
          <w:rFonts w:ascii="Arial" w:hAnsi="Arial" w:cs="Arial"/>
          <w:b/>
        </w:rPr>
      </w:pPr>
    </w:p>
    <w:p w:rsidR="0097227C" w:rsidRDefault="0097227C" w:rsidP="00CA6835">
      <w:pPr>
        <w:rPr>
          <w:rFonts w:ascii="Arial" w:hAnsi="Arial" w:cs="Arial"/>
          <w:b/>
        </w:rPr>
      </w:pPr>
    </w:p>
    <w:p w:rsidR="00CA6835" w:rsidRPr="00CA6835" w:rsidRDefault="00CA6835" w:rsidP="00CA6835">
      <w:pPr>
        <w:rPr>
          <w:rFonts w:ascii="Arial" w:hAnsi="Arial" w:cs="Arial"/>
          <w:b/>
        </w:rPr>
      </w:pPr>
      <w:r w:rsidRPr="00CA6835">
        <w:rPr>
          <w:rFonts w:ascii="Arial" w:hAnsi="Arial" w:cs="Arial"/>
          <w:b/>
        </w:rPr>
        <w:t>CONSIDERANDO QUE:</w:t>
      </w:r>
    </w:p>
    <w:p w:rsidR="00CA6835" w:rsidRPr="00CA6835" w:rsidRDefault="00CA6835" w:rsidP="00CA6835">
      <w:pPr>
        <w:rPr>
          <w:rFonts w:ascii="Arial" w:hAnsi="Arial" w:cs="Arial"/>
          <w:b/>
          <w:sz w:val="28"/>
        </w:rPr>
      </w:pPr>
    </w:p>
    <w:p w:rsidR="00CA6835" w:rsidRPr="00CA6835" w:rsidRDefault="00CA6835" w:rsidP="00A32191">
      <w:pPr>
        <w:numPr>
          <w:ilvl w:val="0"/>
          <w:numId w:val="4"/>
        </w:numPr>
        <w:ind w:left="378"/>
        <w:contextualSpacing/>
        <w:jc w:val="both"/>
        <w:rPr>
          <w:rFonts w:ascii="Arial" w:eastAsia="Arial,Cambria" w:hAnsi="Arial" w:cs="Arial"/>
          <w:lang w:val="es-ES_tradnl" w:eastAsia="en-US"/>
        </w:rPr>
      </w:pPr>
      <w:r w:rsidRPr="00CA6835">
        <w:rPr>
          <w:rFonts w:ascii="Arial" w:eastAsia="Arial" w:hAnsi="Arial" w:cs="Arial"/>
          <w:lang w:val="es-CR" w:eastAsia="en-US"/>
        </w:rPr>
        <w:t xml:space="preserve">El Consejo Institucional, en la </w:t>
      </w:r>
      <w:r w:rsidRPr="00CA6835">
        <w:rPr>
          <w:rFonts w:ascii="Arial" w:eastAsia="Arial" w:hAnsi="Arial" w:cs="Arial"/>
          <w:bCs/>
          <w:lang w:val="es-CR" w:eastAsia="en-US"/>
        </w:rPr>
        <w:t>Sesión Ordinaria No. 2988, Artículo 10, del 07 de setiembre de 2016</w:t>
      </w:r>
      <w:r w:rsidRPr="00CA6835">
        <w:rPr>
          <w:rFonts w:ascii="Arial" w:eastAsia="Arial,Calibri" w:hAnsi="Arial" w:cs="Arial"/>
          <w:lang w:val="es-CR" w:eastAsia="en-US"/>
        </w:rPr>
        <w:t xml:space="preserve">, inciso b. aprobó la </w:t>
      </w:r>
      <w:r w:rsidRPr="00CA6835">
        <w:rPr>
          <w:rFonts w:ascii="Arial" w:eastAsia="Arial,Times New Roman" w:hAnsi="Arial" w:cs="Arial"/>
          <w:bCs/>
          <w:lang w:val="es-CR" w:eastAsia="en-US"/>
        </w:rPr>
        <w:t>Creación de la Unidad Institucional de Gestión Ambiental y Seguridad Laboral y derogatoria del acuerdo de la Sesión Extraordinaria No. 2826, Artículo 2, del 24 de junio de 2013.  “</w:t>
      </w:r>
      <w:r w:rsidRPr="00CA6835">
        <w:rPr>
          <w:rFonts w:ascii="Arial" w:eastAsia="Arial,Times New Roman" w:hAnsi="Arial" w:cs="Arial"/>
          <w:bCs/>
          <w:i/>
          <w:iCs/>
          <w:lang w:val="es-CR" w:eastAsia="en-US"/>
        </w:rPr>
        <w:t xml:space="preserve">Creación de la Unidad Integrada (Ambiente, Calidad y Seguridad Laboral)”, </w:t>
      </w:r>
      <w:r w:rsidRPr="00CA6835">
        <w:rPr>
          <w:rFonts w:ascii="Arial" w:eastAsia="Arial,Calibri" w:hAnsi="Arial" w:cs="Arial"/>
          <w:lang w:val="es-CR" w:eastAsia="en-US"/>
        </w:rPr>
        <w:t>en donde se consigna en los considerandos 6 y 10, lo siguiente:</w:t>
      </w:r>
    </w:p>
    <w:p w:rsidR="00CA6835" w:rsidRPr="00CA6835" w:rsidRDefault="00CA6835" w:rsidP="00CA6835">
      <w:pPr>
        <w:ind w:left="708" w:right="-285"/>
        <w:jc w:val="both"/>
        <w:rPr>
          <w:rFonts w:ascii="Arial" w:eastAsia="Calibri" w:hAnsi="Arial" w:cs="Arial"/>
          <w:b/>
          <w:lang w:val="es-CR" w:eastAsia="en-US"/>
        </w:rPr>
      </w:pPr>
    </w:p>
    <w:p w:rsidR="00CA6835" w:rsidRPr="00CA6835" w:rsidRDefault="00CA6835" w:rsidP="00CA6835">
      <w:pPr>
        <w:ind w:left="993" w:right="474"/>
        <w:jc w:val="both"/>
        <w:rPr>
          <w:rFonts w:ascii="Arial" w:eastAsia="Calibri" w:hAnsi="Arial" w:cs="Arial"/>
          <w:i/>
          <w:sz w:val="22"/>
          <w:szCs w:val="22"/>
          <w:lang w:val="es-CR" w:eastAsia="en-US"/>
        </w:rPr>
      </w:pPr>
      <w:r w:rsidRPr="00CA6835">
        <w:rPr>
          <w:rFonts w:ascii="Arial" w:eastAsia="Calibri" w:hAnsi="Arial" w:cs="Arial"/>
          <w:i/>
          <w:sz w:val="22"/>
          <w:szCs w:val="22"/>
          <w:lang w:val="es-CR" w:eastAsia="en-US"/>
        </w:rPr>
        <w:t>6. Algunos integrantes de la Comisión de Planificación y Administración manifestaron su preocupación por el futuro del área de calidad, por tal razón se consultó al Ing. Humberto Villalta, Vicerrector de Administración, quien respondió que el Programa de Calidad que se sustrae de la Unidad de Gestión Integrada, se traslada también a la Vicerrectoría de Administración para que colabore en el proceso de implementación del Modelo Internacional de Excelencia; sin embargo, también fue claro que un programa de calidad en todas sus dimensiones, debería de inscribirse a la oficina de Planificación Institucional como una de las funciones de dicha Oficina.</w:t>
      </w:r>
    </w:p>
    <w:p w:rsidR="00CA6835" w:rsidRPr="00CA6835" w:rsidRDefault="00CA6835" w:rsidP="00CA6835">
      <w:pPr>
        <w:ind w:left="993" w:right="474"/>
        <w:jc w:val="both"/>
        <w:rPr>
          <w:rFonts w:ascii="Arial" w:eastAsia="Calibri" w:hAnsi="Arial" w:cs="Arial"/>
          <w:i/>
          <w:sz w:val="22"/>
          <w:szCs w:val="22"/>
          <w:lang w:val="es-CR" w:eastAsia="en-US"/>
        </w:rPr>
      </w:pPr>
    </w:p>
    <w:p w:rsidR="00CA6835" w:rsidRPr="00CA6835" w:rsidRDefault="00CA6835" w:rsidP="00CA6835">
      <w:pPr>
        <w:ind w:left="993" w:right="474"/>
        <w:jc w:val="both"/>
        <w:rPr>
          <w:rFonts w:ascii="Arial" w:eastAsia="Calibri" w:hAnsi="Arial" w:cs="Arial"/>
          <w:lang w:val="es-CR" w:eastAsia="en-US"/>
        </w:rPr>
      </w:pPr>
      <w:r w:rsidRPr="00CA6835">
        <w:rPr>
          <w:rFonts w:ascii="Arial" w:eastAsia="Calibri" w:hAnsi="Arial" w:cs="Arial"/>
          <w:i/>
          <w:sz w:val="22"/>
          <w:szCs w:val="22"/>
          <w:lang w:val="es-CR" w:eastAsia="en-US"/>
        </w:rPr>
        <w:t>10. En esta misma reunión se discutió el acuerdo de la Sesión Extraordinaria No. 2826, Artículo 2, del 24 de junio de 2013  “Creación de la Unidad de Gestión Integrada: Ambiente y Seguridad Laboral Institucional”; del análisis se concluye que los fundamentos en dicho acuerdo sobre los aspectos ambientes y de seguridad laboral son pertinentes,  pero el aspecto de calidad deberá de enfocarse como un sistema institucional adscrito a la Oficina de Planificación Institucional, para lo cual se elaborará una propuesta independiente para la atención de los aspectos de calidad enfocados a seguir el Modelo de Excelencia Iberoamericano en la Gestión Administrativa</w:t>
      </w:r>
      <w:r w:rsidRPr="00CA6835">
        <w:rPr>
          <w:rFonts w:ascii="Arial" w:eastAsia="Calibri" w:hAnsi="Arial" w:cs="Arial"/>
          <w:lang w:val="es-CR" w:eastAsia="en-US"/>
        </w:rPr>
        <w:t xml:space="preserve">. </w:t>
      </w:r>
    </w:p>
    <w:p w:rsidR="00CA6835" w:rsidRPr="00CA6835" w:rsidRDefault="00CA6835" w:rsidP="00CA6835">
      <w:pPr>
        <w:rPr>
          <w:rFonts w:ascii="Arial" w:hAnsi="Arial" w:cs="Arial"/>
          <w:b/>
          <w:bCs/>
        </w:rPr>
      </w:pPr>
    </w:p>
    <w:p w:rsidR="00CA6835" w:rsidRPr="00CA6835" w:rsidRDefault="00CA6835" w:rsidP="00A32191">
      <w:pPr>
        <w:numPr>
          <w:ilvl w:val="0"/>
          <w:numId w:val="4"/>
        </w:numPr>
        <w:ind w:left="378"/>
        <w:contextualSpacing/>
        <w:jc w:val="both"/>
        <w:rPr>
          <w:rFonts w:ascii="Arial" w:hAnsi="Arial" w:cs="Arial"/>
          <w:lang w:val="es-ES_tradnl" w:eastAsia="en-US"/>
        </w:rPr>
      </w:pPr>
      <w:r w:rsidRPr="00CA6835">
        <w:rPr>
          <w:rFonts w:ascii="Arial" w:hAnsi="Arial" w:cs="Arial"/>
          <w:lang w:val="es-ES_tradnl" w:eastAsia="en-US"/>
        </w:rPr>
        <w:t xml:space="preserve">El Consejo de Rectoría, en la Sesión No. 41-2016, del 14 de noviembre del 2016, ratificó como patrocinador del “Proyecto Certificación del Modelo de Gestión </w:t>
      </w:r>
      <w:r w:rsidRPr="00CA6835">
        <w:rPr>
          <w:rFonts w:ascii="Arial" w:eastAsia="Arial" w:hAnsi="Arial" w:cs="Arial"/>
          <w:lang w:val="es-CR" w:eastAsia="en-US"/>
        </w:rPr>
        <w:t>de</w:t>
      </w:r>
      <w:r w:rsidRPr="00CA6835">
        <w:rPr>
          <w:rFonts w:ascii="Arial" w:hAnsi="Arial" w:cs="Arial"/>
          <w:lang w:val="es-ES_tradnl" w:eastAsia="en-US"/>
        </w:rPr>
        <w:t xml:space="preserve"> la Excelencia (Calidad)” a la Dirección de la Oficina de Planificación Institucional.</w:t>
      </w:r>
    </w:p>
    <w:p w:rsidR="00CA6835" w:rsidRPr="00CA6835" w:rsidRDefault="00CA6835" w:rsidP="00CA6835">
      <w:pPr>
        <w:tabs>
          <w:tab w:val="left" w:pos="1701"/>
        </w:tabs>
        <w:ind w:left="708"/>
        <w:jc w:val="both"/>
        <w:rPr>
          <w:rFonts w:ascii="Arial" w:eastAsia="Calibri" w:hAnsi="Arial" w:cs="Arial"/>
          <w:highlight w:val="yellow"/>
          <w:lang w:val="es-CR" w:eastAsia="en-US"/>
        </w:rPr>
      </w:pPr>
    </w:p>
    <w:p w:rsidR="00CA6835" w:rsidRPr="00CA6835" w:rsidRDefault="00CA6835" w:rsidP="00A32191">
      <w:pPr>
        <w:numPr>
          <w:ilvl w:val="0"/>
          <w:numId w:val="4"/>
        </w:numPr>
        <w:ind w:left="378"/>
        <w:contextualSpacing/>
        <w:jc w:val="both"/>
        <w:rPr>
          <w:rFonts w:ascii="Arial" w:hAnsi="Arial" w:cs="Arial"/>
          <w:lang w:val="es-ES_tradnl" w:eastAsia="en-US"/>
        </w:rPr>
      </w:pPr>
      <w:r w:rsidRPr="00CA6835">
        <w:rPr>
          <w:rFonts w:ascii="Arial" w:hAnsi="Arial" w:cs="Arial"/>
          <w:lang w:val="es-ES_tradnl" w:eastAsia="en-US"/>
        </w:rPr>
        <w:t>La Política General 15 aprobada por la Asamblea Institucional Representativa establece que “Los procesos institucionales se desarrollarán con excelencia, sustentados en la evaluación continua que involucre a los usuarios directos”.</w:t>
      </w:r>
    </w:p>
    <w:p w:rsidR="00CA6835" w:rsidRPr="00CA6835" w:rsidRDefault="00CA6835" w:rsidP="00CA6835">
      <w:pPr>
        <w:tabs>
          <w:tab w:val="left" w:pos="1701"/>
        </w:tabs>
        <w:ind w:left="708"/>
        <w:jc w:val="both"/>
        <w:rPr>
          <w:rFonts w:ascii="Arial" w:eastAsia="Calibri" w:hAnsi="Arial" w:cs="Arial"/>
          <w:highlight w:val="yellow"/>
          <w:lang w:val="es-CR" w:eastAsia="en-US"/>
        </w:rPr>
      </w:pPr>
    </w:p>
    <w:p w:rsidR="00CA6835" w:rsidRDefault="00CA6835" w:rsidP="00A32191">
      <w:pPr>
        <w:numPr>
          <w:ilvl w:val="0"/>
          <w:numId w:val="4"/>
        </w:numPr>
        <w:ind w:left="378"/>
        <w:contextualSpacing/>
        <w:jc w:val="both"/>
        <w:rPr>
          <w:rFonts w:ascii="Arial" w:hAnsi="Arial" w:cs="Arial"/>
          <w:lang w:val="es-ES_tradnl" w:eastAsia="en-US"/>
        </w:rPr>
      </w:pPr>
      <w:r w:rsidRPr="00CA6835">
        <w:rPr>
          <w:rFonts w:ascii="Arial" w:hAnsi="Arial" w:cs="Arial"/>
          <w:lang w:val="es-ES_tradnl" w:eastAsia="en-US"/>
        </w:rPr>
        <w:t>La Política Específica 15.1, establecida por el Consejo Institucional, en la Sesión Ordinaria No. 3016, Artículo 10, del 29 de marzo de 2017, como parte de las “Políticas Específicas para el año 2018”, indica que “Se desarrollarán acciones que permitan evaluar los procesos institucionales para el mejoramiento continuo mediante la utilización de modelos de excelencia acordes con el contexto institucional”.</w:t>
      </w:r>
    </w:p>
    <w:p w:rsidR="00CA6835" w:rsidRPr="00CA6835" w:rsidRDefault="00CA6835" w:rsidP="00CA6835">
      <w:pPr>
        <w:contextualSpacing/>
        <w:jc w:val="both"/>
        <w:rPr>
          <w:rFonts w:ascii="Arial" w:hAnsi="Arial" w:cs="Arial"/>
          <w:lang w:val="es-ES_tradnl" w:eastAsia="en-US"/>
        </w:rPr>
      </w:pPr>
    </w:p>
    <w:p w:rsidR="00CA6835" w:rsidRPr="00CA6835" w:rsidRDefault="00CA6835" w:rsidP="00A32191">
      <w:pPr>
        <w:numPr>
          <w:ilvl w:val="0"/>
          <w:numId w:val="4"/>
        </w:numPr>
        <w:ind w:left="378"/>
        <w:contextualSpacing/>
        <w:jc w:val="both"/>
        <w:rPr>
          <w:rFonts w:ascii="Arial" w:hAnsi="Arial" w:cs="Arial"/>
          <w:lang w:val="es-ES_tradnl" w:eastAsia="en-US"/>
        </w:rPr>
      </w:pPr>
      <w:r w:rsidRPr="00CA6835">
        <w:rPr>
          <w:rFonts w:ascii="Arial" w:hAnsi="Arial" w:cs="Arial"/>
          <w:lang w:val="es-ES_tradnl" w:eastAsia="en-US"/>
        </w:rPr>
        <w:t>Mediante oficio VAD-824-2017, el MBA. Humberto Villalta, Vicerrector de Administración, solicita al señor Rector Dr. Julio César Calvo Alvarado, “</w:t>
      </w:r>
      <w:r w:rsidRPr="00CA6835">
        <w:rPr>
          <w:rFonts w:ascii="Arial" w:eastAsia="Calibri" w:hAnsi="Arial" w:cs="Arial"/>
          <w:sz w:val="22"/>
          <w:szCs w:val="22"/>
          <w:lang w:val="es-CR" w:eastAsia="en-US"/>
        </w:rPr>
        <w:t>realizar el trámite respectivo para trasladar y utilizar el 100% de la plaza NT-0216 adscrita en adelante a la Oficina de Planificación Institucional, según el siguiente detalle:</w:t>
      </w:r>
      <w:r w:rsidRPr="00CA6835">
        <w:rPr>
          <w:rFonts w:ascii="Arial" w:eastAsia="Calibri" w:hAnsi="Arial" w:cs="Arial"/>
          <w:i/>
          <w:sz w:val="22"/>
          <w:szCs w:val="22"/>
          <w:lang w:val="es-CR" w:eastAsia="en-US"/>
        </w:rPr>
        <w:t xml:space="preserve">  </w:t>
      </w:r>
    </w:p>
    <w:p w:rsidR="00CA6835" w:rsidRDefault="00CA6835" w:rsidP="00CA6835">
      <w:pPr>
        <w:ind w:left="720"/>
        <w:jc w:val="both"/>
        <w:rPr>
          <w:rFonts w:ascii="Arial" w:eastAsia="Calibri" w:hAnsi="Arial" w:cs="Arial"/>
        </w:rPr>
      </w:pPr>
    </w:p>
    <w:p w:rsidR="0033165E" w:rsidRDefault="0033165E" w:rsidP="00CA6835">
      <w:pPr>
        <w:ind w:left="720"/>
        <w:jc w:val="both"/>
        <w:rPr>
          <w:rFonts w:ascii="Arial" w:eastAsia="Calibri" w:hAnsi="Arial" w:cs="Arial"/>
        </w:rPr>
      </w:pPr>
      <w:bookmarkStart w:id="1" w:name="_GoBack"/>
      <w:bookmarkEnd w:id="1"/>
    </w:p>
    <w:p w:rsidR="0033165E" w:rsidRPr="00CA6835" w:rsidRDefault="0033165E" w:rsidP="00CA6835">
      <w:pPr>
        <w:ind w:left="720"/>
        <w:jc w:val="both"/>
        <w:rPr>
          <w:rFonts w:ascii="Arial" w:eastAsia="Calibri" w:hAnsi="Arial" w:cs="Arial"/>
        </w:rPr>
      </w:pPr>
    </w:p>
    <w:tbl>
      <w:tblPr>
        <w:tblW w:w="10652" w:type="dxa"/>
        <w:tblInd w:w="-779" w:type="dxa"/>
        <w:tblLayout w:type="fixed"/>
        <w:tblLook w:val="0000" w:firstRow="0" w:lastRow="0" w:firstColumn="0" w:lastColumn="0" w:noHBand="0" w:noVBand="0"/>
      </w:tblPr>
      <w:tblGrid>
        <w:gridCol w:w="500"/>
        <w:gridCol w:w="863"/>
        <w:gridCol w:w="882"/>
        <w:gridCol w:w="1477"/>
        <w:gridCol w:w="441"/>
        <w:gridCol w:w="686"/>
        <w:gridCol w:w="546"/>
        <w:gridCol w:w="616"/>
        <w:gridCol w:w="1399"/>
        <w:gridCol w:w="1316"/>
        <w:gridCol w:w="1926"/>
      </w:tblGrid>
      <w:tr w:rsidR="00CA6835" w:rsidRPr="00CA6835" w:rsidTr="004411B2">
        <w:trPr>
          <w:cantSplit/>
          <w:trHeight w:val="917"/>
        </w:trPr>
        <w:tc>
          <w:tcPr>
            <w:tcW w:w="500" w:type="dxa"/>
            <w:tcBorders>
              <w:top w:val="single" w:sz="4" w:space="0" w:color="000000"/>
              <w:left w:val="nil"/>
              <w:bottom w:val="single" w:sz="4" w:space="0" w:color="000000"/>
              <w:right w:val="single" w:sz="4" w:space="0" w:color="000000"/>
            </w:tcBorders>
            <w:shd w:val="clear" w:color="auto" w:fill="2F75B5"/>
            <w:textDirection w:val="btLr"/>
            <w:vAlign w:val="center"/>
          </w:tcPr>
          <w:p w:rsidR="00CA6835" w:rsidRPr="00CA6835" w:rsidRDefault="00CA6835" w:rsidP="00CA6835">
            <w:pPr>
              <w:ind w:left="113" w:right="113"/>
              <w:jc w:val="center"/>
              <w:rPr>
                <w:rFonts w:ascii="Calibri" w:hAnsi="Calibri" w:cs="Arial"/>
                <w:sz w:val="16"/>
                <w:szCs w:val="16"/>
              </w:rPr>
            </w:pPr>
            <w:r w:rsidRPr="00CA6835">
              <w:rPr>
                <w:rFonts w:ascii="Calibri" w:eastAsia="Arial" w:hAnsi="Calibri" w:cs="Arial"/>
                <w:b/>
                <w:sz w:val="16"/>
                <w:szCs w:val="16"/>
              </w:rPr>
              <w:t>Pro.</w:t>
            </w:r>
          </w:p>
        </w:tc>
        <w:tc>
          <w:tcPr>
            <w:tcW w:w="863" w:type="dxa"/>
            <w:tcBorders>
              <w:top w:val="single" w:sz="4" w:space="0" w:color="000000"/>
              <w:left w:val="nil"/>
              <w:bottom w:val="single" w:sz="4" w:space="0" w:color="000000"/>
              <w:right w:val="single" w:sz="4" w:space="0" w:color="000000"/>
            </w:tcBorders>
            <w:shd w:val="clear" w:color="auto" w:fill="2F75B5"/>
            <w:textDirection w:val="btLr"/>
            <w:vAlign w:val="center"/>
          </w:tcPr>
          <w:p w:rsidR="00CA6835" w:rsidRPr="00CA6835" w:rsidRDefault="00CA6835" w:rsidP="00CA6835">
            <w:pPr>
              <w:ind w:left="113" w:right="113"/>
              <w:jc w:val="center"/>
              <w:rPr>
                <w:rFonts w:ascii="Calibri" w:hAnsi="Calibri" w:cs="Arial"/>
                <w:sz w:val="16"/>
                <w:szCs w:val="16"/>
              </w:rPr>
            </w:pPr>
            <w:r w:rsidRPr="00CA6835">
              <w:rPr>
                <w:rFonts w:ascii="Calibri" w:eastAsia="Arial" w:hAnsi="Calibri" w:cs="Arial"/>
                <w:b/>
                <w:sz w:val="16"/>
                <w:szCs w:val="16"/>
              </w:rPr>
              <w:t>Cód. plaza Actual</w:t>
            </w:r>
          </w:p>
        </w:tc>
        <w:tc>
          <w:tcPr>
            <w:tcW w:w="882"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Calibri" w:hAnsi="Calibri" w:cs="Arial"/>
                <w:sz w:val="16"/>
                <w:szCs w:val="16"/>
              </w:rPr>
            </w:pPr>
            <w:r w:rsidRPr="00CA6835">
              <w:rPr>
                <w:rFonts w:ascii="Calibri" w:eastAsia="Calibri" w:hAnsi="Calibri" w:cs="Arial"/>
                <w:b/>
                <w:sz w:val="16"/>
                <w:szCs w:val="16"/>
              </w:rPr>
              <w:t>Nuevo</w:t>
            </w:r>
            <w:r w:rsidRPr="00CA6835">
              <w:rPr>
                <w:rFonts w:ascii="Calibri" w:eastAsia="Calibri" w:hAnsi="Calibri" w:cs="Arial"/>
                <w:b/>
                <w:sz w:val="16"/>
                <w:szCs w:val="16"/>
              </w:rPr>
              <w:br/>
            </w:r>
            <w:proofErr w:type="spellStart"/>
            <w:r w:rsidRPr="00CA6835">
              <w:rPr>
                <w:rFonts w:ascii="Calibri" w:eastAsia="Calibri" w:hAnsi="Calibri" w:cs="Arial"/>
                <w:b/>
                <w:sz w:val="16"/>
                <w:szCs w:val="16"/>
              </w:rPr>
              <w:t>Num</w:t>
            </w:r>
            <w:proofErr w:type="spellEnd"/>
            <w:r w:rsidRPr="00CA6835">
              <w:rPr>
                <w:rFonts w:ascii="Calibri" w:eastAsia="Calibri" w:hAnsi="Calibri" w:cs="Arial"/>
                <w:b/>
                <w:sz w:val="16"/>
                <w:szCs w:val="16"/>
              </w:rPr>
              <w:t xml:space="preserve"> Plaza</w:t>
            </w:r>
          </w:p>
        </w:tc>
        <w:tc>
          <w:tcPr>
            <w:tcW w:w="1477"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Calibri" w:hAnsi="Calibri" w:cs="Arial"/>
                <w:sz w:val="16"/>
                <w:szCs w:val="16"/>
              </w:rPr>
            </w:pPr>
            <w:r w:rsidRPr="00CA6835">
              <w:rPr>
                <w:rFonts w:ascii="Calibri" w:eastAsia="Arial" w:hAnsi="Calibri" w:cs="Arial"/>
                <w:b/>
                <w:sz w:val="16"/>
                <w:szCs w:val="16"/>
              </w:rPr>
              <w:t>Puesto</w:t>
            </w:r>
          </w:p>
        </w:tc>
        <w:tc>
          <w:tcPr>
            <w:tcW w:w="441" w:type="dxa"/>
            <w:tcBorders>
              <w:top w:val="single" w:sz="4" w:space="0" w:color="000000"/>
              <w:left w:val="nil"/>
              <w:bottom w:val="single" w:sz="4" w:space="0" w:color="000000"/>
              <w:right w:val="single" w:sz="4" w:space="0" w:color="000000"/>
            </w:tcBorders>
            <w:shd w:val="clear" w:color="auto" w:fill="2F75B5"/>
            <w:textDirection w:val="btLr"/>
            <w:vAlign w:val="center"/>
          </w:tcPr>
          <w:p w:rsidR="00CA6835" w:rsidRPr="00CA6835" w:rsidRDefault="00CA6835" w:rsidP="00CA6835">
            <w:pPr>
              <w:ind w:left="113" w:right="113"/>
              <w:jc w:val="center"/>
              <w:rPr>
                <w:rFonts w:ascii="Calibri" w:hAnsi="Calibri" w:cs="Arial"/>
                <w:sz w:val="16"/>
                <w:szCs w:val="16"/>
              </w:rPr>
            </w:pPr>
            <w:r w:rsidRPr="00CA6835">
              <w:rPr>
                <w:rFonts w:ascii="Calibri" w:eastAsia="Arial" w:hAnsi="Calibri" w:cs="Arial"/>
                <w:b/>
                <w:sz w:val="16"/>
                <w:szCs w:val="16"/>
              </w:rPr>
              <w:t>Cat.</w:t>
            </w:r>
          </w:p>
        </w:tc>
        <w:tc>
          <w:tcPr>
            <w:tcW w:w="686" w:type="dxa"/>
            <w:tcBorders>
              <w:top w:val="single" w:sz="4" w:space="0" w:color="000000"/>
              <w:left w:val="nil"/>
              <w:bottom w:val="single" w:sz="4" w:space="0" w:color="000000"/>
              <w:right w:val="single" w:sz="4" w:space="0" w:color="000000"/>
            </w:tcBorders>
            <w:shd w:val="clear" w:color="auto" w:fill="2F75B5"/>
            <w:textDirection w:val="btLr"/>
            <w:vAlign w:val="center"/>
          </w:tcPr>
          <w:p w:rsidR="00CA6835" w:rsidRPr="00CA6835" w:rsidRDefault="00CA6835" w:rsidP="00CA6835">
            <w:pPr>
              <w:ind w:left="113" w:right="113"/>
              <w:jc w:val="center"/>
              <w:rPr>
                <w:rFonts w:ascii="Calibri" w:hAnsi="Calibri" w:cs="Arial"/>
                <w:sz w:val="16"/>
                <w:szCs w:val="16"/>
              </w:rPr>
            </w:pPr>
            <w:r w:rsidRPr="00CA6835">
              <w:rPr>
                <w:rFonts w:ascii="Calibri" w:eastAsia="Arial" w:hAnsi="Calibri" w:cs="Arial"/>
                <w:b/>
                <w:sz w:val="16"/>
                <w:szCs w:val="16"/>
              </w:rPr>
              <w:t>Jornada</w:t>
            </w:r>
          </w:p>
        </w:tc>
        <w:tc>
          <w:tcPr>
            <w:tcW w:w="546" w:type="dxa"/>
            <w:tcBorders>
              <w:top w:val="single" w:sz="4" w:space="0" w:color="000000"/>
              <w:left w:val="nil"/>
              <w:bottom w:val="single" w:sz="4" w:space="0" w:color="000000"/>
              <w:right w:val="single" w:sz="4" w:space="0" w:color="000000"/>
            </w:tcBorders>
            <w:shd w:val="clear" w:color="auto" w:fill="2F75B5"/>
            <w:textDirection w:val="btLr"/>
            <w:vAlign w:val="center"/>
          </w:tcPr>
          <w:p w:rsidR="00CA6835" w:rsidRPr="00CA6835" w:rsidRDefault="00CA6835" w:rsidP="00CA6835">
            <w:pPr>
              <w:ind w:left="113" w:right="113"/>
              <w:jc w:val="center"/>
              <w:rPr>
                <w:rFonts w:ascii="Calibri" w:hAnsi="Calibri" w:cs="Arial"/>
                <w:sz w:val="16"/>
                <w:szCs w:val="16"/>
              </w:rPr>
            </w:pPr>
            <w:r w:rsidRPr="00CA6835">
              <w:rPr>
                <w:rFonts w:ascii="Calibri" w:eastAsia="Arial" w:hAnsi="Calibri" w:cs="Arial"/>
                <w:b/>
                <w:sz w:val="16"/>
                <w:szCs w:val="16"/>
              </w:rPr>
              <w:t>Periodo (meses)</w:t>
            </w:r>
          </w:p>
        </w:tc>
        <w:tc>
          <w:tcPr>
            <w:tcW w:w="616"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Calibri" w:hAnsi="Calibri" w:cs="Arial"/>
                <w:sz w:val="16"/>
                <w:szCs w:val="16"/>
              </w:rPr>
            </w:pPr>
            <w:r w:rsidRPr="00CA6835">
              <w:rPr>
                <w:rFonts w:ascii="Calibri" w:eastAsia="Arial" w:hAnsi="Calibri" w:cs="Arial"/>
                <w:b/>
                <w:sz w:val="16"/>
                <w:szCs w:val="16"/>
              </w:rPr>
              <w:t>TCE</w:t>
            </w:r>
          </w:p>
        </w:tc>
        <w:tc>
          <w:tcPr>
            <w:tcW w:w="1399"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Calibri" w:hAnsi="Calibri" w:cs="Arial"/>
                <w:sz w:val="16"/>
                <w:szCs w:val="16"/>
              </w:rPr>
            </w:pPr>
            <w:r w:rsidRPr="00CA6835">
              <w:rPr>
                <w:rFonts w:ascii="Calibri" w:eastAsia="Arial" w:hAnsi="Calibri" w:cs="Arial"/>
                <w:b/>
                <w:sz w:val="16"/>
                <w:szCs w:val="16"/>
              </w:rPr>
              <w:t>Nombramiento</w:t>
            </w:r>
          </w:p>
        </w:tc>
        <w:tc>
          <w:tcPr>
            <w:tcW w:w="1316"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Calibri" w:hAnsi="Calibri" w:cs="Arial"/>
                <w:sz w:val="16"/>
                <w:szCs w:val="16"/>
              </w:rPr>
            </w:pPr>
            <w:r w:rsidRPr="00CA6835">
              <w:rPr>
                <w:rFonts w:ascii="Calibri" w:eastAsia="Arial" w:hAnsi="Calibri" w:cs="Arial"/>
                <w:b/>
                <w:sz w:val="16"/>
                <w:szCs w:val="16"/>
              </w:rPr>
              <w:t>Adscrita a:</w:t>
            </w:r>
          </w:p>
        </w:tc>
        <w:tc>
          <w:tcPr>
            <w:tcW w:w="1926"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Calibri" w:hAnsi="Calibri" w:cs="Arial"/>
                <w:sz w:val="16"/>
                <w:szCs w:val="16"/>
              </w:rPr>
            </w:pPr>
            <w:r w:rsidRPr="00CA6835">
              <w:rPr>
                <w:rFonts w:ascii="Calibri" w:eastAsia="Arial" w:hAnsi="Calibri" w:cs="Arial"/>
                <w:b/>
                <w:sz w:val="16"/>
                <w:szCs w:val="16"/>
              </w:rPr>
              <w:t>Observaciones</w:t>
            </w:r>
          </w:p>
        </w:tc>
      </w:tr>
      <w:tr w:rsidR="00CA6835" w:rsidRPr="00CA6835" w:rsidTr="0044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9"/>
        </w:trPr>
        <w:tc>
          <w:tcPr>
            <w:tcW w:w="500" w:type="dxa"/>
            <w:vAlign w:val="center"/>
          </w:tcPr>
          <w:p w:rsidR="00CA6835" w:rsidRPr="00CA6835" w:rsidRDefault="00CA6835" w:rsidP="00CA6835">
            <w:pPr>
              <w:jc w:val="center"/>
              <w:rPr>
                <w:rFonts w:ascii="Calibri" w:hAnsi="Calibri"/>
                <w:sz w:val="16"/>
                <w:szCs w:val="16"/>
              </w:rPr>
            </w:pPr>
            <w:r w:rsidRPr="00CA6835">
              <w:rPr>
                <w:rFonts w:ascii="Calibri" w:eastAsia="Calibri" w:hAnsi="Calibri" w:cs="Calibri"/>
                <w:sz w:val="16"/>
                <w:szCs w:val="16"/>
              </w:rPr>
              <w:t>1.1</w:t>
            </w:r>
          </w:p>
        </w:tc>
        <w:tc>
          <w:tcPr>
            <w:tcW w:w="863" w:type="dxa"/>
            <w:vAlign w:val="center"/>
          </w:tcPr>
          <w:p w:rsidR="00CA6835" w:rsidRPr="00CA6835" w:rsidRDefault="00CA6835" w:rsidP="00CA6835">
            <w:pPr>
              <w:jc w:val="center"/>
              <w:rPr>
                <w:rFonts w:ascii="Calibri" w:hAnsi="Calibri"/>
                <w:sz w:val="16"/>
                <w:szCs w:val="16"/>
              </w:rPr>
            </w:pPr>
            <w:r w:rsidRPr="00CA6835">
              <w:rPr>
                <w:rFonts w:ascii="Calibri" w:eastAsia="Calibri" w:hAnsi="Calibri" w:cs="Calibri"/>
                <w:sz w:val="16"/>
                <w:szCs w:val="16"/>
              </w:rPr>
              <w:t>CT0247</w:t>
            </w:r>
          </w:p>
        </w:tc>
        <w:tc>
          <w:tcPr>
            <w:tcW w:w="882" w:type="dxa"/>
            <w:vAlign w:val="center"/>
          </w:tcPr>
          <w:p w:rsidR="00CA6835" w:rsidRPr="00CA6835" w:rsidRDefault="00CA6835" w:rsidP="00CA6835">
            <w:pPr>
              <w:jc w:val="center"/>
              <w:rPr>
                <w:rFonts w:ascii="Calibri" w:hAnsi="Calibri"/>
                <w:sz w:val="16"/>
                <w:szCs w:val="16"/>
              </w:rPr>
            </w:pPr>
            <w:r w:rsidRPr="00CA6835">
              <w:rPr>
                <w:rFonts w:ascii="Calibri" w:eastAsia="Calibri" w:hAnsi="Calibri" w:cs="Calibri"/>
                <w:sz w:val="16"/>
                <w:szCs w:val="16"/>
              </w:rPr>
              <w:t>NT0216</w:t>
            </w:r>
          </w:p>
        </w:tc>
        <w:tc>
          <w:tcPr>
            <w:tcW w:w="1477" w:type="dxa"/>
            <w:vAlign w:val="center"/>
          </w:tcPr>
          <w:p w:rsidR="00CA6835" w:rsidRPr="00CA6835" w:rsidRDefault="00CA6835" w:rsidP="00CA6835">
            <w:pPr>
              <w:jc w:val="center"/>
              <w:rPr>
                <w:rFonts w:ascii="Calibri" w:hAnsi="Calibri"/>
                <w:sz w:val="16"/>
                <w:szCs w:val="16"/>
              </w:rPr>
            </w:pPr>
            <w:r w:rsidRPr="00CA6835">
              <w:rPr>
                <w:rFonts w:ascii="Calibri" w:eastAsia="Calibri" w:hAnsi="Calibri" w:cs="Calibri"/>
                <w:sz w:val="16"/>
                <w:szCs w:val="16"/>
              </w:rPr>
              <w:t>Profesional en Ingeniería o Arquitectura</w:t>
            </w:r>
          </w:p>
        </w:tc>
        <w:tc>
          <w:tcPr>
            <w:tcW w:w="441" w:type="dxa"/>
            <w:vAlign w:val="center"/>
          </w:tcPr>
          <w:p w:rsidR="00CA6835" w:rsidRPr="00CA6835" w:rsidRDefault="00CA6835" w:rsidP="00CA6835">
            <w:pPr>
              <w:jc w:val="center"/>
              <w:rPr>
                <w:rFonts w:ascii="Calibri" w:hAnsi="Calibri"/>
                <w:sz w:val="16"/>
                <w:szCs w:val="16"/>
              </w:rPr>
            </w:pPr>
            <w:r w:rsidRPr="00CA6835">
              <w:rPr>
                <w:rFonts w:ascii="Calibri" w:eastAsia="Calibri" w:hAnsi="Calibri" w:cs="Calibri"/>
                <w:sz w:val="16"/>
                <w:szCs w:val="16"/>
              </w:rPr>
              <w:t>23</w:t>
            </w:r>
          </w:p>
        </w:tc>
        <w:tc>
          <w:tcPr>
            <w:tcW w:w="686" w:type="dxa"/>
            <w:vAlign w:val="center"/>
          </w:tcPr>
          <w:p w:rsidR="00CA6835" w:rsidRPr="00CA6835" w:rsidRDefault="00CA6835" w:rsidP="00CA6835">
            <w:pPr>
              <w:jc w:val="center"/>
              <w:rPr>
                <w:rFonts w:ascii="Calibri" w:hAnsi="Calibri"/>
                <w:sz w:val="16"/>
                <w:szCs w:val="16"/>
              </w:rPr>
            </w:pPr>
            <w:r w:rsidRPr="00CA6835">
              <w:rPr>
                <w:rFonts w:ascii="Calibri" w:eastAsia="Calibri" w:hAnsi="Calibri" w:cs="Calibri"/>
                <w:sz w:val="16"/>
                <w:szCs w:val="16"/>
              </w:rPr>
              <w:t>100%</w:t>
            </w:r>
          </w:p>
        </w:tc>
        <w:tc>
          <w:tcPr>
            <w:tcW w:w="546" w:type="dxa"/>
            <w:vAlign w:val="center"/>
          </w:tcPr>
          <w:p w:rsidR="00CA6835" w:rsidRPr="00CA6835" w:rsidRDefault="00CA6835" w:rsidP="00CA6835">
            <w:pPr>
              <w:jc w:val="center"/>
              <w:rPr>
                <w:rFonts w:ascii="Calibri" w:hAnsi="Calibri"/>
                <w:sz w:val="16"/>
                <w:szCs w:val="16"/>
              </w:rPr>
            </w:pPr>
            <w:r w:rsidRPr="00CA6835">
              <w:rPr>
                <w:rFonts w:ascii="Calibri" w:eastAsia="Calibri" w:hAnsi="Calibri" w:cs="Calibri"/>
                <w:sz w:val="16"/>
                <w:szCs w:val="16"/>
              </w:rPr>
              <w:t>12</w:t>
            </w:r>
          </w:p>
        </w:tc>
        <w:tc>
          <w:tcPr>
            <w:tcW w:w="616" w:type="dxa"/>
            <w:vAlign w:val="center"/>
          </w:tcPr>
          <w:p w:rsidR="00CA6835" w:rsidRPr="00CA6835" w:rsidRDefault="00CA6835" w:rsidP="00CA6835">
            <w:pPr>
              <w:jc w:val="center"/>
              <w:rPr>
                <w:rFonts w:ascii="Calibri" w:hAnsi="Calibri"/>
                <w:sz w:val="16"/>
                <w:szCs w:val="16"/>
              </w:rPr>
            </w:pPr>
            <w:r w:rsidRPr="00CA6835">
              <w:rPr>
                <w:rFonts w:ascii="Calibri" w:eastAsia="Calibri" w:hAnsi="Calibri" w:cs="Calibri"/>
                <w:sz w:val="16"/>
                <w:szCs w:val="16"/>
              </w:rPr>
              <w:t>1,00</w:t>
            </w:r>
          </w:p>
        </w:tc>
        <w:tc>
          <w:tcPr>
            <w:tcW w:w="1399" w:type="dxa"/>
            <w:vAlign w:val="center"/>
          </w:tcPr>
          <w:p w:rsidR="00CA6835" w:rsidRPr="00CA6835" w:rsidRDefault="00CA6835" w:rsidP="00CA6835">
            <w:pPr>
              <w:jc w:val="center"/>
              <w:rPr>
                <w:rFonts w:ascii="Calibri" w:hAnsi="Calibri"/>
                <w:sz w:val="16"/>
                <w:szCs w:val="16"/>
              </w:rPr>
            </w:pPr>
            <w:r w:rsidRPr="00CA6835">
              <w:rPr>
                <w:rFonts w:ascii="Calibri" w:eastAsia="Calibri" w:hAnsi="Calibri" w:cs="Calibri"/>
                <w:sz w:val="16"/>
                <w:szCs w:val="16"/>
              </w:rPr>
              <w:t>Permanente NT</w:t>
            </w:r>
          </w:p>
        </w:tc>
        <w:tc>
          <w:tcPr>
            <w:tcW w:w="1316" w:type="dxa"/>
            <w:vAlign w:val="center"/>
          </w:tcPr>
          <w:p w:rsidR="00CA6835" w:rsidRPr="00CA6835" w:rsidRDefault="00CA6835" w:rsidP="00CA6835">
            <w:pPr>
              <w:rPr>
                <w:rFonts w:ascii="Calibri" w:hAnsi="Calibri"/>
                <w:sz w:val="16"/>
                <w:szCs w:val="16"/>
              </w:rPr>
            </w:pPr>
            <w:r w:rsidRPr="00CA6835">
              <w:rPr>
                <w:rFonts w:ascii="Calibri" w:eastAsia="Calibri" w:hAnsi="Calibri" w:cs="Calibri"/>
                <w:sz w:val="16"/>
                <w:szCs w:val="16"/>
              </w:rPr>
              <w:t xml:space="preserve">Oficina de Planificación Institucional </w:t>
            </w:r>
          </w:p>
        </w:tc>
        <w:tc>
          <w:tcPr>
            <w:tcW w:w="1926" w:type="dxa"/>
            <w:vAlign w:val="center"/>
          </w:tcPr>
          <w:p w:rsidR="00CA6835" w:rsidRPr="00CA6835" w:rsidRDefault="00CA6835" w:rsidP="00CA6835">
            <w:pPr>
              <w:rPr>
                <w:rFonts w:ascii="Calibri" w:hAnsi="Calibri"/>
                <w:sz w:val="16"/>
                <w:szCs w:val="16"/>
              </w:rPr>
            </w:pPr>
            <w:r w:rsidRPr="00CA6835">
              <w:rPr>
                <w:rFonts w:ascii="Calibri" w:eastAsia="Calibri" w:hAnsi="Calibri" w:cs="Calibri"/>
                <w:sz w:val="16"/>
                <w:szCs w:val="16"/>
              </w:rPr>
              <w:t>Será de nombramiento discrecional del Director(a) de la Oficina de Planificación Institucional.</w:t>
            </w:r>
          </w:p>
        </w:tc>
      </w:tr>
    </w:tbl>
    <w:p w:rsidR="00CA6835" w:rsidRPr="00CA6835" w:rsidRDefault="00CA6835" w:rsidP="00CA6835">
      <w:pPr>
        <w:jc w:val="both"/>
        <w:rPr>
          <w:rFonts w:ascii="Arial" w:hAnsi="Arial" w:cs="Arial"/>
        </w:rPr>
      </w:pPr>
      <w:r w:rsidRPr="00CA6835">
        <w:rPr>
          <w:rFonts w:ascii="Arial" w:eastAsia="Calibri" w:hAnsi="Arial" w:cs="Arial"/>
        </w:rPr>
        <w:t xml:space="preserve">  </w:t>
      </w:r>
    </w:p>
    <w:p w:rsidR="00CA6835" w:rsidRPr="00CA6835" w:rsidRDefault="00CA6835" w:rsidP="00A32191">
      <w:pPr>
        <w:numPr>
          <w:ilvl w:val="0"/>
          <w:numId w:val="4"/>
        </w:numPr>
        <w:ind w:left="378"/>
        <w:contextualSpacing/>
        <w:jc w:val="both"/>
        <w:rPr>
          <w:rFonts w:ascii="Arial" w:eastAsia="Calibri" w:hAnsi="Arial" w:cs="Arial"/>
          <w:lang w:val="es-CR" w:eastAsia="en-US"/>
        </w:rPr>
      </w:pPr>
      <w:r w:rsidRPr="00CA6835">
        <w:rPr>
          <w:rFonts w:ascii="Arial" w:eastAsia="Calibri" w:hAnsi="Arial" w:cs="Arial"/>
          <w:lang w:val="es-CR" w:eastAsia="en-US"/>
        </w:rPr>
        <w:t>En el oficio OPI-605-2017, del 23 de noviembre del 2017, se indica que:</w:t>
      </w:r>
    </w:p>
    <w:p w:rsidR="00CA6835" w:rsidRPr="00CA6835" w:rsidRDefault="00CA6835" w:rsidP="00CA6835">
      <w:pPr>
        <w:widowControl w:val="0"/>
        <w:adjustRightInd w:val="0"/>
        <w:ind w:left="502"/>
        <w:contextualSpacing/>
        <w:jc w:val="both"/>
        <w:textAlignment w:val="baseline"/>
        <w:rPr>
          <w:rFonts w:ascii="Arial" w:eastAsia="Calibri" w:hAnsi="Arial" w:cs="Arial"/>
          <w:lang w:val="es-CR" w:eastAsia="en-US"/>
        </w:rPr>
      </w:pPr>
      <w:r w:rsidRPr="00CA6835">
        <w:rPr>
          <w:rFonts w:ascii="Arial" w:eastAsia="Calibri" w:hAnsi="Arial" w:cs="Arial"/>
          <w:lang w:val="es-CR" w:eastAsia="en-US"/>
        </w:rPr>
        <w:t xml:space="preserve"> </w:t>
      </w:r>
    </w:p>
    <w:p w:rsidR="00CA6835" w:rsidRPr="00CA6835" w:rsidRDefault="00CA6835" w:rsidP="00CA6835">
      <w:pPr>
        <w:tabs>
          <w:tab w:val="left" w:pos="1701"/>
        </w:tabs>
        <w:ind w:left="502"/>
        <w:contextualSpacing/>
        <w:jc w:val="both"/>
        <w:rPr>
          <w:rFonts w:ascii="Arial" w:hAnsi="Arial" w:cs="Arial"/>
          <w:i/>
          <w:sz w:val="22"/>
          <w:szCs w:val="22"/>
          <w:lang w:val="es-ES_tradnl" w:eastAsia="en-US"/>
        </w:rPr>
      </w:pPr>
      <w:r w:rsidRPr="00CA6835">
        <w:rPr>
          <w:rFonts w:ascii="Arial" w:hAnsi="Arial" w:cs="Arial"/>
          <w:i/>
          <w:sz w:val="22"/>
          <w:szCs w:val="22"/>
          <w:lang w:val="es-ES_tradnl" w:eastAsia="en-US"/>
        </w:rPr>
        <w:t>“…</w:t>
      </w:r>
    </w:p>
    <w:p w:rsidR="00CA6835" w:rsidRPr="00CA6835" w:rsidRDefault="00CA6835" w:rsidP="00CA6835">
      <w:pPr>
        <w:tabs>
          <w:tab w:val="left" w:pos="1701"/>
        </w:tabs>
        <w:ind w:left="502"/>
        <w:contextualSpacing/>
        <w:jc w:val="both"/>
        <w:rPr>
          <w:rFonts w:ascii="Arial" w:hAnsi="Arial" w:cs="Arial"/>
          <w:i/>
          <w:sz w:val="22"/>
          <w:szCs w:val="22"/>
          <w:lang w:val="es-ES_tradnl" w:eastAsia="en-US"/>
        </w:rPr>
      </w:pPr>
      <w:r w:rsidRPr="00CA6835">
        <w:rPr>
          <w:rFonts w:ascii="Arial" w:hAnsi="Arial" w:cs="Arial"/>
          <w:i/>
          <w:sz w:val="22"/>
          <w:szCs w:val="22"/>
          <w:lang w:val="es-ES_tradnl" w:eastAsia="en-US"/>
        </w:rPr>
        <w:t>6. … el M.B.A Harold Blanco Leitón, Director Ejecutivo del Departamento de Recursos Humanos, dictamina lo siguiente:</w:t>
      </w:r>
    </w:p>
    <w:p w:rsidR="00CA6835" w:rsidRPr="00CA6835" w:rsidRDefault="00CA6835" w:rsidP="00CA6835">
      <w:pPr>
        <w:tabs>
          <w:tab w:val="left" w:pos="1701"/>
        </w:tabs>
        <w:ind w:left="502"/>
        <w:jc w:val="both"/>
        <w:rPr>
          <w:rFonts w:ascii="Arial" w:eastAsia="Calibri" w:hAnsi="Arial" w:cs="Arial"/>
          <w:sz w:val="22"/>
          <w:szCs w:val="22"/>
          <w:lang w:val="es-CR" w:eastAsia="en-US"/>
        </w:rPr>
      </w:pPr>
    </w:p>
    <w:p w:rsidR="00CA6835" w:rsidRPr="00CA6835" w:rsidRDefault="00CA6835" w:rsidP="00CA6835">
      <w:pPr>
        <w:ind w:left="851" w:right="333"/>
        <w:jc w:val="both"/>
        <w:rPr>
          <w:rFonts w:ascii="Arial" w:hAnsi="Arial" w:cs="Arial"/>
          <w:i/>
          <w:sz w:val="22"/>
          <w:szCs w:val="22"/>
          <w:lang w:val="es-ES_tradnl" w:eastAsia="en-US"/>
        </w:rPr>
      </w:pPr>
      <w:r w:rsidRPr="00CA6835">
        <w:rPr>
          <w:rFonts w:ascii="Arial" w:hAnsi="Arial" w:cs="Arial"/>
          <w:i/>
          <w:sz w:val="22"/>
          <w:szCs w:val="22"/>
          <w:lang w:val="es-ES_tradnl" w:eastAsia="en-US"/>
        </w:rPr>
        <w:t>“…, respecto a la solicitud de emitir criterio de impacto presupuestario para el 2017 y 2018 en la plaza NT0216 de Profesional en Ingeniería y Arquitectura, y poder utilizarla como Profesional en Ingeniería y Arquitectura en la Oficina de Planificación Institucional, me permito indicar que no existiría impacto en el presupuesto ordinario 2017 y 2018, ya que ambos puestos son de profesional y tienen la misma categoría salarial.”</w:t>
      </w:r>
    </w:p>
    <w:p w:rsidR="00CA6835" w:rsidRPr="00CA6835" w:rsidRDefault="00CA6835" w:rsidP="00CA6835">
      <w:pPr>
        <w:widowControl w:val="0"/>
        <w:adjustRightInd w:val="0"/>
        <w:ind w:left="502"/>
        <w:contextualSpacing/>
        <w:jc w:val="both"/>
        <w:textAlignment w:val="baseline"/>
        <w:rPr>
          <w:rFonts w:ascii="Arial" w:eastAsia="Calibri" w:hAnsi="Arial" w:cs="Arial"/>
          <w:sz w:val="22"/>
          <w:szCs w:val="22"/>
          <w:lang w:val="es-CR" w:eastAsia="en-US"/>
        </w:rPr>
      </w:pPr>
    </w:p>
    <w:p w:rsidR="00CA6835" w:rsidRPr="00CA6835" w:rsidRDefault="00CA6835" w:rsidP="00CA6835">
      <w:pPr>
        <w:pStyle w:val="Prrafodelista"/>
        <w:ind w:left="1276" w:hanging="850"/>
        <w:contextualSpacing/>
        <w:jc w:val="both"/>
        <w:rPr>
          <w:rFonts w:ascii="Arial" w:eastAsia="Calibri" w:hAnsi="Arial" w:cs="Arial"/>
          <w:i/>
          <w:sz w:val="22"/>
          <w:szCs w:val="22"/>
          <w:lang w:val="es-CR" w:eastAsia="en-US"/>
        </w:rPr>
      </w:pPr>
      <w:r>
        <w:rPr>
          <w:rFonts w:ascii="Arial" w:eastAsia="Calibri" w:hAnsi="Arial" w:cs="Arial"/>
          <w:i/>
          <w:sz w:val="22"/>
          <w:szCs w:val="22"/>
          <w:lang w:val="es-CR" w:eastAsia="en-US"/>
        </w:rPr>
        <w:t xml:space="preserve">  7. </w:t>
      </w:r>
      <w:r w:rsidRPr="00CA6835">
        <w:rPr>
          <w:rFonts w:ascii="Arial" w:eastAsia="Calibri" w:hAnsi="Arial" w:cs="Arial"/>
          <w:i/>
          <w:sz w:val="22"/>
          <w:szCs w:val="22"/>
          <w:lang w:val="es-CR" w:eastAsia="en-US"/>
        </w:rPr>
        <w:t xml:space="preserve">La plaza a modificar se vincula con el Plan Anual Operativo 2018 de la Oficina de </w:t>
      </w:r>
      <w:r w:rsidRPr="00CA6835">
        <w:rPr>
          <w:rFonts w:ascii="Arial" w:hAnsi="Arial" w:cs="Arial"/>
          <w:i/>
          <w:sz w:val="22"/>
          <w:szCs w:val="22"/>
          <w:lang w:val="es-ES_tradnl" w:eastAsia="en-US"/>
        </w:rPr>
        <w:t>Planificación</w:t>
      </w:r>
      <w:r w:rsidRPr="00CA6835">
        <w:rPr>
          <w:rFonts w:ascii="Arial" w:eastAsia="Calibri" w:hAnsi="Arial" w:cs="Arial"/>
          <w:i/>
          <w:sz w:val="22"/>
          <w:szCs w:val="22"/>
          <w:lang w:val="es-CR" w:eastAsia="en-US"/>
        </w:rPr>
        <w:t xml:space="preserve"> Institucional, según consta en el SIPAO, mediante la meta:</w:t>
      </w:r>
    </w:p>
    <w:p w:rsidR="00CA6835" w:rsidRPr="00CA6835" w:rsidRDefault="00CA6835" w:rsidP="00CA6835">
      <w:pPr>
        <w:widowControl w:val="0"/>
        <w:adjustRightInd w:val="0"/>
        <w:ind w:left="142"/>
        <w:contextualSpacing/>
        <w:jc w:val="both"/>
        <w:textAlignment w:val="baseline"/>
        <w:rPr>
          <w:rFonts w:ascii="Arial" w:eastAsia="Calibri" w:hAnsi="Arial" w:cs="Arial"/>
          <w:i/>
          <w:sz w:val="22"/>
          <w:szCs w:val="22"/>
          <w:lang w:val="es-CR" w:eastAsia="en-US"/>
        </w:rPr>
      </w:pPr>
    </w:p>
    <w:tbl>
      <w:tblPr>
        <w:tblW w:w="46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4442"/>
      </w:tblGrid>
      <w:tr w:rsidR="00CA6835" w:rsidRPr="00CA6835" w:rsidTr="004411B2">
        <w:trPr>
          <w:trHeight w:val="376"/>
          <w:jc w:val="center"/>
        </w:trPr>
        <w:tc>
          <w:tcPr>
            <w:tcW w:w="2369" w:type="pct"/>
            <w:shd w:val="clear" w:color="auto" w:fill="4F81BD"/>
            <w:vAlign w:val="center"/>
          </w:tcPr>
          <w:p w:rsidR="00CA6835" w:rsidRPr="00CA6835" w:rsidRDefault="00CA6835" w:rsidP="00CA6835">
            <w:pPr>
              <w:widowControl w:val="0"/>
              <w:adjustRightInd w:val="0"/>
              <w:jc w:val="center"/>
              <w:textAlignment w:val="baseline"/>
              <w:rPr>
                <w:rFonts w:ascii="Arial" w:hAnsi="Arial" w:cs="Arial"/>
                <w:b/>
                <w:bCs/>
                <w:sz w:val="22"/>
                <w:szCs w:val="22"/>
                <w:lang w:val="es-CR" w:eastAsia="es-CR"/>
              </w:rPr>
            </w:pPr>
            <w:r w:rsidRPr="00CA6835">
              <w:rPr>
                <w:rFonts w:ascii="Arial" w:hAnsi="Arial" w:cs="Arial"/>
                <w:b/>
                <w:bCs/>
                <w:sz w:val="22"/>
                <w:szCs w:val="22"/>
                <w:lang w:val="es-CR" w:eastAsia="es-CR"/>
              </w:rPr>
              <w:t>Objetivo Estratégico</w:t>
            </w:r>
          </w:p>
        </w:tc>
        <w:tc>
          <w:tcPr>
            <w:tcW w:w="2631" w:type="pct"/>
            <w:shd w:val="clear" w:color="auto" w:fill="4F81BD"/>
            <w:vAlign w:val="center"/>
            <w:hideMark/>
          </w:tcPr>
          <w:p w:rsidR="00CA6835" w:rsidRPr="00CA6835" w:rsidRDefault="00CA6835" w:rsidP="00CA6835">
            <w:pPr>
              <w:widowControl w:val="0"/>
              <w:adjustRightInd w:val="0"/>
              <w:jc w:val="center"/>
              <w:textAlignment w:val="baseline"/>
              <w:rPr>
                <w:rFonts w:ascii="Arial" w:hAnsi="Arial" w:cs="Arial"/>
                <w:b/>
                <w:bCs/>
                <w:sz w:val="22"/>
                <w:szCs w:val="22"/>
                <w:lang w:val="es-CR" w:eastAsia="es-CR"/>
              </w:rPr>
            </w:pPr>
            <w:r w:rsidRPr="00CA6835">
              <w:rPr>
                <w:rFonts w:ascii="Arial" w:hAnsi="Arial" w:cs="Arial"/>
                <w:b/>
                <w:bCs/>
                <w:sz w:val="22"/>
                <w:szCs w:val="22"/>
                <w:lang w:val="es-CR" w:eastAsia="es-CR"/>
              </w:rPr>
              <w:t>Meta</w:t>
            </w:r>
          </w:p>
        </w:tc>
      </w:tr>
      <w:tr w:rsidR="00CA6835" w:rsidRPr="00CA6835" w:rsidTr="004411B2">
        <w:trPr>
          <w:trHeight w:val="1154"/>
          <w:jc w:val="center"/>
        </w:trPr>
        <w:tc>
          <w:tcPr>
            <w:tcW w:w="2369" w:type="pct"/>
            <w:shd w:val="clear" w:color="auto" w:fill="auto"/>
          </w:tcPr>
          <w:p w:rsidR="00CA6835" w:rsidRPr="00CA6835" w:rsidRDefault="00CA6835" w:rsidP="00CA6835">
            <w:pPr>
              <w:autoSpaceDE w:val="0"/>
              <w:autoSpaceDN w:val="0"/>
              <w:adjustRightInd w:val="0"/>
              <w:jc w:val="both"/>
              <w:rPr>
                <w:rFonts w:ascii="Arial" w:eastAsia="Calibri" w:hAnsi="Arial" w:cs="Arial"/>
                <w:sz w:val="22"/>
                <w:szCs w:val="22"/>
                <w:lang w:val="es-CR" w:eastAsia="es-CR"/>
              </w:rPr>
            </w:pPr>
            <w:r w:rsidRPr="00CA6835">
              <w:rPr>
                <w:rFonts w:ascii="Arial" w:eastAsia="Calibri" w:hAnsi="Arial" w:cs="Arial"/>
                <w:b/>
                <w:bCs/>
                <w:sz w:val="22"/>
                <w:szCs w:val="22"/>
                <w:lang w:val="es-CR" w:eastAsia="es-CR"/>
              </w:rPr>
              <w:t xml:space="preserve">5. </w:t>
            </w:r>
            <w:r w:rsidRPr="00CA6835">
              <w:rPr>
                <w:rFonts w:ascii="Arial" w:eastAsia="Calibri" w:hAnsi="Arial" w:cs="Arial"/>
                <w:bCs/>
                <w:sz w:val="22"/>
                <w:szCs w:val="22"/>
                <w:lang w:val="es-CR" w:eastAsia="es-CR"/>
              </w:rPr>
              <w:t xml:space="preserve">Contar con procesos y servicios ágiles, flexibles y oportunos para el desarrollo del quehacer institucional. </w:t>
            </w:r>
          </w:p>
          <w:p w:rsidR="00CA6835" w:rsidRPr="00CA6835" w:rsidRDefault="00CA6835" w:rsidP="00CA6835">
            <w:pPr>
              <w:widowControl w:val="0"/>
              <w:adjustRightInd w:val="0"/>
              <w:jc w:val="both"/>
              <w:textAlignment w:val="baseline"/>
              <w:rPr>
                <w:rFonts w:ascii="Arial" w:hAnsi="Arial" w:cs="Arial"/>
                <w:sz w:val="22"/>
                <w:szCs w:val="22"/>
                <w:lang w:val="es-CR"/>
              </w:rPr>
            </w:pPr>
          </w:p>
        </w:tc>
        <w:tc>
          <w:tcPr>
            <w:tcW w:w="2631" w:type="pct"/>
            <w:shd w:val="clear" w:color="auto" w:fill="auto"/>
            <w:hideMark/>
          </w:tcPr>
          <w:p w:rsidR="00CA6835" w:rsidRPr="00CA6835" w:rsidRDefault="00CA6835" w:rsidP="00CA6835">
            <w:pPr>
              <w:autoSpaceDE w:val="0"/>
              <w:autoSpaceDN w:val="0"/>
              <w:adjustRightInd w:val="0"/>
              <w:jc w:val="both"/>
              <w:rPr>
                <w:rFonts w:ascii="Arial" w:eastAsia="Calibri" w:hAnsi="Arial" w:cs="Arial"/>
                <w:sz w:val="22"/>
                <w:szCs w:val="22"/>
                <w:lang w:val="es-CR" w:eastAsia="es-CR"/>
              </w:rPr>
            </w:pPr>
            <w:r w:rsidRPr="00CA6835">
              <w:rPr>
                <w:rFonts w:ascii="Arial" w:eastAsia="Calibri" w:hAnsi="Arial" w:cs="Arial"/>
                <w:sz w:val="22"/>
                <w:szCs w:val="22"/>
                <w:lang w:val="es-CR" w:eastAsia="es-CR"/>
              </w:rPr>
              <w:t xml:space="preserve">5.1.1.3. Desarrollar 6 productos para la Implementación del Modelo de Excelencia en la Gestión Institucional </w:t>
            </w:r>
          </w:p>
          <w:p w:rsidR="00CA6835" w:rsidRPr="00CA6835" w:rsidRDefault="00CA6835" w:rsidP="00CA6835">
            <w:pPr>
              <w:widowControl w:val="0"/>
              <w:adjustRightInd w:val="0"/>
              <w:jc w:val="both"/>
              <w:textAlignment w:val="baseline"/>
              <w:rPr>
                <w:rFonts w:ascii="Arial" w:hAnsi="Arial" w:cs="Arial"/>
                <w:sz w:val="22"/>
                <w:szCs w:val="22"/>
              </w:rPr>
            </w:pPr>
            <w:r w:rsidRPr="00CA6835">
              <w:rPr>
                <w:rFonts w:ascii="Arial" w:hAnsi="Arial" w:cs="Arial"/>
                <w:sz w:val="22"/>
                <w:szCs w:val="22"/>
              </w:rPr>
              <w:t>.</w:t>
            </w:r>
          </w:p>
        </w:tc>
      </w:tr>
    </w:tbl>
    <w:p w:rsidR="00CA6835" w:rsidRPr="00CA6835" w:rsidRDefault="00CA6835" w:rsidP="00CA6835">
      <w:pPr>
        <w:rPr>
          <w:rFonts w:ascii="Arial" w:hAnsi="Arial" w:cs="Arial"/>
          <w:sz w:val="16"/>
          <w:szCs w:val="16"/>
        </w:rPr>
      </w:pPr>
      <w:r w:rsidRPr="00CA6835">
        <w:rPr>
          <w:rFonts w:ascii="Arial" w:hAnsi="Arial" w:cs="Arial"/>
          <w:sz w:val="16"/>
          <w:szCs w:val="16"/>
        </w:rPr>
        <w:t xml:space="preserve">    Fuente: PAO 2018, Sistema Institucional del Plan Anual Operativo, Oficina de Planificación Institucional.”</w:t>
      </w:r>
    </w:p>
    <w:p w:rsidR="00CA6835" w:rsidRPr="00CA6835" w:rsidRDefault="00CA6835" w:rsidP="00CA6835">
      <w:pPr>
        <w:rPr>
          <w:rFonts w:ascii="Arial" w:hAnsi="Arial" w:cs="Arial"/>
          <w:b/>
          <w:sz w:val="28"/>
        </w:rPr>
      </w:pPr>
    </w:p>
    <w:p w:rsidR="00CA6835" w:rsidRPr="00CA6835" w:rsidRDefault="00CA6835" w:rsidP="00A32191">
      <w:pPr>
        <w:numPr>
          <w:ilvl w:val="0"/>
          <w:numId w:val="4"/>
        </w:numPr>
        <w:ind w:left="378"/>
        <w:contextualSpacing/>
        <w:jc w:val="both"/>
        <w:rPr>
          <w:rFonts w:ascii="Arial" w:eastAsia="Calibri" w:hAnsi="Arial" w:cs="Arial"/>
          <w:lang w:val="es-CR" w:eastAsia="en-US"/>
        </w:rPr>
      </w:pPr>
      <w:r w:rsidRPr="00CA6835">
        <w:rPr>
          <w:rFonts w:ascii="Arial" w:eastAsia="Calibri" w:hAnsi="Arial" w:cs="Arial"/>
          <w:lang w:val="es-CR" w:eastAsia="en-US"/>
        </w:rPr>
        <w:t>La condición de nombramiento discrecional dada a la plaza NT0216 por el Consejo Institucional en la Sesión Ordinaria No. 2952, Artículo 10, del 11 de diciembre de 2015, no se ajusta a lo dispuesto en los artículos 27 y 28 de la Segunda Convención Colectiva de Trabajo y sus Reformas, razón por la que debe ser modificada.</w:t>
      </w:r>
    </w:p>
    <w:p w:rsidR="00CA6835" w:rsidRPr="00CA6835" w:rsidRDefault="00CA6835" w:rsidP="00CA6835">
      <w:pPr>
        <w:rPr>
          <w:rFonts w:ascii="Arial" w:hAnsi="Arial" w:cs="Arial"/>
          <w:b/>
          <w:sz w:val="28"/>
        </w:rPr>
      </w:pPr>
    </w:p>
    <w:p w:rsidR="00CA6835" w:rsidRPr="00CA6835" w:rsidRDefault="00CA6835" w:rsidP="00CA6835">
      <w:pPr>
        <w:rPr>
          <w:rFonts w:ascii="Arial" w:hAnsi="Arial" w:cs="Arial"/>
          <w:b/>
          <w:sz w:val="28"/>
        </w:rPr>
      </w:pPr>
      <w:r w:rsidRPr="00CA6835">
        <w:rPr>
          <w:rFonts w:ascii="Arial" w:hAnsi="Arial" w:cs="Arial"/>
          <w:b/>
          <w:sz w:val="28"/>
        </w:rPr>
        <w:t>SE</w:t>
      </w:r>
      <w:r>
        <w:rPr>
          <w:rFonts w:ascii="Arial" w:hAnsi="Arial" w:cs="Arial"/>
          <w:b/>
          <w:sz w:val="28"/>
        </w:rPr>
        <w:t xml:space="preserve"> ACUERDA</w:t>
      </w:r>
      <w:r w:rsidRPr="00CA6835">
        <w:rPr>
          <w:rFonts w:ascii="Arial" w:hAnsi="Arial" w:cs="Arial"/>
          <w:b/>
          <w:sz w:val="28"/>
        </w:rPr>
        <w:t>:</w:t>
      </w:r>
    </w:p>
    <w:p w:rsidR="00CA6835" w:rsidRPr="00CA6835" w:rsidRDefault="00CA6835" w:rsidP="00CA6835">
      <w:pPr>
        <w:rPr>
          <w:rFonts w:ascii="Arial" w:hAnsi="Arial" w:cs="Arial"/>
          <w:sz w:val="20"/>
          <w:szCs w:val="20"/>
        </w:rPr>
      </w:pPr>
    </w:p>
    <w:p w:rsidR="00CA6835" w:rsidRPr="00CA6835" w:rsidRDefault="00CA6835" w:rsidP="00A32191">
      <w:pPr>
        <w:numPr>
          <w:ilvl w:val="0"/>
          <w:numId w:val="5"/>
        </w:numPr>
        <w:ind w:left="284"/>
        <w:contextualSpacing/>
        <w:jc w:val="both"/>
        <w:rPr>
          <w:rFonts w:ascii="Arial" w:eastAsia="Calibri" w:hAnsi="Arial" w:cs="Arial"/>
          <w:lang w:val="es-CR" w:eastAsia="en-US"/>
        </w:rPr>
      </w:pPr>
      <w:r w:rsidRPr="00CA6835">
        <w:rPr>
          <w:rFonts w:ascii="Arial" w:eastAsia="Calibri" w:hAnsi="Arial" w:cs="Arial"/>
          <w:lang w:eastAsia="en-US"/>
        </w:rPr>
        <w:t xml:space="preserve"> </w:t>
      </w:r>
      <w:r w:rsidRPr="00CA6835">
        <w:rPr>
          <w:rFonts w:ascii="Arial" w:eastAsia="Calibri" w:hAnsi="Arial" w:cs="Arial"/>
          <w:lang w:val="es-CR" w:eastAsia="en-US"/>
        </w:rPr>
        <w:t>Aprobar la modificación de la plaza NT-0216 de acuerdo con lo indicado en el siguiente cuadro:</w:t>
      </w:r>
    </w:p>
    <w:p w:rsidR="00CA6835" w:rsidRPr="00CA6835" w:rsidRDefault="00CA6835" w:rsidP="00CA6835">
      <w:pPr>
        <w:rPr>
          <w:rFonts w:ascii="Arial" w:hAnsi="Arial" w:cs="Arial"/>
          <w:sz w:val="16"/>
          <w:szCs w:val="16"/>
        </w:rPr>
      </w:pPr>
    </w:p>
    <w:tbl>
      <w:tblPr>
        <w:tblW w:w="8591" w:type="dxa"/>
        <w:tblInd w:w="250" w:type="dxa"/>
        <w:tblLayout w:type="fixed"/>
        <w:tblLook w:val="0000" w:firstRow="0" w:lastRow="0" w:firstColumn="0" w:lastColumn="0" w:noHBand="0" w:noVBand="0"/>
      </w:tblPr>
      <w:tblGrid>
        <w:gridCol w:w="709"/>
        <w:gridCol w:w="850"/>
        <w:gridCol w:w="1316"/>
        <w:gridCol w:w="613"/>
        <w:gridCol w:w="663"/>
        <w:gridCol w:w="992"/>
        <w:gridCol w:w="709"/>
        <w:gridCol w:w="1463"/>
        <w:gridCol w:w="1276"/>
      </w:tblGrid>
      <w:tr w:rsidR="00CA6835" w:rsidRPr="00CA6835" w:rsidTr="004411B2">
        <w:trPr>
          <w:trHeight w:val="900"/>
        </w:trPr>
        <w:tc>
          <w:tcPr>
            <w:tcW w:w="709" w:type="dxa"/>
            <w:tcBorders>
              <w:top w:val="single" w:sz="4" w:space="0" w:color="000000"/>
              <w:left w:val="single" w:sz="4" w:space="0" w:color="auto"/>
              <w:bottom w:val="single" w:sz="4" w:space="0" w:color="000000"/>
              <w:right w:val="single" w:sz="4" w:space="0" w:color="000000"/>
            </w:tcBorders>
            <w:shd w:val="clear" w:color="auto" w:fill="2F75B5"/>
            <w:vAlign w:val="center"/>
          </w:tcPr>
          <w:p w:rsidR="00CA6835" w:rsidRPr="00CA6835" w:rsidRDefault="00CA6835" w:rsidP="00CA6835">
            <w:pPr>
              <w:jc w:val="center"/>
              <w:rPr>
                <w:rFonts w:ascii="Arial" w:hAnsi="Arial" w:cs="Arial"/>
                <w:sz w:val="16"/>
                <w:szCs w:val="16"/>
              </w:rPr>
            </w:pPr>
            <w:proofErr w:type="spellStart"/>
            <w:r w:rsidRPr="00CA6835">
              <w:rPr>
                <w:rFonts w:ascii="Arial" w:eastAsia="Arial" w:hAnsi="Arial" w:cs="Arial"/>
                <w:b/>
                <w:sz w:val="16"/>
                <w:szCs w:val="16"/>
              </w:rPr>
              <w:t>Prog</w:t>
            </w:r>
            <w:proofErr w:type="spellEnd"/>
            <w:r w:rsidRPr="00CA6835">
              <w:rPr>
                <w:rFonts w:ascii="Arial" w:eastAsia="Arial" w:hAnsi="Arial" w:cs="Arial"/>
                <w:b/>
                <w:sz w:val="16"/>
                <w:szCs w:val="16"/>
              </w:rPr>
              <w:t>.</w:t>
            </w:r>
          </w:p>
        </w:tc>
        <w:tc>
          <w:tcPr>
            <w:tcW w:w="850"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Arial" w:eastAsia="Arial" w:hAnsi="Arial" w:cs="Arial"/>
                <w:b/>
                <w:sz w:val="16"/>
                <w:szCs w:val="16"/>
              </w:rPr>
            </w:pPr>
            <w:r w:rsidRPr="00CA6835">
              <w:rPr>
                <w:rFonts w:ascii="Arial" w:eastAsia="Arial" w:hAnsi="Arial" w:cs="Arial"/>
                <w:b/>
                <w:sz w:val="16"/>
                <w:szCs w:val="16"/>
              </w:rPr>
              <w:t>Código</w:t>
            </w:r>
          </w:p>
        </w:tc>
        <w:tc>
          <w:tcPr>
            <w:tcW w:w="1316"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Arial" w:hAnsi="Arial" w:cs="Arial"/>
                <w:sz w:val="16"/>
                <w:szCs w:val="16"/>
              </w:rPr>
            </w:pPr>
            <w:r w:rsidRPr="00CA6835">
              <w:rPr>
                <w:rFonts w:ascii="Arial" w:eastAsia="Arial" w:hAnsi="Arial" w:cs="Arial"/>
                <w:b/>
                <w:sz w:val="16"/>
                <w:szCs w:val="16"/>
              </w:rPr>
              <w:t>Puesto</w:t>
            </w:r>
          </w:p>
        </w:tc>
        <w:tc>
          <w:tcPr>
            <w:tcW w:w="613"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Arial" w:hAnsi="Arial" w:cs="Arial"/>
                <w:sz w:val="16"/>
                <w:szCs w:val="16"/>
              </w:rPr>
            </w:pPr>
            <w:r w:rsidRPr="00CA6835">
              <w:rPr>
                <w:rFonts w:ascii="Arial" w:eastAsia="Arial" w:hAnsi="Arial" w:cs="Arial"/>
                <w:b/>
                <w:sz w:val="16"/>
                <w:szCs w:val="16"/>
              </w:rPr>
              <w:t>Categoría</w:t>
            </w:r>
          </w:p>
        </w:tc>
        <w:tc>
          <w:tcPr>
            <w:tcW w:w="663"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Arial" w:hAnsi="Arial" w:cs="Arial"/>
                <w:sz w:val="16"/>
                <w:szCs w:val="16"/>
              </w:rPr>
            </w:pPr>
            <w:r w:rsidRPr="00CA6835">
              <w:rPr>
                <w:rFonts w:ascii="Arial" w:eastAsia="Arial" w:hAnsi="Arial" w:cs="Arial"/>
                <w:b/>
                <w:sz w:val="16"/>
                <w:szCs w:val="16"/>
              </w:rPr>
              <w:t>Jornada</w:t>
            </w:r>
          </w:p>
        </w:tc>
        <w:tc>
          <w:tcPr>
            <w:tcW w:w="992"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Arial" w:hAnsi="Arial" w:cs="Arial"/>
                <w:sz w:val="16"/>
                <w:szCs w:val="16"/>
              </w:rPr>
            </w:pPr>
            <w:r w:rsidRPr="00CA6835">
              <w:rPr>
                <w:rFonts w:ascii="Arial" w:eastAsia="Arial" w:hAnsi="Arial" w:cs="Arial"/>
                <w:b/>
                <w:sz w:val="16"/>
                <w:szCs w:val="16"/>
              </w:rPr>
              <w:t>Periodo (meses)</w:t>
            </w:r>
          </w:p>
        </w:tc>
        <w:tc>
          <w:tcPr>
            <w:tcW w:w="709"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Arial" w:hAnsi="Arial" w:cs="Arial"/>
                <w:sz w:val="16"/>
                <w:szCs w:val="16"/>
              </w:rPr>
            </w:pPr>
            <w:r w:rsidRPr="00CA6835">
              <w:rPr>
                <w:rFonts w:ascii="Arial" w:eastAsia="Arial" w:hAnsi="Arial" w:cs="Arial"/>
                <w:b/>
                <w:sz w:val="16"/>
                <w:szCs w:val="16"/>
              </w:rPr>
              <w:t>TCE</w:t>
            </w:r>
          </w:p>
        </w:tc>
        <w:tc>
          <w:tcPr>
            <w:tcW w:w="1463"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Arial" w:hAnsi="Arial" w:cs="Arial"/>
                <w:sz w:val="16"/>
                <w:szCs w:val="16"/>
              </w:rPr>
            </w:pPr>
            <w:r w:rsidRPr="00CA6835">
              <w:rPr>
                <w:rFonts w:ascii="Arial" w:eastAsia="Arial" w:hAnsi="Arial" w:cs="Arial"/>
                <w:b/>
                <w:sz w:val="16"/>
                <w:szCs w:val="16"/>
              </w:rPr>
              <w:t>Nombramiento</w:t>
            </w:r>
          </w:p>
        </w:tc>
        <w:tc>
          <w:tcPr>
            <w:tcW w:w="1276" w:type="dxa"/>
            <w:tcBorders>
              <w:top w:val="single" w:sz="4" w:space="0" w:color="000000"/>
              <w:left w:val="nil"/>
              <w:bottom w:val="single" w:sz="4" w:space="0" w:color="000000"/>
              <w:right w:val="single" w:sz="4" w:space="0" w:color="000000"/>
            </w:tcBorders>
            <w:shd w:val="clear" w:color="auto" w:fill="2F75B5"/>
            <w:vAlign w:val="center"/>
          </w:tcPr>
          <w:p w:rsidR="00CA6835" w:rsidRPr="00CA6835" w:rsidRDefault="00CA6835" w:rsidP="00CA6835">
            <w:pPr>
              <w:jc w:val="center"/>
              <w:rPr>
                <w:rFonts w:ascii="Arial" w:hAnsi="Arial" w:cs="Arial"/>
                <w:sz w:val="16"/>
                <w:szCs w:val="16"/>
              </w:rPr>
            </w:pPr>
            <w:r w:rsidRPr="00CA6835">
              <w:rPr>
                <w:rFonts w:ascii="Arial" w:eastAsia="Arial" w:hAnsi="Arial" w:cs="Arial"/>
                <w:b/>
                <w:sz w:val="16"/>
                <w:szCs w:val="16"/>
              </w:rPr>
              <w:t>Adscrita a:</w:t>
            </w:r>
          </w:p>
        </w:tc>
      </w:tr>
      <w:tr w:rsidR="00CA6835" w:rsidRPr="00CA6835" w:rsidTr="004411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709" w:type="dxa"/>
            <w:vAlign w:val="center"/>
          </w:tcPr>
          <w:p w:rsidR="00CA6835" w:rsidRPr="00CA6835" w:rsidRDefault="00CA6835" w:rsidP="00CA6835">
            <w:pPr>
              <w:jc w:val="center"/>
              <w:rPr>
                <w:rFonts w:ascii="Arial" w:hAnsi="Arial" w:cs="Arial"/>
                <w:sz w:val="16"/>
                <w:szCs w:val="16"/>
              </w:rPr>
            </w:pPr>
            <w:r w:rsidRPr="00CA6835">
              <w:rPr>
                <w:rFonts w:ascii="Arial" w:eastAsia="Calibri" w:hAnsi="Arial" w:cs="Arial"/>
                <w:sz w:val="16"/>
                <w:szCs w:val="16"/>
              </w:rPr>
              <w:t>1.1</w:t>
            </w:r>
          </w:p>
        </w:tc>
        <w:tc>
          <w:tcPr>
            <w:tcW w:w="850" w:type="dxa"/>
            <w:vAlign w:val="center"/>
          </w:tcPr>
          <w:p w:rsidR="00CA6835" w:rsidRPr="00CA6835" w:rsidRDefault="00CA6835" w:rsidP="00CA6835">
            <w:pPr>
              <w:jc w:val="center"/>
              <w:rPr>
                <w:rFonts w:ascii="Arial" w:hAnsi="Arial" w:cs="Arial"/>
                <w:sz w:val="16"/>
                <w:szCs w:val="16"/>
              </w:rPr>
            </w:pPr>
            <w:r w:rsidRPr="00CA6835">
              <w:rPr>
                <w:rFonts w:ascii="Arial" w:eastAsia="Calibri" w:hAnsi="Arial" w:cs="Arial"/>
                <w:sz w:val="16"/>
                <w:szCs w:val="16"/>
              </w:rPr>
              <w:t>NT0216</w:t>
            </w:r>
          </w:p>
        </w:tc>
        <w:tc>
          <w:tcPr>
            <w:tcW w:w="1316" w:type="dxa"/>
            <w:vAlign w:val="center"/>
          </w:tcPr>
          <w:p w:rsidR="00CA6835" w:rsidRPr="00CA6835" w:rsidRDefault="00CA6835" w:rsidP="00CA6835">
            <w:pPr>
              <w:jc w:val="center"/>
              <w:rPr>
                <w:rFonts w:ascii="Arial" w:hAnsi="Arial" w:cs="Arial"/>
                <w:sz w:val="16"/>
                <w:szCs w:val="16"/>
              </w:rPr>
            </w:pPr>
            <w:r w:rsidRPr="00CA6835">
              <w:rPr>
                <w:rFonts w:ascii="Arial" w:eastAsia="Calibri" w:hAnsi="Arial" w:cs="Arial"/>
                <w:sz w:val="16"/>
                <w:szCs w:val="16"/>
              </w:rPr>
              <w:t>Profesional en Ingeniería o Arquitectura</w:t>
            </w:r>
          </w:p>
        </w:tc>
        <w:tc>
          <w:tcPr>
            <w:tcW w:w="613" w:type="dxa"/>
            <w:vAlign w:val="center"/>
          </w:tcPr>
          <w:p w:rsidR="00CA6835" w:rsidRPr="00CA6835" w:rsidRDefault="00CA6835" w:rsidP="00CA6835">
            <w:pPr>
              <w:jc w:val="center"/>
              <w:rPr>
                <w:rFonts w:ascii="Arial" w:hAnsi="Arial" w:cs="Arial"/>
                <w:sz w:val="16"/>
                <w:szCs w:val="16"/>
              </w:rPr>
            </w:pPr>
            <w:r w:rsidRPr="00CA6835">
              <w:rPr>
                <w:rFonts w:ascii="Arial" w:eastAsia="Calibri" w:hAnsi="Arial" w:cs="Arial"/>
                <w:sz w:val="16"/>
                <w:szCs w:val="16"/>
              </w:rPr>
              <w:t>23</w:t>
            </w:r>
          </w:p>
        </w:tc>
        <w:tc>
          <w:tcPr>
            <w:tcW w:w="663" w:type="dxa"/>
            <w:vAlign w:val="center"/>
          </w:tcPr>
          <w:p w:rsidR="00CA6835" w:rsidRPr="00CA6835" w:rsidRDefault="00CA6835" w:rsidP="00CA6835">
            <w:pPr>
              <w:jc w:val="center"/>
              <w:rPr>
                <w:rFonts w:ascii="Arial" w:hAnsi="Arial" w:cs="Arial"/>
                <w:sz w:val="16"/>
                <w:szCs w:val="16"/>
              </w:rPr>
            </w:pPr>
            <w:r w:rsidRPr="00CA6835">
              <w:rPr>
                <w:rFonts w:ascii="Arial" w:eastAsia="Calibri" w:hAnsi="Arial" w:cs="Arial"/>
                <w:sz w:val="16"/>
                <w:szCs w:val="16"/>
              </w:rPr>
              <w:t>100%</w:t>
            </w:r>
          </w:p>
        </w:tc>
        <w:tc>
          <w:tcPr>
            <w:tcW w:w="992" w:type="dxa"/>
            <w:vAlign w:val="center"/>
          </w:tcPr>
          <w:p w:rsidR="00CA6835" w:rsidRPr="00CA6835" w:rsidRDefault="00CA6835" w:rsidP="00CA6835">
            <w:pPr>
              <w:jc w:val="center"/>
              <w:rPr>
                <w:rFonts w:ascii="Arial" w:hAnsi="Arial" w:cs="Arial"/>
                <w:sz w:val="16"/>
                <w:szCs w:val="16"/>
              </w:rPr>
            </w:pPr>
            <w:r w:rsidRPr="00CA6835">
              <w:rPr>
                <w:rFonts w:ascii="Arial" w:eastAsia="Calibri" w:hAnsi="Arial" w:cs="Arial"/>
                <w:sz w:val="16"/>
                <w:szCs w:val="16"/>
              </w:rPr>
              <w:t>12</w:t>
            </w:r>
          </w:p>
        </w:tc>
        <w:tc>
          <w:tcPr>
            <w:tcW w:w="709" w:type="dxa"/>
            <w:vAlign w:val="center"/>
          </w:tcPr>
          <w:p w:rsidR="00CA6835" w:rsidRPr="00CA6835" w:rsidRDefault="00CA6835" w:rsidP="00CA6835">
            <w:pPr>
              <w:jc w:val="center"/>
              <w:rPr>
                <w:rFonts w:ascii="Arial" w:hAnsi="Arial" w:cs="Arial"/>
                <w:sz w:val="16"/>
                <w:szCs w:val="16"/>
              </w:rPr>
            </w:pPr>
            <w:r w:rsidRPr="00CA6835">
              <w:rPr>
                <w:rFonts w:ascii="Arial" w:eastAsia="Calibri" w:hAnsi="Arial" w:cs="Arial"/>
                <w:sz w:val="16"/>
                <w:szCs w:val="16"/>
              </w:rPr>
              <w:t>1,00</w:t>
            </w:r>
          </w:p>
        </w:tc>
        <w:tc>
          <w:tcPr>
            <w:tcW w:w="1463" w:type="dxa"/>
            <w:vAlign w:val="center"/>
          </w:tcPr>
          <w:p w:rsidR="00CA6835" w:rsidRPr="00CA6835" w:rsidRDefault="00CA6835" w:rsidP="00CA6835">
            <w:pPr>
              <w:jc w:val="center"/>
              <w:rPr>
                <w:rFonts w:ascii="Arial" w:hAnsi="Arial" w:cs="Arial"/>
                <w:sz w:val="16"/>
                <w:szCs w:val="16"/>
              </w:rPr>
            </w:pPr>
            <w:r w:rsidRPr="00CA6835">
              <w:rPr>
                <w:rFonts w:ascii="Arial" w:eastAsia="Calibri" w:hAnsi="Arial" w:cs="Arial"/>
                <w:sz w:val="16"/>
                <w:szCs w:val="16"/>
              </w:rPr>
              <w:t>Permanente NT</w:t>
            </w:r>
          </w:p>
        </w:tc>
        <w:tc>
          <w:tcPr>
            <w:tcW w:w="1276" w:type="dxa"/>
            <w:vAlign w:val="center"/>
          </w:tcPr>
          <w:p w:rsidR="00CA6835" w:rsidRPr="00CA6835" w:rsidRDefault="00CA6835" w:rsidP="00CA6835">
            <w:pPr>
              <w:rPr>
                <w:rFonts w:ascii="Arial" w:hAnsi="Arial" w:cs="Arial"/>
                <w:sz w:val="16"/>
                <w:szCs w:val="16"/>
              </w:rPr>
            </w:pPr>
            <w:r w:rsidRPr="00CA6835">
              <w:rPr>
                <w:rFonts w:ascii="Arial" w:eastAsia="Calibri" w:hAnsi="Arial" w:cs="Arial"/>
                <w:sz w:val="16"/>
                <w:szCs w:val="16"/>
              </w:rPr>
              <w:t xml:space="preserve">Oficina de Planificación Institucional </w:t>
            </w:r>
          </w:p>
        </w:tc>
      </w:tr>
    </w:tbl>
    <w:p w:rsidR="00CA6835" w:rsidRPr="00CA6835" w:rsidRDefault="00CA6835" w:rsidP="00CA6835">
      <w:pPr>
        <w:ind w:left="708"/>
        <w:contextualSpacing/>
        <w:jc w:val="both"/>
        <w:rPr>
          <w:rFonts w:ascii="Arial" w:eastAsia="Calibri" w:hAnsi="Arial" w:cs="Arial"/>
          <w:lang w:val="es-CR" w:eastAsia="en-US"/>
        </w:rPr>
      </w:pPr>
    </w:p>
    <w:p w:rsidR="00CA6835" w:rsidRDefault="00CA6835" w:rsidP="00A32191">
      <w:pPr>
        <w:numPr>
          <w:ilvl w:val="0"/>
          <w:numId w:val="5"/>
        </w:numPr>
        <w:ind w:left="284"/>
        <w:contextualSpacing/>
        <w:jc w:val="both"/>
        <w:rPr>
          <w:rFonts w:ascii="Arial" w:eastAsia="Calibri" w:hAnsi="Arial" w:cs="Arial"/>
          <w:lang w:val="es-CR" w:eastAsia="en-US"/>
        </w:rPr>
      </w:pPr>
      <w:r w:rsidRPr="00CA6835">
        <w:rPr>
          <w:rFonts w:ascii="Arial" w:eastAsia="Calibri" w:hAnsi="Arial" w:cs="Arial"/>
          <w:lang w:val="es-CR" w:eastAsia="en-US"/>
        </w:rPr>
        <w:lastRenderedPageBreak/>
        <w:t>Revocar la condición de nombramiento discrecional de la plaza NT0216, asignada en la Sesión Ordinaria No. 2952, Artículo 10, del 11 de diciembre de 2015 y establecer que los nombramientos en esta plaza deberán ajustarse a lo dispuesto en la “Segunda Convención Colectiva de Trabajo y sus Reformas” y en la reglamentación vigente.</w:t>
      </w:r>
    </w:p>
    <w:p w:rsidR="00CA6835" w:rsidRDefault="00CA6835" w:rsidP="00CA6835">
      <w:pPr>
        <w:ind w:left="284"/>
        <w:contextualSpacing/>
        <w:jc w:val="both"/>
        <w:rPr>
          <w:rFonts w:ascii="Arial" w:eastAsia="Calibri" w:hAnsi="Arial" w:cs="Arial"/>
          <w:lang w:val="es-CR" w:eastAsia="en-US"/>
        </w:rPr>
      </w:pPr>
    </w:p>
    <w:p w:rsidR="00CA6835" w:rsidRPr="00CA6835" w:rsidRDefault="00CA6835" w:rsidP="00A32191">
      <w:pPr>
        <w:numPr>
          <w:ilvl w:val="0"/>
          <w:numId w:val="5"/>
        </w:numPr>
        <w:ind w:left="284"/>
        <w:contextualSpacing/>
        <w:jc w:val="both"/>
        <w:rPr>
          <w:rFonts w:ascii="Arial" w:eastAsia="Calibri" w:hAnsi="Arial" w:cs="Arial"/>
          <w:lang w:val="es-CR" w:eastAsia="en-US"/>
        </w:rPr>
      </w:pPr>
      <w:r>
        <w:rPr>
          <w:rFonts w:ascii="Arial" w:eastAsia="Calibri" w:hAnsi="Arial" w:cs="Arial"/>
          <w:lang w:val="es-CR" w:eastAsia="en-US"/>
        </w:rPr>
        <w:t xml:space="preserve">Comunicar.  </w:t>
      </w:r>
      <w:r w:rsidRPr="00CA6835">
        <w:rPr>
          <w:rFonts w:ascii="Arial" w:eastAsia="Calibri" w:hAnsi="Arial" w:cs="Arial"/>
          <w:b/>
          <w:lang w:val="es-CR" w:eastAsia="en-US"/>
        </w:rPr>
        <w:t>ACUERDO FIRME</w:t>
      </w:r>
      <w:r>
        <w:rPr>
          <w:rFonts w:ascii="Arial" w:eastAsia="Calibri" w:hAnsi="Arial" w:cs="Arial"/>
          <w:lang w:val="es-CR" w:eastAsia="en-US"/>
        </w:rPr>
        <w:t>.</w:t>
      </w:r>
    </w:p>
    <w:p w:rsidR="00CA6835" w:rsidRPr="00CA6835" w:rsidRDefault="00CA6835" w:rsidP="00CA6835">
      <w:pPr>
        <w:rPr>
          <w:rFonts w:ascii="Arial" w:hAnsi="Arial" w:cs="Arial"/>
          <w:sz w:val="16"/>
          <w:szCs w:val="16"/>
        </w:rPr>
      </w:pPr>
    </w:p>
    <w:p w:rsidR="00CA6835" w:rsidRPr="00CA6835" w:rsidRDefault="00CA6835" w:rsidP="00CA6835">
      <w:pPr>
        <w:ind w:left="708"/>
        <w:contextualSpacing/>
        <w:jc w:val="both"/>
        <w:rPr>
          <w:rFonts w:ascii="Arial" w:eastAsia="Calibri" w:hAnsi="Arial" w:cs="Arial"/>
          <w:sz w:val="16"/>
          <w:szCs w:val="16"/>
          <w:lang w:val="es-CR" w:eastAsia="en-US"/>
        </w:rPr>
      </w:pPr>
    </w:p>
    <w:p w:rsidR="00CA6835" w:rsidRDefault="00CA6835" w:rsidP="00CA6835">
      <w:pPr>
        <w:tabs>
          <w:tab w:val="left" w:pos="760"/>
        </w:tabs>
        <w:spacing w:line="276" w:lineRule="auto"/>
        <w:jc w:val="both"/>
        <w:rPr>
          <w:rFonts w:ascii="Arial" w:hAnsi="Arial" w:cs="Arial"/>
        </w:rPr>
      </w:pPr>
      <w:r w:rsidRPr="00CA6835">
        <w:rPr>
          <w:rFonts w:ascii="Arial" w:hAnsi="Arial" w:cs="Arial"/>
          <w:b/>
          <w:sz w:val="22"/>
          <w:szCs w:val="22"/>
        </w:rPr>
        <w:t xml:space="preserve">Palabras clave: </w:t>
      </w:r>
      <w:r w:rsidRPr="00CA6835">
        <w:rPr>
          <w:rFonts w:ascii="Arial" w:hAnsi="Arial" w:cs="Arial"/>
          <w:sz w:val="22"/>
          <w:szCs w:val="22"/>
        </w:rPr>
        <w:t>Modificación</w:t>
      </w:r>
      <w:r w:rsidRPr="00CA6835">
        <w:rPr>
          <w:rFonts w:ascii="Arial" w:hAnsi="Arial" w:cs="Arial"/>
          <w:b/>
          <w:sz w:val="22"/>
          <w:szCs w:val="22"/>
        </w:rPr>
        <w:t xml:space="preserve"> – </w:t>
      </w:r>
      <w:r w:rsidRPr="00CA6835">
        <w:rPr>
          <w:rFonts w:ascii="Arial" w:hAnsi="Arial" w:cs="Arial"/>
        </w:rPr>
        <w:t xml:space="preserve">plaza -  NT-0216 </w:t>
      </w:r>
    </w:p>
    <w:p w:rsidR="0033165E" w:rsidRDefault="0033165E" w:rsidP="00CA6835">
      <w:pPr>
        <w:tabs>
          <w:tab w:val="left" w:pos="760"/>
        </w:tabs>
        <w:spacing w:line="276" w:lineRule="auto"/>
        <w:jc w:val="both"/>
        <w:rPr>
          <w:rFonts w:ascii="Arial" w:hAnsi="Arial" w:cs="Arial"/>
        </w:rPr>
      </w:pPr>
    </w:p>
    <w:p w:rsidR="0033165E" w:rsidRPr="00CA6835" w:rsidRDefault="0033165E" w:rsidP="00CA6835">
      <w:pPr>
        <w:tabs>
          <w:tab w:val="left" w:pos="760"/>
        </w:tabs>
        <w:spacing w:line="276" w:lineRule="auto"/>
        <w:jc w:val="both"/>
        <w:rPr>
          <w:rFonts w:ascii="Arial" w:hAnsi="Arial" w:cs="Arial"/>
          <w:b/>
          <w:sz w:val="22"/>
          <w:szCs w:val="22"/>
        </w:rPr>
      </w:pPr>
    </w:p>
    <w:p w:rsidR="00CA6835" w:rsidRPr="00CA6835" w:rsidRDefault="00CA6835" w:rsidP="007742A1">
      <w:pPr>
        <w:jc w:val="both"/>
        <w:rPr>
          <w:rFonts w:ascii="Arial" w:eastAsia="Cambria" w:hAnsi="Arial" w:cs="Arial"/>
          <w:lang w:eastAsia="en-US"/>
        </w:rPr>
      </w:pPr>
    </w:p>
    <w:tbl>
      <w:tblPr>
        <w:tblpPr w:leftFromText="142" w:rightFromText="142" w:vertAnchor="text" w:horzAnchor="margin" w:tblpY="1"/>
        <w:tblOverlap w:val="never"/>
        <w:tblW w:w="0" w:type="auto"/>
        <w:tblLook w:val="04A0" w:firstRow="1" w:lastRow="0" w:firstColumn="1" w:lastColumn="0" w:noHBand="0" w:noVBand="1"/>
      </w:tblPr>
      <w:tblGrid>
        <w:gridCol w:w="3195"/>
        <w:gridCol w:w="5301"/>
        <w:gridCol w:w="222"/>
      </w:tblGrid>
      <w:tr w:rsidR="0033165E" w:rsidTr="0033165E">
        <w:trPr>
          <w:trHeight w:val="183"/>
        </w:trPr>
        <w:tc>
          <w:tcPr>
            <w:tcW w:w="0" w:type="auto"/>
          </w:tcPr>
          <w:p w:rsidR="0033165E" w:rsidRDefault="0033165E"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ci.  Secretaría del Consejo Institucional</w:t>
            </w:r>
          </w:p>
          <w:p w:rsidR="0033165E" w:rsidRDefault="0033165E"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Vicerrectoría de Administración</w:t>
            </w:r>
          </w:p>
          <w:p w:rsidR="0033165E" w:rsidRDefault="0033165E"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VIESA</w:t>
            </w:r>
          </w:p>
          <w:p w:rsidR="0033165E" w:rsidRDefault="0033165E"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VIE</w:t>
            </w:r>
          </w:p>
          <w:p w:rsidR="0033165E" w:rsidRDefault="0033165E"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Sede Regional San Carlos</w:t>
            </w:r>
          </w:p>
          <w:p w:rsidR="0033165E" w:rsidRDefault="0033165E"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Académico de San José</w:t>
            </w:r>
          </w:p>
          <w:p w:rsidR="0033165E" w:rsidRDefault="0033165E"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Académico de Alajuela</w:t>
            </w:r>
          </w:p>
          <w:p w:rsidR="0033165E" w:rsidRDefault="0033165E" w:rsidP="004411B2">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Centro Académico de Limón </w:t>
            </w:r>
          </w:p>
          <w:p w:rsidR="0033165E" w:rsidRDefault="0033165E" w:rsidP="004411B2">
            <w:pPr>
              <w:ind w:left="-567" w:firstLine="567"/>
              <w:jc w:val="both"/>
              <w:rPr>
                <w:rFonts w:ascii="Arial" w:eastAsia="Cambria" w:hAnsi="Arial" w:cs="Arial"/>
                <w:b/>
                <w:sz w:val="16"/>
                <w:szCs w:val="16"/>
                <w:lang w:val="es-ES_tradnl" w:eastAsia="en-US"/>
              </w:rPr>
            </w:pPr>
          </w:p>
          <w:p w:rsidR="0033165E" w:rsidRDefault="0033165E" w:rsidP="004411B2">
            <w:pPr>
              <w:ind w:left="-567" w:firstLine="567"/>
              <w:jc w:val="both"/>
              <w:rPr>
                <w:rFonts w:ascii="Arial" w:eastAsia="Cambria" w:hAnsi="Arial" w:cs="Arial"/>
                <w:b/>
                <w:sz w:val="16"/>
                <w:szCs w:val="16"/>
                <w:lang w:val="es-ES_tradnl" w:eastAsia="en-US"/>
              </w:rPr>
            </w:pPr>
          </w:p>
        </w:tc>
        <w:tc>
          <w:tcPr>
            <w:tcW w:w="0" w:type="auto"/>
          </w:tcPr>
          <w:p w:rsidR="0033165E" w:rsidRDefault="0033165E" w:rsidP="004411B2">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Auditoría Interna (Notificado a la Secretaria vía correo electrónico)</w:t>
            </w:r>
          </w:p>
          <w:p w:rsidR="0033165E" w:rsidRDefault="0033165E" w:rsidP="004411B2">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Asesoría Legal </w:t>
            </w:r>
          </w:p>
          <w:p w:rsidR="0033165E" w:rsidRDefault="0033165E" w:rsidP="004411B2">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Comunicación y Mercadeo </w:t>
            </w:r>
          </w:p>
          <w:p w:rsidR="0033165E" w:rsidRDefault="0033165E" w:rsidP="004411B2">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de Archivo y Comunicaciones</w:t>
            </w:r>
          </w:p>
          <w:p w:rsidR="0033165E" w:rsidRDefault="0033165E" w:rsidP="004411B2">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FEITEC</w:t>
            </w:r>
          </w:p>
          <w:p w:rsidR="0033165E" w:rsidRDefault="0033165E" w:rsidP="004411B2">
            <w:pPr>
              <w:ind w:left="-567" w:firstLine="567"/>
              <w:jc w:val="both"/>
              <w:rPr>
                <w:rFonts w:ascii="Arial" w:eastAsia="Cambria" w:hAnsi="Arial" w:cs="Arial"/>
                <w:b/>
                <w:sz w:val="16"/>
                <w:szCs w:val="16"/>
                <w:lang w:val="es-ES_tradnl" w:eastAsia="en-US"/>
              </w:rPr>
            </w:pPr>
          </w:p>
          <w:p w:rsidR="0033165E" w:rsidRDefault="0033165E" w:rsidP="004411B2">
            <w:pPr>
              <w:jc w:val="both"/>
              <w:rPr>
                <w:rFonts w:ascii="Arial" w:eastAsia="Cambria" w:hAnsi="Arial" w:cs="Arial"/>
                <w:b/>
                <w:sz w:val="16"/>
                <w:szCs w:val="16"/>
                <w:lang w:val="es-ES_tradnl" w:eastAsia="en-US"/>
              </w:rPr>
            </w:pPr>
          </w:p>
          <w:p w:rsidR="0033165E" w:rsidRDefault="0033165E" w:rsidP="004411B2">
            <w:pPr>
              <w:rPr>
                <w:rFonts w:ascii="Arial" w:eastAsia="Cambria" w:hAnsi="Arial" w:cs="Arial"/>
                <w:b/>
                <w:sz w:val="16"/>
                <w:szCs w:val="16"/>
                <w:lang w:val="es-CR" w:eastAsia="en-US"/>
              </w:rPr>
            </w:pPr>
          </w:p>
        </w:tc>
        <w:tc>
          <w:tcPr>
            <w:tcW w:w="0" w:type="auto"/>
          </w:tcPr>
          <w:p w:rsidR="0033165E" w:rsidRDefault="0033165E" w:rsidP="004411B2">
            <w:pPr>
              <w:jc w:val="both"/>
              <w:rPr>
                <w:rFonts w:ascii="Arial" w:eastAsia="Cambria" w:hAnsi="Arial" w:cs="Arial"/>
                <w:b/>
                <w:sz w:val="16"/>
                <w:szCs w:val="16"/>
                <w:lang w:val="es-ES_tradnl" w:eastAsia="en-US"/>
              </w:rPr>
            </w:pPr>
          </w:p>
        </w:tc>
      </w:tr>
    </w:tbl>
    <w:p w:rsidR="004F7EB0" w:rsidRPr="0041439E" w:rsidRDefault="004F7EB0" w:rsidP="00672D32">
      <w:pPr>
        <w:jc w:val="both"/>
        <w:rPr>
          <w:rFonts w:ascii="Arial" w:hAnsi="Arial" w:cs="Arial"/>
          <w:b/>
          <w:sz w:val="22"/>
          <w:szCs w:val="22"/>
        </w:rPr>
      </w:pPr>
    </w:p>
    <w:p w:rsidR="00E00132" w:rsidRDefault="00E00132" w:rsidP="00F41044">
      <w:pPr>
        <w:jc w:val="both"/>
        <w:rPr>
          <w:rFonts w:ascii="Arial" w:eastAsia="Cambria" w:hAnsi="Arial" w:cs="Arial"/>
          <w:b/>
          <w:lang w:eastAsia="en-US"/>
        </w:rPr>
      </w:pPr>
    </w:p>
    <w:p w:rsidR="00F41044" w:rsidRPr="00F41044" w:rsidRDefault="00F41044" w:rsidP="00F41044">
      <w:pPr>
        <w:jc w:val="both"/>
        <w:rPr>
          <w:rFonts w:ascii="Arial" w:eastAsia="Cambria" w:hAnsi="Arial" w:cs="Arial"/>
          <w:sz w:val="22"/>
          <w:szCs w:val="22"/>
          <w:lang w:eastAsia="en-US"/>
        </w:rPr>
      </w:pPr>
      <w:proofErr w:type="spellStart"/>
      <w:r w:rsidRPr="00F41044">
        <w:rPr>
          <w:rFonts w:ascii="Arial" w:eastAsia="Cambria" w:hAnsi="Arial" w:cs="Arial"/>
          <w:sz w:val="22"/>
          <w:szCs w:val="22"/>
          <w:lang w:eastAsia="en-US"/>
        </w:rPr>
        <w:t>ars</w:t>
      </w:r>
      <w:proofErr w:type="spellEnd"/>
    </w:p>
    <w:sectPr w:rsidR="00F4104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191" w:rsidRDefault="00A32191">
      <w:r>
        <w:separator/>
      </w:r>
    </w:p>
  </w:endnote>
  <w:endnote w:type="continuationSeparator" w:id="0">
    <w:p w:rsidR="00A32191" w:rsidRDefault="00A3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Cambria">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191" w:rsidRDefault="00A32191">
      <w:r>
        <w:separator/>
      </w:r>
    </w:p>
  </w:footnote>
  <w:footnote w:type="continuationSeparator" w:id="0">
    <w:p w:rsidR="00A32191" w:rsidRDefault="00A32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EF1E98">
      <w:rPr>
        <w:rFonts w:ascii="Arial" w:eastAsia="Cambria" w:hAnsi="Arial" w:cs="Arial"/>
        <w:i/>
        <w:sz w:val="18"/>
        <w:szCs w:val="18"/>
        <w:lang w:val="es-ES_tradnl" w:eastAsia="x-none"/>
      </w:rPr>
      <w:t>5</w:t>
    </w:r>
    <w:r w:rsidR="00CA6835">
      <w:rPr>
        <w:rFonts w:ascii="Arial" w:eastAsia="Cambria" w:hAnsi="Arial" w:cs="Arial"/>
        <w:i/>
        <w:sz w:val="18"/>
        <w:szCs w:val="18"/>
        <w:lang w:val="es-ES_tradnl" w:eastAsia="x-none"/>
      </w:rPr>
      <w:t>1</w:t>
    </w:r>
    <w:r w:rsidRPr="00D958BC">
      <w:rPr>
        <w:rFonts w:ascii="Arial" w:eastAsia="Cambria" w:hAnsi="Arial" w:cs="Arial"/>
        <w:i/>
        <w:sz w:val="18"/>
        <w:szCs w:val="18"/>
        <w:lang w:val="es-ES_tradnl" w:eastAsia="x-none"/>
      </w:rPr>
      <w:t xml:space="preserve">, Artículo </w:t>
    </w:r>
    <w:r w:rsidR="0041439E">
      <w:rPr>
        <w:rFonts w:ascii="Arial" w:eastAsia="Cambria" w:hAnsi="Arial" w:cs="Arial"/>
        <w:i/>
        <w:sz w:val="18"/>
        <w:szCs w:val="18"/>
        <w:lang w:val="es-ES_tradnl" w:eastAsia="x-none"/>
      </w:rPr>
      <w:t>1</w:t>
    </w:r>
    <w:r w:rsidR="00CA6835">
      <w:rPr>
        <w:rFonts w:ascii="Arial" w:eastAsia="Cambria" w:hAnsi="Arial" w:cs="Arial"/>
        <w:i/>
        <w:sz w:val="18"/>
        <w:szCs w:val="18"/>
        <w:lang w:val="es-ES_tradnl" w:eastAsia="x-none"/>
      </w:rPr>
      <w:t>7</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CA6835">
      <w:rPr>
        <w:rFonts w:ascii="Arial" w:eastAsia="Cambria" w:hAnsi="Arial" w:cs="Arial"/>
        <w:i/>
        <w:sz w:val="18"/>
        <w:szCs w:val="18"/>
        <w:lang w:val="es-ES_tradnl" w:eastAsia="x-none"/>
      </w:rPr>
      <w:t>13</w:t>
    </w:r>
    <w:r>
      <w:rPr>
        <w:rFonts w:ascii="Arial" w:eastAsia="Cambria" w:hAnsi="Arial" w:cs="Arial"/>
        <w:i/>
        <w:sz w:val="18"/>
        <w:szCs w:val="18"/>
        <w:lang w:val="es-ES_tradnl" w:eastAsia="x-none"/>
      </w:rPr>
      <w:t xml:space="preserve"> de </w:t>
    </w:r>
    <w:r w:rsidR="00EF1E98">
      <w:rPr>
        <w:rFonts w:ascii="Arial" w:eastAsia="Cambria" w:hAnsi="Arial" w:cs="Arial"/>
        <w:i/>
        <w:sz w:val="18"/>
        <w:szCs w:val="18"/>
        <w:lang w:val="es-ES_tradnl" w:eastAsia="x-none"/>
      </w:rPr>
      <w:t>dic</w:t>
    </w:r>
    <w:r>
      <w:rPr>
        <w:rFonts w:ascii="Arial" w:eastAsia="Cambria" w:hAnsi="Arial" w:cs="Arial"/>
        <w:i/>
        <w:sz w:val="18"/>
        <w:szCs w:val="18"/>
        <w:lang w:val="es-ES_tradnl" w:eastAsia="x-none"/>
      </w:rPr>
      <w:t xml:space="preserve">iembre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97227C">
      <w:rPr>
        <w:rFonts w:ascii="Arial" w:eastAsia="Cambria" w:hAnsi="Arial" w:cs="Arial"/>
        <w:i/>
        <w:noProof/>
        <w:sz w:val="18"/>
        <w:szCs w:val="18"/>
        <w:lang w:val="es-ES_tradnl" w:eastAsia="x-none"/>
      </w:rPr>
      <w:t>5</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C571BBC"/>
    <w:multiLevelType w:val="hybridMultilevel"/>
    <w:tmpl w:val="3B0EF21A"/>
    <w:lvl w:ilvl="0" w:tplc="00E472EA">
      <w:start w:val="1"/>
      <w:numFmt w:val="decimal"/>
      <w:lvlText w:val="%1."/>
      <w:lvlJc w:val="left"/>
      <w:pPr>
        <w:ind w:left="502" w:hanging="360"/>
      </w:pPr>
      <w:rPr>
        <w:rFonts w:hint="default"/>
        <w:b/>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15:restartNumberingAfterBreak="0">
    <w:nsid w:val="2A1360BF"/>
    <w:multiLevelType w:val="hybridMultilevel"/>
    <w:tmpl w:val="7FE2A9C8"/>
    <w:lvl w:ilvl="0" w:tplc="D5E8B5B4">
      <w:start w:val="44"/>
      <w:numFmt w:val="upperLetter"/>
      <w:pStyle w:val="Subttulo"/>
      <w:lvlText w:val="%1-"/>
      <w:lvlJc w:val="left"/>
      <w:pPr>
        <w:tabs>
          <w:tab w:val="num" w:pos="1563"/>
        </w:tabs>
        <w:ind w:left="1563"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2882E51"/>
    <w:multiLevelType w:val="hybridMultilevel"/>
    <w:tmpl w:val="C2721968"/>
    <w:lvl w:ilvl="0" w:tplc="E888589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7296"/>
    <w:rsid w:val="00067992"/>
    <w:rsid w:val="00067BE7"/>
    <w:rsid w:val="00067C8C"/>
    <w:rsid w:val="0007411A"/>
    <w:rsid w:val="00076DBD"/>
    <w:rsid w:val="00076EC1"/>
    <w:rsid w:val="00077BC7"/>
    <w:rsid w:val="00077D4B"/>
    <w:rsid w:val="0008022E"/>
    <w:rsid w:val="00080FD1"/>
    <w:rsid w:val="000813BE"/>
    <w:rsid w:val="00081BCF"/>
    <w:rsid w:val="000846DF"/>
    <w:rsid w:val="00084FDD"/>
    <w:rsid w:val="000903CE"/>
    <w:rsid w:val="00090FDF"/>
    <w:rsid w:val="00091B7B"/>
    <w:rsid w:val="000934FF"/>
    <w:rsid w:val="00093971"/>
    <w:rsid w:val="000A0756"/>
    <w:rsid w:val="000A47E1"/>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220C"/>
    <w:rsid w:val="000D2AD1"/>
    <w:rsid w:val="000D34C2"/>
    <w:rsid w:val="000D5ACC"/>
    <w:rsid w:val="000D5C6B"/>
    <w:rsid w:val="000D6061"/>
    <w:rsid w:val="000D7162"/>
    <w:rsid w:val="000E1F4D"/>
    <w:rsid w:val="000E420E"/>
    <w:rsid w:val="000E4FED"/>
    <w:rsid w:val="000E5B14"/>
    <w:rsid w:val="000E6DC9"/>
    <w:rsid w:val="000F106C"/>
    <w:rsid w:val="000F1D14"/>
    <w:rsid w:val="000F1E1D"/>
    <w:rsid w:val="000F2A0F"/>
    <w:rsid w:val="000F4527"/>
    <w:rsid w:val="000F473C"/>
    <w:rsid w:val="000F490D"/>
    <w:rsid w:val="000F4B43"/>
    <w:rsid w:val="000F5572"/>
    <w:rsid w:val="000F5C99"/>
    <w:rsid w:val="000F7A0A"/>
    <w:rsid w:val="00104E6C"/>
    <w:rsid w:val="00105392"/>
    <w:rsid w:val="00107C78"/>
    <w:rsid w:val="0011053E"/>
    <w:rsid w:val="001113FE"/>
    <w:rsid w:val="001125EE"/>
    <w:rsid w:val="00115853"/>
    <w:rsid w:val="0011767E"/>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33F5"/>
    <w:rsid w:val="00187E00"/>
    <w:rsid w:val="00190010"/>
    <w:rsid w:val="00194C18"/>
    <w:rsid w:val="001962C2"/>
    <w:rsid w:val="001A33C3"/>
    <w:rsid w:val="001B1E0E"/>
    <w:rsid w:val="001B208D"/>
    <w:rsid w:val="001B59CC"/>
    <w:rsid w:val="001B7AB0"/>
    <w:rsid w:val="001C1124"/>
    <w:rsid w:val="001C1335"/>
    <w:rsid w:val="001C54CE"/>
    <w:rsid w:val="001D40F5"/>
    <w:rsid w:val="001E0224"/>
    <w:rsid w:val="001E08C0"/>
    <w:rsid w:val="001E0E52"/>
    <w:rsid w:val="001E11D4"/>
    <w:rsid w:val="001E3A77"/>
    <w:rsid w:val="001E3DCB"/>
    <w:rsid w:val="001E684C"/>
    <w:rsid w:val="001E69A6"/>
    <w:rsid w:val="001E69C9"/>
    <w:rsid w:val="001F0C0F"/>
    <w:rsid w:val="001F26FD"/>
    <w:rsid w:val="001F3C06"/>
    <w:rsid w:val="001F3E92"/>
    <w:rsid w:val="0020019E"/>
    <w:rsid w:val="0020223D"/>
    <w:rsid w:val="00202E06"/>
    <w:rsid w:val="00203662"/>
    <w:rsid w:val="0020429C"/>
    <w:rsid w:val="00204A01"/>
    <w:rsid w:val="00204A3D"/>
    <w:rsid w:val="00210743"/>
    <w:rsid w:val="002118B2"/>
    <w:rsid w:val="002127EE"/>
    <w:rsid w:val="002139D9"/>
    <w:rsid w:val="00217BCB"/>
    <w:rsid w:val="002204D7"/>
    <w:rsid w:val="002207D9"/>
    <w:rsid w:val="00220ED5"/>
    <w:rsid w:val="00221713"/>
    <w:rsid w:val="00221F57"/>
    <w:rsid w:val="00224C36"/>
    <w:rsid w:val="00225D59"/>
    <w:rsid w:val="002279E5"/>
    <w:rsid w:val="00227D3E"/>
    <w:rsid w:val="00230EB0"/>
    <w:rsid w:val="00234BB0"/>
    <w:rsid w:val="00235258"/>
    <w:rsid w:val="0024107D"/>
    <w:rsid w:val="00242D06"/>
    <w:rsid w:val="0024565B"/>
    <w:rsid w:val="00245783"/>
    <w:rsid w:val="00246D38"/>
    <w:rsid w:val="00250B47"/>
    <w:rsid w:val="00253D5C"/>
    <w:rsid w:val="00255202"/>
    <w:rsid w:val="002569E9"/>
    <w:rsid w:val="00260F3E"/>
    <w:rsid w:val="00261D4A"/>
    <w:rsid w:val="00263233"/>
    <w:rsid w:val="00264EFA"/>
    <w:rsid w:val="00266024"/>
    <w:rsid w:val="002668E5"/>
    <w:rsid w:val="0026727D"/>
    <w:rsid w:val="00267A3B"/>
    <w:rsid w:val="00267FAF"/>
    <w:rsid w:val="002743B7"/>
    <w:rsid w:val="00275822"/>
    <w:rsid w:val="00275FE3"/>
    <w:rsid w:val="00280C7B"/>
    <w:rsid w:val="00281B37"/>
    <w:rsid w:val="00283360"/>
    <w:rsid w:val="00283375"/>
    <w:rsid w:val="002842C3"/>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C163E"/>
    <w:rsid w:val="002C19F4"/>
    <w:rsid w:val="002C228F"/>
    <w:rsid w:val="002C2B58"/>
    <w:rsid w:val="002C468D"/>
    <w:rsid w:val="002C4D2C"/>
    <w:rsid w:val="002C6BE2"/>
    <w:rsid w:val="002D2C7C"/>
    <w:rsid w:val="002D6978"/>
    <w:rsid w:val="002D76DD"/>
    <w:rsid w:val="002E03BF"/>
    <w:rsid w:val="002E1507"/>
    <w:rsid w:val="002E2751"/>
    <w:rsid w:val="002E49F2"/>
    <w:rsid w:val="002E5A2A"/>
    <w:rsid w:val="002F03FC"/>
    <w:rsid w:val="002F1374"/>
    <w:rsid w:val="00300778"/>
    <w:rsid w:val="003011A3"/>
    <w:rsid w:val="0030153B"/>
    <w:rsid w:val="00301B0B"/>
    <w:rsid w:val="00305BC2"/>
    <w:rsid w:val="00310865"/>
    <w:rsid w:val="003162A0"/>
    <w:rsid w:val="00316937"/>
    <w:rsid w:val="00316C74"/>
    <w:rsid w:val="00317D3B"/>
    <w:rsid w:val="00322446"/>
    <w:rsid w:val="00322B8A"/>
    <w:rsid w:val="00323397"/>
    <w:rsid w:val="00323590"/>
    <w:rsid w:val="00324AB0"/>
    <w:rsid w:val="003253F9"/>
    <w:rsid w:val="00325DEA"/>
    <w:rsid w:val="00325E1C"/>
    <w:rsid w:val="003262C5"/>
    <w:rsid w:val="0033165E"/>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607E"/>
    <w:rsid w:val="00366F0E"/>
    <w:rsid w:val="00370216"/>
    <w:rsid w:val="00371DC1"/>
    <w:rsid w:val="003756F2"/>
    <w:rsid w:val="00380871"/>
    <w:rsid w:val="00381397"/>
    <w:rsid w:val="00382EA8"/>
    <w:rsid w:val="00385402"/>
    <w:rsid w:val="00387158"/>
    <w:rsid w:val="00387D9B"/>
    <w:rsid w:val="00387E4E"/>
    <w:rsid w:val="00391FB9"/>
    <w:rsid w:val="003921B6"/>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439E"/>
    <w:rsid w:val="004161F8"/>
    <w:rsid w:val="00416909"/>
    <w:rsid w:val="00416BD5"/>
    <w:rsid w:val="00420202"/>
    <w:rsid w:val="0042189A"/>
    <w:rsid w:val="004227AA"/>
    <w:rsid w:val="004246F4"/>
    <w:rsid w:val="00424D7C"/>
    <w:rsid w:val="00426401"/>
    <w:rsid w:val="004268E7"/>
    <w:rsid w:val="00426AC7"/>
    <w:rsid w:val="00427B05"/>
    <w:rsid w:val="00430CF8"/>
    <w:rsid w:val="004314B6"/>
    <w:rsid w:val="00432A0F"/>
    <w:rsid w:val="004335D5"/>
    <w:rsid w:val="00436940"/>
    <w:rsid w:val="00436F0E"/>
    <w:rsid w:val="00437F0F"/>
    <w:rsid w:val="0044013A"/>
    <w:rsid w:val="00441058"/>
    <w:rsid w:val="00443B63"/>
    <w:rsid w:val="00445CED"/>
    <w:rsid w:val="00447784"/>
    <w:rsid w:val="004505E8"/>
    <w:rsid w:val="004511A1"/>
    <w:rsid w:val="00452394"/>
    <w:rsid w:val="0045318C"/>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319C"/>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012"/>
    <w:rsid w:val="0052523D"/>
    <w:rsid w:val="00525250"/>
    <w:rsid w:val="00525FBA"/>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E83"/>
    <w:rsid w:val="005653A1"/>
    <w:rsid w:val="0056674D"/>
    <w:rsid w:val="00570916"/>
    <w:rsid w:val="005766E0"/>
    <w:rsid w:val="00577426"/>
    <w:rsid w:val="005832B2"/>
    <w:rsid w:val="00591483"/>
    <w:rsid w:val="00591A6C"/>
    <w:rsid w:val="00593737"/>
    <w:rsid w:val="005972A7"/>
    <w:rsid w:val="005978DB"/>
    <w:rsid w:val="00597AA2"/>
    <w:rsid w:val="005A2507"/>
    <w:rsid w:val="005A2803"/>
    <w:rsid w:val="005A5436"/>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4831"/>
    <w:rsid w:val="005E6C51"/>
    <w:rsid w:val="005E6F3F"/>
    <w:rsid w:val="005E779D"/>
    <w:rsid w:val="005F3429"/>
    <w:rsid w:val="005F3B68"/>
    <w:rsid w:val="005F40F5"/>
    <w:rsid w:val="005F6B28"/>
    <w:rsid w:val="00603C4D"/>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20B4"/>
    <w:rsid w:val="006B4FBB"/>
    <w:rsid w:val="006B59C4"/>
    <w:rsid w:val="006B5EC0"/>
    <w:rsid w:val="006B7D15"/>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36E"/>
    <w:rsid w:val="006F7C62"/>
    <w:rsid w:val="00704042"/>
    <w:rsid w:val="0071118B"/>
    <w:rsid w:val="007133B5"/>
    <w:rsid w:val="007140BA"/>
    <w:rsid w:val="0071574F"/>
    <w:rsid w:val="00716307"/>
    <w:rsid w:val="00716A85"/>
    <w:rsid w:val="00717E7B"/>
    <w:rsid w:val="00720E26"/>
    <w:rsid w:val="00725291"/>
    <w:rsid w:val="00730242"/>
    <w:rsid w:val="00730BAA"/>
    <w:rsid w:val="007313FD"/>
    <w:rsid w:val="00731403"/>
    <w:rsid w:val="00731891"/>
    <w:rsid w:val="0073280F"/>
    <w:rsid w:val="00733178"/>
    <w:rsid w:val="00734993"/>
    <w:rsid w:val="007369BA"/>
    <w:rsid w:val="00740752"/>
    <w:rsid w:val="0074284B"/>
    <w:rsid w:val="00744C74"/>
    <w:rsid w:val="007512F6"/>
    <w:rsid w:val="0075179A"/>
    <w:rsid w:val="00751AB1"/>
    <w:rsid w:val="007553D4"/>
    <w:rsid w:val="00760AD1"/>
    <w:rsid w:val="00760D93"/>
    <w:rsid w:val="00761133"/>
    <w:rsid w:val="007619FB"/>
    <w:rsid w:val="00763AF2"/>
    <w:rsid w:val="00767AF5"/>
    <w:rsid w:val="00771193"/>
    <w:rsid w:val="007729C9"/>
    <w:rsid w:val="007742A1"/>
    <w:rsid w:val="00774600"/>
    <w:rsid w:val="00777FF4"/>
    <w:rsid w:val="00781332"/>
    <w:rsid w:val="007819B0"/>
    <w:rsid w:val="007837C1"/>
    <w:rsid w:val="0078514D"/>
    <w:rsid w:val="00791713"/>
    <w:rsid w:val="00793F58"/>
    <w:rsid w:val="00794454"/>
    <w:rsid w:val="00794CBF"/>
    <w:rsid w:val="00795377"/>
    <w:rsid w:val="007A2D73"/>
    <w:rsid w:val="007A5E5B"/>
    <w:rsid w:val="007B56C0"/>
    <w:rsid w:val="007B6F61"/>
    <w:rsid w:val="007B7700"/>
    <w:rsid w:val="007C024F"/>
    <w:rsid w:val="007C10F3"/>
    <w:rsid w:val="007C46B5"/>
    <w:rsid w:val="007C6A05"/>
    <w:rsid w:val="007D0868"/>
    <w:rsid w:val="007D13D9"/>
    <w:rsid w:val="007D2E3F"/>
    <w:rsid w:val="007D3593"/>
    <w:rsid w:val="007D5BC0"/>
    <w:rsid w:val="007D71B4"/>
    <w:rsid w:val="007D77B2"/>
    <w:rsid w:val="007D7B7B"/>
    <w:rsid w:val="007E0809"/>
    <w:rsid w:val="007E12A1"/>
    <w:rsid w:val="007E7814"/>
    <w:rsid w:val="007F1052"/>
    <w:rsid w:val="007F28ED"/>
    <w:rsid w:val="007F49BB"/>
    <w:rsid w:val="007F5314"/>
    <w:rsid w:val="007F60AC"/>
    <w:rsid w:val="007F625C"/>
    <w:rsid w:val="007F63D0"/>
    <w:rsid w:val="007F6D48"/>
    <w:rsid w:val="007F6F78"/>
    <w:rsid w:val="007F7114"/>
    <w:rsid w:val="00800060"/>
    <w:rsid w:val="008009B0"/>
    <w:rsid w:val="00803BB3"/>
    <w:rsid w:val="00804036"/>
    <w:rsid w:val="008059AB"/>
    <w:rsid w:val="008071A7"/>
    <w:rsid w:val="00807CCB"/>
    <w:rsid w:val="008101FC"/>
    <w:rsid w:val="008108E8"/>
    <w:rsid w:val="0081353F"/>
    <w:rsid w:val="00816407"/>
    <w:rsid w:val="00823CC6"/>
    <w:rsid w:val="00825809"/>
    <w:rsid w:val="00825F93"/>
    <w:rsid w:val="00831982"/>
    <w:rsid w:val="0083257F"/>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33CD"/>
    <w:rsid w:val="00887FCC"/>
    <w:rsid w:val="00891B08"/>
    <w:rsid w:val="00893524"/>
    <w:rsid w:val="00893FAC"/>
    <w:rsid w:val="0089404C"/>
    <w:rsid w:val="008A03C9"/>
    <w:rsid w:val="008A0859"/>
    <w:rsid w:val="008A1075"/>
    <w:rsid w:val="008A160D"/>
    <w:rsid w:val="008A53D4"/>
    <w:rsid w:val="008A5C0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30A02"/>
    <w:rsid w:val="00931FBC"/>
    <w:rsid w:val="009401C7"/>
    <w:rsid w:val="009526A4"/>
    <w:rsid w:val="00953CA5"/>
    <w:rsid w:val="009546D0"/>
    <w:rsid w:val="0096004A"/>
    <w:rsid w:val="00961770"/>
    <w:rsid w:val="00962660"/>
    <w:rsid w:val="00963F04"/>
    <w:rsid w:val="00964B8E"/>
    <w:rsid w:val="009651B9"/>
    <w:rsid w:val="00971830"/>
    <w:rsid w:val="0097202A"/>
    <w:rsid w:val="0097227C"/>
    <w:rsid w:val="00972E3C"/>
    <w:rsid w:val="009750E5"/>
    <w:rsid w:val="0097636F"/>
    <w:rsid w:val="009766BD"/>
    <w:rsid w:val="00976EA8"/>
    <w:rsid w:val="009775C5"/>
    <w:rsid w:val="0098130D"/>
    <w:rsid w:val="00985EBE"/>
    <w:rsid w:val="009860F5"/>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402F"/>
    <w:rsid w:val="009C4E1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609F"/>
    <w:rsid w:val="00A22594"/>
    <w:rsid w:val="00A22FC1"/>
    <w:rsid w:val="00A2484D"/>
    <w:rsid w:val="00A258C2"/>
    <w:rsid w:val="00A261DF"/>
    <w:rsid w:val="00A276D0"/>
    <w:rsid w:val="00A27C72"/>
    <w:rsid w:val="00A305BA"/>
    <w:rsid w:val="00A32191"/>
    <w:rsid w:val="00A32610"/>
    <w:rsid w:val="00A35122"/>
    <w:rsid w:val="00A354D5"/>
    <w:rsid w:val="00A359F6"/>
    <w:rsid w:val="00A369A0"/>
    <w:rsid w:val="00A405DB"/>
    <w:rsid w:val="00A54E67"/>
    <w:rsid w:val="00A559D5"/>
    <w:rsid w:val="00A57051"/>
    <w:rsid w:val="00A602B0"/>
    <w:rsid w:val="00A60666"/>
    <w:rsid w:val="00A60DB0"/>
    <w:rsid w:val="00A618D1"/>
    <w:rsid w:val="00A70CFC"/>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40B8"/>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16991"/>
    <w:rsid w:val="00B2081E"/>
    <w:rsid w:val="00B219FF"/>
    <w:rsid w:val="00B227C4"/>
    <w:rsid w:val="00B229A7"/>
    <w:rsid w:val="00B23A76"/>
    <w:rsid w:val="00B269D8"/>
    <w:rsid w:val="00B26FFA"/>
    <w:rsid w:val="00B36A6C"/>
    <w:rsid w:val="00B40B55"/>
    <w:rsid w:val="00B415F0"/>
    <w:rsid w:val="00B4627C"/>
    <w:rsid w:val="00B47959"/>
    <w:rsid w:val="00B500C3"/>
    <w:rsid w:val="00B50C53"/>
    <w:rsid w:val="00B50DD5"/>
    <w:rsid w:val="00B544F0"/>
    <w:rsid w:val="00B545A7"/>
    <w:rsid w:val="00B60382"/>
    <w:rsid w:val="00B6158F"/>
    <w:rsid w:val="00B63D1C"/>
    <w:rsid w:val="00B65D67"/>
    <w:rsid w:val="00B715D6"/>
    <w:rsid w:val="00B7167E"/>
    <w:rsid w:val="00B7392D"/>
    <w:rsid w:val="00B74005"/>
    <w:rsid w:val="00B80A64"/>
    <w:rsid w:val="00B83213"/>
    <w:rsid w:val="00B87D56"/>
    <w:rsid w:val="00B9004B"/>
    <w:rsid w:val="00B904C4"/>
    <w:rsid w:val="00B90CD4"/>
    <w:rsid w:val="00B91F8D"/>
    <w:rsid w:val="00B93728"/>
    <w:rsid w:val="00B93D3F"/>
    <w:rsid w:val="00B9565B"/>
    <w:rsid w:val="00B95CBE"/>
    <w:rsid w:val="00B975EE"/>
    <w:rsid w:val="00B97900"/>
    <w:rsid w:val="00BA14F1"/>
    <w:rsid w:val="00BA16C5"/>
    <w:rsid w:val="00BA1AB4"/>
    <w:rsid w:val="00BA4CDF"/>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578A"/>
    <w:rsid w:val="00C06CDD"/>
    <w:rsid w:val="00C1061F"/>
    <w:rsid w:val="00C10AC0"/>
    <w:rsid w:val="00C11B55"/>
    <w:rsid w:val="00C11CB1"/>
    <w:rsid w:val="00C16E0E"/>
    <w:rsid w:val="00C229BF"/>
    <w:rsid w:val="00C25779"/>
    <w:rsid w:val="00C3150F"/>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1B7B"/>
    <w:rsid w:val="00CA3E94"/>
    <w:rsid w:val="00CA406B"/>
    <w:rsid w:val="00CA6835"/>
    <w:rsid w:val="00CB0CB0"/>
    <w:rsid w:val="00CB0ED4"/>
    <w:rsid w:val="00CB1EFF"/>
    <w:rsid w:val="00CB4C4E"/>
    <w:rsid w:val="00CB5DCD"/>
    <w:rsid w:val="00CB682F"/>
    <w:rsid w:val="00CB7A61"/>
    <w:rsid w:val="00CC363D"/>
    <w:rsid w:val="00CC41FF"/>
    <w:rsid w:val="00CC64CA"/>
    <w:rsid w:val="00CC68BB"/>
    <w:rsid w:val="00CD4387"/>
    <w:rsid w:val="00CE0215"/>
    <w:rsid w:val="00CE5E1A"/>
    <w:rsid w:val="00CE6A7A"/>
    <w:rsid w:val="00CF025B"/>
    <w:rsid w:val="00CF0602"/>
    <w:rsid w:val="00CF1711"/>
    <w:rsid w:val="00CF1C87"/>
    <w:rsid w:val="00CF1E9D"/>
    <w:rsid w:val="00CF22B9"/>
    <w:rsid w:val="00CF2D7E"/>
    <w:rsid w:val="00CF3F70"/>
    <w:rsid w:val="00D0233D"/>
    <w:rsid w:val="00D023EE"/>
    <w:rsid w:val="00D0240D"/>
    <w:rsid w:val="00D040A1"/>
    <w:rsid w:val="00D0436A"/>
    <w:rsid w:val="00D111F5"/>
    <w:rsid w:val="00D12861"/>
    <w:rsid w:val="00D14DDC"/>
    <w:rsid w:val="00D20378"/>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8F9"/>
    <w:rsid w:val="00D57547"/>
    <w:rsid w:val="00D60137"/>
    <w:rsid w:val="00D6173A"/>
    <w:rsid w:val="00D61E9B"/>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2BAA"/>
    <w:rsid w:val="00DF2F90"/>
    <w:rsid w:val="00DF45FF"/>
    <w:rsid w:val="00DF7755"/>
    <w:rsid w:val="00E00132"/>
    <w:rsid w:val="00E01250"/>
    <w:rsid w:val="00E03D24"/>
    <w:rsid w:val="00E05701"/>
    <w:rsid w:val="00E0753C"/>
    <w:rsid w:val="00E07EE4"/>
    <w:rsid w:val="00E11488"/>
    <w:rsid w:val="00E12B5E"/>
    <w:rsid w:val="00E158A2"/>
    <w:rsid w:val="00E16F62"/>
    <w:rsid w:val="00E22D17"/>
    <w:rsid w:val="00E26992"/>
    <w:rsid w:val="00E30502"/>
    <w:rsid w:val="00E359B9"/>
    <w:rsid w:val="00E37B8A"/>
    <w:rsid w:val="00E41D82"/>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65876"/>
    <w:rsid w:val="00E718A6"/>
    <w:rsid w:val="00E80FBE"/>
    <w:rsid w:val="00E81E9F"/>
    <w:rsid w:val="00E82183"/>
    <w:rsid w:val="00E85F6A"/>
    <w:rsid w:val="00E909DA"/>
    <w:rsid w:val="00E9331A"/>
    <w:rsid w:val="00E96B6D"/>
    <w:rsid w:val="00E97F75"/>
    <w:rsid w:val="00EA5044"/>
    <w:rsid w:val="00EA7D5B"/>
    <w:rsid w:val="00EB118F"/>
    <w:rsid w:val="00EB1F53"/>
    <w:rsid w:val="00EB4683"/>
    <w:rsid w:val="00EB7E2E"/>
    <w:rsid w:val="00EC05E8"/>
    <w:rsid w:val="00EC20F1"/>
    <w:rsid w:val="00EC2289"/>
    <w:rsid w:val="00EC2B3F"/>
    <w:rsid w:val="00EC30C2"/>
    <w:rsid w:val="00EC3BD7"/>
    <w:rsid w:val="00EC3C5B"/>
    <w:rsid w:val="00EC3FA1"/>
    <w:rsid w:val="00EC6EDE"/>
    <w:rsid w:val="00EC73DD"/>
    <w:rsid w:val="00ED0DA7"/>
    <w:rsid w:val="00ED3805"/>
    <w:rsid w:val="00ED3841"/>
    <w:rsid w:val="00ED4BF0"/>
    <w:rsid w:val="00ED5B24"/>
    <w:rsid w:val="00ED5E2F"/>
    <w:rsid w:val="00EE0E1C"/>
    <w:rsid w:val="00EE4333"/>
    <w:rsid w:val="00EE4A43"/>
    <w:rsid w:val="00EE5B66"/>
    <w:rsid w:val="00EF12D0"/>
    <w:rsid w:val="00EF1E98"/>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A3F"/>
    <w:rsid w:val="00F47518"/>
    <w:rsid w:val="00F5261B"/>
    <w:rsid w:val="00F55303"/>
    <w:rsid w:val="00F60439"/>
    <w:rsid w:val="00F609B3"/>
    <w:rsid w:val="00F617DE"/>
    <w:rsid w:val="00F623C8"/>
    <w:rsid w:val="00F63922"/>
    <w:rsid w:val="00F64331"/>
    <w:rsid w:val="00F67816"/>
    <w:rsid w:val="00F72058"/>
    <w:rsid w:val="00F737AC"/>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4749"/>
    <w:rsid w:val="00FA53B1"/>
    <w:rsid w:val="00FA6F2C"/>
    <w:rsid w:val="00FB0BE9"/>
    <w:rsid w:val="00FB0CC5"/>
    <w:rsid w:val="00FB0D21"/>
    <w:rsid w:val="00FB29FB"/>
    <w:rsid w:val="00FB3BFF"/>
    <w:rsid w:val="00FB3EB6"/>
    <w:rsid w:val="00FB5D65"/>
    <w:rsid w:val="00FB6232"/>
    <w:rsid w:val="00FC2047"/>
    <w:rsid w:val="00FC2763"/>
    <w:rsid w:val="00FC322D"/>
    <w:rsid w:val="00FD13B7"/>
    <w:rsid w:val="00FD43DC"/>
    <w:rsid w:val="00FD56CC"/>
    <w:rsid w:val="00FD5A54"/>
    <w:rsid w:val="00FD5D76"/>
    <w:rsid w:val="00FD6179"/>
    <w:rsid w:val="00FD6E37"/>
    <w:rsid w:val="00FD7A4A"/>
    <w:rsid w:val="00FE0406"/>
    <w:rsid w:val="00FE0D65"/>
    <w:rsid w:val="00FE2A23"/>
    <w:rsid w:val="00FE3EF9"/>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CBD54D5"/>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414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CA6835"/>
    <w:pPr>
      <w:numPr>
        <w:numId w:val="2"/>
      </w:numPr>
      <w:jc w:val="center"/>
    </w:pPr>
    <w:rPr>
      <w:b/>
      <w:bCs/>
      <w:color w:val="003300"/>
      <w:sz w:val="32"/>
    </w:rPr>
  </w:style>
  <w:style w:type="character" w:customStyle="1" w:styleId="SubttuloCar">
    <w:name w:val="Subtítulo Car"/>
    <w:basedOn w:val="Fuentedeprrafopredeter"/>
    <w:link w:val="Subttulo"/>
    <w:rsid w:val="00CA6835"/>
    <w:rPr>
      <w:b/>
      <w:bCs/>
      <w:color w:val="003300"/>
      <w:sz w:val="3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64733-6C5C-4EB5-8874-D854E26D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5</Pages>
  <Words>1609</Words>
  <Characters>8850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195</cp:revision>
  <cp:lastPrinted>2017-12-13T21:50:00Z</cp:lastPrinted>
  <dcterms:created xsi:type="dcterms:W3CDTF">2016-10-05T20:00:00Z</dcterms:created>
  <dcterms:modified xsi:type="dcterms:W3CDTF">2017-12-13T21:51:00Z</dcterms:modified>
</cp:coreProperties>
</file>