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5A37EA">
        <w:rPr>
          <w:rFonts w:ascii="Arial" w:hAnsi="Arial" w:cs="Arial"/>
          <w:b/>
          <w:bCs/>
          <w:iCs/>
          <w:sz w:val="26"/>
          <w:szCs w:val="22"/>
          <w:lang w:val="es-CR"/>
        </w:rPr>
        <w:t>951</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EF1E98" w:rsidRPr="009332DA" w:rsidRDefault="005A37EA" w:rsidP="005A37EA">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 </w:t>
            </w:r>
            <w:bookmarkStart w:id="0" w:name="_GoBack"/>
            <w:r w:rsidR="00190010" w:rsidRPr="00ED5B24">
              <w:rPr>
                <w:rFonts w:ascii="Arial" w:eastAsia="Cambria" w:hAnsi="Arial" w:cs="Arial"/>
                <w:sz w:val="20"/>
                <w:szCs w:val="20"/>
                <w:lang w:val="es-ES_tradnl" w:eastAsia="en-US"/>
              </w:rPr>
              <w:t>Dr. Julio Calvo Alvarado</w:t>
            </w:r>
            <w:r w:rsidR="0090700F" w:rsidRPr="00ED5B24">
              <w:rPr>
                <w:rFonts w:ascii="Arial" w:eastAsia="Cambria" w:hAnsi="Arial" w:cs="Arial"/>
                <w:sz w:val="20"/>
                <w:szCs w:val="20"/>
                <w:lang w:val="es-ES_tradnl" w:eastAsia="en-US"/>
              </w:rPr>
              <w:t>, Rector</w:t>
            </w:r>
          </w:p>
          <w:p w:rsidR="00EF1E98" w:rsidRPr="009332DA" w:rsidRDefault="00EF1E98" w:rsidP="00EF1E98">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Dra. Claudia Madrizova, Vicerrectora de Vida Estudiantil y Servicios Académicos </w:t>
            </w:r>
          </w:p>
          <w:p w:rsidR="00EF1E98" w:rsidRDefault="00EF1E98" w:rsidP="00EF1E98">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MAU. Tatiana Fernández, Directora Oficina de Planificación Institucional </w:t>
            </w:r>
          </w:p>
          <w:p w:rsidR="005A37EA" w:rsidRDefault="005A37EA" w:rsidP="00EF1E98">
            <w:pPr>
              <w:ind w:left="45"/>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 xml:space="preserve">MBA. Harold Blanco, Director Departamento de Recursos Humanos </w:t>
            </w:r>
          </w:p>
          <w:bookmarkEnd w:id="0"/>
          <w:p w:rsidR="00793F58" w:rsidRPr="000F473C" w:rsidRDefault="00793F58" w:rsidP="005A37EA">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w:t>
            </w:r>
            <w:r w:rsidR="00224C36">
              <w:rPr>
                <w:rFonts w:ascii="Arial" w:eastAsia="Cambria" w:hAnsi="Arial" w:cs="Arial"/>
                <w:sz w:val="22"/>
                <w:szCs w:val="22"/>
                <w:lang w:val="es-ES_tradnl" w:eastAsia="en-US"/>
              </w:rPr>
              <w:t>s</w:t>
            </w:r>
            <w:r>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603F3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13</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7F28ED">
              <w:rPr>
                <w:rFonts w:ascii="Arial" w:eastAsia="Cambria" w:hAnsi="Arial" w:cs="Arial"/>
                <w:b/>
                <w:sz w:val="22"/>
                <w:szCs w:val="22"/>
                <w:lang w:val="es-ES_tradnl" w:eastAsia="en-US"/>
              </w:rPr>
              <w:t>dic</w:t>
            </w:r>
            <w:r w:rsidR="00841F61">
              <w:rPr>
                <w:rFonts w:ascii="Arial" w:eastAsia="Cambria" w:hAnsi="Arial" w:cs="Arial"/>
                <w:b/>
                <w:sz w:val="22"/>
                <w:szCs w:val="22"/>
                <w:lang w:val="es-ES_tradnl" w:eastAsia="en-US"/>
              </w:rPr>
              <w:t>iem</w:t>
            </w:r>
            <w:r w:rsidR="00AA0A77">
              <w:rPr>
                <w:rFonts w:ascii="Arial" w:eastAsia="Cambria" w:hAnsi="Arial" w:cs="Arial"/>
                <w:b/>
                <w:sz w:val="22"/>
                <w:szCs w:val="22"/>
                <w:lang w:val="es-ES_tradnl" w:eastAsia="en-US"/>
              </w:rPr>
              <w:t>b</w:t>
            </w:r>
            <w:r w:rsidR="00190010">
              <w:rPr>
                <w:rFonts w:ascii="Arial" w:eastAsia="Cambria" w:hAnsi="Arial" w:cs="Arial"/>
                <w:b/>
                <w:sz w:val="22"/>
                <w:szCs w:val="22"/>
                <w:lang w:val="es-ES_tradnl" w:eastAsia="en-US"/>
              </w:rPr>
              <w:t>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7F28ED" w:rsidRPr="00603F39" w:rsidRDefault="007742A1" w:rsidP="007F28ED">
            <w:pPr>
              <w:pStyle w:val="Prrafodelista"/>
              <w:ind w:left="-31"/>
              <w:jc w:val="both"/>
              <w:rPr>
                <w:rFonts w:ascii="Arial" w:eastAsia="Cambria" w:hAnsi="Arial" w:cs="Arial"/>
                <w:b/>
                <w:sz w:val="22"/>
                <w:szCs w:val="22"/>
                <w:highlight w:val="yellow"/>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7F28ED">
              <w:rPr>
                <w:rFonts w:ascii="Arial" w:eastAsia="Calibri" w:hAnsi="Arial" w:cs="Arial"/>
                <w:b/>
                <w:sz w:val="22"/>
                <w:szCs w:val="22"/>
              </w:rPr>
              <w:t>5</w:t>
            </w:r>
            <w:r w:rsidR="00603F39">
              <w:rPr>
                <w:rFonts w:ascii="Arial" w:eastAsia="Calibri" w:hAnsi="Arial" w:cs="Arial"/>
                <w:b/>
                <w:sz w:val="22"/>
                <w:szCs w:val="22"/>
              </w:rPr>
              <w:t>1</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0F5C99">
              <w:rPr>
                <w:rFonts w:ascii="Arial" w:eastAsia="Calibri" w:hAnsi="Arial" w:cs="Arial"/>
                <w:b/>
                <w:sz w:val="22"/>
                <w:szCs w:val="22"/>
              </w:rPr>
              <w:t>1</w:t>
            </w:r>
            <w:r w:rsidR="00603F39">
              <w:rPr>
                <w:rFonts w:ascii="Arial" w:eastAsia="Calibri" w:hAnsi="Arial" w:cs="Arial"/>
                <w:b/>
                <w:sz w:val="22"/>
                <w:szCs w:val="22"/>
              </w:rPr>
              <w:t>8</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603F39">
              <w:rPr>
                <w:rFonts w:ascii="Arial" w:eastAsia="Calibri" w:hAnsi="Arial" w:cs="Arial"/>
                <w:b/>
                <w:sz w:val="22"/>
                <w:szCs w:val="22"/>
              </w:rPr>
              <w:t>13</w:t>
            </w:r>
            <w:r w:rsidRPr="00267FAF">
              <w:rPr>
                <w:rFonts w:ascii="Arial" w:eastAsia="Calibri" w:hAnsi="Arial" w:cs="Arial"/>
                <w:b/>
                <w:sz w:val="22"/>
                <w:szCs w:val="22"/>
              </w:rPr>
              <w:t xml:space="preserve"> de </w:t>
            </w:r>
            <w:r w:rsidR="007F28ED">
              <w:rPr>
                <w:rFonts w:ascii="Arial" w:eastAsia="Calibri" w:hAnsi="Arial" w:cs="Arial"/>
                <w:b/>
                <w:sz w:val="22"/>
                <w:szCs w:val="22"/>
              </w:rPr>
              <w:t>dic</w:t>
            </w:r>
            <w:r w:rsidR="00841F61">
              <w:rPr>
                <w:rFonts w:ascii="Arial" w:eastAsia="Calibri" w:hAnsi="Arial" w:cs="Arial"/>
                <w:b/>
                <w:sz w:val="22"/>
                <w:szCs w:val="22"/>
              </w:rPr>
              <w:t>iem</w:t>
            </w:r>
            <w:r w:rsidR="00AA0A77">
              <w:rPr>
                <w:rFonts w:ascii="Arial" w:eastAsia="Calibri" w:hAnsi="Arial" w:cs="Arial"/>
                <w:b/>
                <w:sz w:val="22"/>
                <w:szCs w:val="22"/>
              </w:rPr>
              <w:t>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457DD8">
              <w:rPr>
                <w:rFonts w:ascii="Arial" w:eastAsia="Calibri" w:hAnsi="Arial" w:cs="Arial"/>
                <w:b/>
                <w:sz w:val="22"/>
                <w:szCs w:val="22"/>
              </w:rPr>
              <w:t xml:space="preserve">.  </w:t>
            </w:r>
            <w:r w:rsidR="00603F39" w:rsidRPr="00603F39">
              <w:rPr>
                <w:rFonts w:ascii="Arial" w:eastAsia="Cambria" w:hAnsi="Arial" w:cs="Arial"/>
                <w:b/>
                <w:bCs/>
                <w:sz w:val="22"/>
                <w:szCs w:val="22"/>
                <w:lang w:val="es-CR" w:eastAsia="en-US"/>
              </w:rPr>
              <w:t>Modificación de las características de la Plaza CF 2943</w:t>
            </w:r>
          </w:p>
          <w:p w:rsidR="007F28ED" w:rsidRPr="007F1052" w:rsidRDefault="007F28ED" w:rsidP="007F28ED">
            <w:pPr>
              <w:pStyle w:val="Prrafodelista"/>
              <w:ind w:left="-31"/>
              <w:jc w:val="both"/>
              <w:rPr>
                <w:rFonts w:ascii="Arial" w:eastAsia="Cambria" w:hAnsi="Arial" w:cs="Arial"/>
                <w:b/>
                <w:sz w:val="20"/>
                <w:szCs w:val="20"/>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5A37EA" w:rsidRDefault="005A37EA" w:rsidP="007742A1">
      <w:pPr>
        <w:jc w:val="both"/>
        <w:rPr>
          <w:rFonts w:ascii="Arial" w:eastAsia="Cambria" w:hAnsi="Arial" w:cs="Arial"/>
          <w:lang w:eastAsia="en-US"/>
        </w:rPr>
      </w:pPr>
    </w:p>
    <w:p w:rsidR="005A37EA" w:rsidRPr="005A37EA" w:rsidRDefault="005A37EA" w:rsidP="005A37EA">
      <w:pPr>
        <w:rPr>
          <w:rFonts w:ascii="Arial" w:hAnsi="Arial" w:cs="Arial"/>
          <w:b/>
        </w:rPr>
      </w:pPr>
      <w:r w:rsidRPr="005A37EA">
        <w:rPr>
          <w:rFonts w:ascii="Arial" w:hAnsi="Arial" w:cs="Arial"/>
          <w:b/>
        </w:rPr>
        <w:t>RESULTANDO QUE:</w:t>
      </w:r>
    </w:p>
    <w:p w:rsidR="005A37EA" w:rsidRDefault="005A37EA" w:rsidP="005A37EA">
      <w:pPr>
        <w:rPr>
          <w:rFonts w:ascii="Arial" w:hAnsi="Arial" w:cs="Arial"/>
          <w:b/>
          <w:sz w:val="28"/>
        </w:rPr>
      </w:pPr>
    </w:p>
    <w:p w:rsidR="005A37EA" w:rsidRPr="00F4756B" w:rsidRDefault="005A37EA" w:rsidP="008A35CF">
      <w:pPr>
        <w:pStyle w:val="Prrafodelista"/>
        <w:numPr>
          <w:ilvl w:val="0"/>
          <w:numId w:val="3"/>
        </w:numPr>
        <w:ind w:left="426" w:hanging="426"/>
        <w:contextualSpacing/>
        <w:jc w:val="both"/>
        <w:rPr>
          <w:rFonts w:ascii="Arial" w:hAnsi="Arial" w:cs="Arial"/>
        </w:rPr>
      </w:pPr>
      <w:r w:rsidRPr="00F4756B">
        <w:rPr>
          <w:rFonts w:ascii="Arial" w:hAnsi="Arial" w:cs="Arial"/>
        </w:rPr>
        <w:t>El Artículo 21 del Reglamento del Consejo Institucional indica lo siguiente:</w:t>
      </w:r>
    </w:p>
    <w:p w:rsidR="005A37EA" w:rsidRDefault="005A37EA" w:rsidP="005A37EA">
      <w:pPr>
        <w:pStyle w:val="Prrafodelista"/>
        <w:ind w:left="709"/>
        <w:jc w:val="both"/>
        <w:rPr>
          <w:rFonts w:ascii="Arial" w:hAnsi="Arial" w:cs="Arial"/>
          <w:i/>
        </w:rPr>
      </w:pPr>
    </w:p>
    <w:p w:rsidR="005A37EA" w:rsidRPr="00FA6DBB" w:rsidRDefault="005A37EA" w:rsidP="005A37EA">
      <w:pPr>
        <w:pStyle w:val="Prrafodelista"/>
        <w:ind w:left="993" w:right="333"/>
        <w:jc w:val="both"/>
        <w:rPr>
          <w:rFonts w:ascii="Arial" w:hAnsi="Arial" w:cs="Arial"/>
          <w:i/>
        </w:rPr>
      </w:pPr>
      <w:r w:rsidRPr="00FA6DBB">
        <w:rPr>
          <w:rFonts w:ascii="Arial" w:hAnsi="Arial" w:cs="Arial"/>
          <w:i/>
        </w:rPr>
        <w:t xml:space="preserve">Son asuntos propios del análisis y dictamen de la Comisión de Planificación y Administración según su competencia los siguientes: </w:t>
      </w:r>
    </w:p>
    <w:p w:rsidR="005A37EA" w:rsidRPr="00FA6DBB" w:rsidRDefault="005A37EA" w:rsidP="005A37EA">
      <w:pPr>
        <w:pStyle w:val="Prrafodelista"/>
        <w:ind w:left="993" w:right="333"/>
        <w:jc w:val="both"/>
        <w:rPr>
          <w:rFonts w:ascii="Arial" w:hAnsi="Arial" w:cs="Arial"/>
          <w:i/>
        </w:rPr>
      </w:pPr>
      <w:r w:rsidRPr="00FA6DBB">
        <w:rPr>
          <w:rFonts w:ascii="Arial" w:hAnsi="Arial" w:cs="Arial"/>
          <w:i/>
        </w:rPr>
        <w:t>…</w:t>
      </w:r>
    </w:p>
    <w:p w:rsidR="005A37EA" w:rsidRPr="00FA6DBB" w:rsidRDefault="005A37EA" w:rsidP="005A37EA">
      <w:pPr>
        <w:pStyle w:val="Prrafodelista"/>
        <w:ind w:left="993" w:right="333"/>
        <w:jc w:val="both"/>
        <w:rPr>
          <w:rFonts w:ascii="Arial" w:hAnsi="Arial" w:cs="Arial"/>
          <w:i/>
        </w:rPr>
      </w:pPr>
      <w:r w:rsidRPr="00FA6DBB">
        <w:rPr>
          <w:rFonts w:ascii="Arial" w:hAnsi="Arial" w:cs="Arial"/>
          <w:i/>
        </w:rPr>
        <w:t>c. La creación, modificación y eliminación de plazas.</w:t>
      </w:r>
    </w:p>
    <w:p w:rsidR="005A37EA" w:rsidRPr="00F4756B" w:rsidRDefault="005A37EA" w:rsidP="005A37EA">
      <w:pPr>
        <w:pStyle w:val="Prrafodelista"/>
        <w:ind w:left="709"/>
        <w:jc w:val="both"/>
        <w:rPr>
          <w:rFonts w:ascii="Arial" w:hAnsi="Arial" w:cs="Arial"/>
        </w:rPr>
      </w:pPr>
    </w:p>
    <w:p w:rsidR="005A37EA" w:rsidRDefault="005A37EA" w:rsidP="008A35CF">
      <w:pPr>
        <w:pStyle w:val="Prrafodelista"/>
        <w:numPr>
          <w:ilvl w:val="0"/>
          <w:numId w:val="3"/>
        </w:numPr>
        <w:ind w:left="426" w:hanging="426"/>
        <w:contextualSpacing/>
        <w:jc w:val="both"/>
        <w:rPr>
          <w:rFonts w:ascii="Arial" w:hAnsi="Arial" w:cs="Arial"/>
        </w:rPr>
      </w:pPr>
      <w:r w:rsidRPr="00F4756B">
        <w:rPr>
          <w:rFonts w:ascii="Arial" w:hAnsi="Arial" w:cs="Arial"/>
        </w:rPr>
        <w:t xml:space="preserve">Las Normas de Contratación y Remuneración del Personal del Instituto Tecnológico </w:t>
      </w:r>
      <w:r>
        <w:rPr>
          <w:rFonts w:ascii="Arial" w:hAnsi="Arial" w:cs="Arial"/>
        </w:rPr>
        <w:t>de Costa Rica indica</w:t>
      </w:r>
      <w:r w:rsidRPr="00F4756B">
        <w:rPr>
          <w:rFonts w:ascii="Arial" w:hAnsi="Arial" w:cs="Arial"/>
        </w:rPr>
        <w:t xml:space="preserve"> en su Artículo 2, inciso a</w:t>
      </w:r>
      <w:r>
        <w:rPr>
          <w:rFonts w:ascii="Arial" w:hAnsi="Arial" w:cs="Arial"/>
        </w:rPr>
        <w:t>,</w:t>
      </w:r>
      <w:r w:rsidRPr="00F4756B">
        <w:rPr>
          <w:rFonts w:ascii="Arial" w:hAnsi="Arial" w:cs="Arial"/>
        </w:rPr>
        <w:t xml:space="preserve"> </w:t>
      </w:r>
      <w:r>
        <w:rPr>
          <w:rFonts w:ascii="Arial" w:hAnsi="Arial" w:cs="Arial"/>
        </w:rPr>
        <w:t>lo siguiente</w:t>
      </w:r>
      <w:r w:rsidRPr="00F4756B">
        <w:rPr>
          <w:rFonts w:ascii="Arial" w:hAnsi="Arial" w:cs="Arial"/>
        </w:rPr>
        <w:t>:</w:t>
      </w:r>
    </w:p>
    <w:p w:rsidR="005A37EA" w:rsidRPr="00F4756B" w:rsidRDefault="005A37EA" w:rsidP="005A37EA">
      <w:pPr>
        <w:pStyle w:val="Prrafodelista"/>
        <w:jc w:val="both"/>
        <w:rPr>
          <w:rFonts w:ascii="Arial" w:hAnsi="Arial" w:cs="Arial"/>
        </w:rPr>
      </w:pPr>
    </w:p>
    <w:p w:rsidR="005A37EA" w:rsidRPr="00F5665D" w:rsidRDefault="005A37EA" w:rsidP="005A37EA">
      <w:pPr>
        <w:pStyle w:val="Prrafodelista"/>
        <w:ind w:left="993" w:right="333"/>
        <w:jc w:val="both"/>
        <w:rPr>
          <w:rFonts w:ascii="Arial" w:hAnsi="Arial" w:cs="Arial"/>
          <w:i/>
        </w:rPr>
      </w:pPr>
      <w:r w:rsidRPr="00FA6DBB">
        <w:rPr>
          <w:rFonts w:ascii="Arial" w:hAnsi="Arial" w:cs="Arial"/>
          <w:i/>
        </w:rPr>
        <w:t>Las solicitudes para creación y modificación de plazas deberán ser presentadas al Rector por el Vicerrector respectivo o el Director de Sede o Centro Académico. Para ello se deberá presentar la justificación según el plan operativo, los programas y las funciones por realizar. Además, se presentarán: un dictamen, elaborado por la Oficina de Planificación, sobre el impacto presupuestario y académico, la concordancia con los lineamientos del Plan Anual Operativo y del Plan de Desarrollo Institucional y un estudio de la factibilidad de recursos para atender las solicitudes, realizado por el Departamento Financiero Contable</w:t>
      </w:r>
      <w:r>
        <w:rPr>
          <w:rFonts w:ascii="Arial" w:hAnsi="Arial" w:cs="Arial"/>
          <w:i/>
        </w:rPr>
        <w:t>.</w:t>
      </w:r>
    </w:p>
    <w:p w:rsidR="005A37EA" w:rsidRPr="00FA6DBB" w:rsidRDefault="005A37EA" w:rsidP="005A37EA">
      <w:pPr>
        <w:pStyle w:val="Prrafodelista"/>
        <w:ind w:left="426"/>
        <w:jc w:val="both"/>
        <w:rPr>
          <w:rFonts w:ascii="Arial" w:hAnsi="Arial" w:cs="Arial"/>
          <w:sz w:val="16"/>
          <w:szCs w:val="16"/>
        </w:rPr>
      </w:pPr>
    </w:p>
    <w:p w:rsidR="005A37EA" w:rsidRDefault="005A37EA" w:rsidP="008A35CF">
      <w:pPr>
        <w:pStyle w:val="Prrafodelista"/>
        <w:numPr>
          <w:ilvl w:val="0"/>
          <w:numId w:val="3"/>
        </w:numPr>
        <w:ind w:left="426" w:hanging="426"/>
        <w:contextualSpacing/>
        <w:jc w:val="both"/>
        <w:rPr>
          <w:rFonts w:ascii="Arial" w:hAnsi="Arial" w:cs="Arial"/>
        </w:rPr>
      </w:pPr>
      <w:r>
        <w:rPr>
          <w:rFonts w:ascii="Arial" w:hAnsi="Arial" w:cs="Arial"/>
        </w:rPr>
        <w:t xml:space="preserve">Mediante el oficio R-1449-2017 del 29 de noviembre de 2017, el señor Rector Dr. Julio Calvo Alvarado ha solicitado la modificación de la plaza CF-2943, de Secretaria Ejecutiva 1, jornada de 50%, categoría 9,  adscrita a la Escuela de Cultura y Deporte, atendiendo gestión de la Vicerrectora de Vida Estudiantil y Servicios Académicos, Dra. Claudia Madrizova </w:t>
      </w:r>
      <w:proofErr w:type="spellStart"/>
      <w:r>
        <w:rPr>
          <w:rFonts w:ascii="Arial" w:hAnsi="Arial" w:cs="Arial"/>
        </w:rPr>
        <w:t>Madrizova</w:t>
      </w:r>
      <w:proofErr w:type="spellEnd"/>
      <w:r>
        <w:rPr>
          <w:rFonts w:ascii="Arial" w:hAnsi="Arial" w:cs="Arial"/>
        </w:rPr>
        <w:t>, planteada en el oficio VIESA</w:t>
      </w:r>
      <w:r w:rsidRPr="00763351">
        <w:rPr>
          <w:rFonts w:ascii="Arial" w:hAnsi="Arial" w:cs="Arial"/>
        </w:rPr>
        <w:t>-</w:t>
      </w:r>
      <w:r>
        <w:rPr>
          <w:rFonts w:ascii="Arial" w:hAnsi="Arial" w:cs="Arial"/>
        </w:rPr>
        <w:t>1148</w:t>
      </w:r>
      <w:r w:rsidRPr="00763351">
        <w:rPr>
          <w:rFonts w:ascii="Arial" w:hAnsi="Arial" w:cs="Arial"/>
        </w:rPr>
        <w:t>-</w:t>
      </w:r>
      <w:r w:rsidRPr="00CE3C88">
        <w:rPr>
          <w:rFonts w:ascii="Arial" w:hAnsi="Arial" w:cs="Arial"/>
        </w:rPr>
        <w:t xml:space="preserve">2017 del 07 de setiembre </w:t>
      </w:r>
      <w:r>
        <w:rPr>
          <w:rFonts w:ascii="Arial" w:hAnsi="Arial" w:cs="Arial"/>
        </w:rPr>
        <w:t xml:space="preserve">de </w:t>
      </w:r>
      <w:r w:rsidRPr="00CE3C88">
        <w:rPr>
          <w:rFonts w:ascii="Arial" w:hAnsi="Arial" w:cs="Arial"/>
        </w:rPr>
        <w:t>2017</w:t>
      </w:r>
      <w:r>
        <w:rPr>
          <w:rFonts w:ascii="Arial" w:hAnsi="Arial" w:cs="Arial"/>
        </w:rPr>
        <w:t xml:space="preserve">, para convertirla en una plaza de Asistente de Administración 1, categoría 8, adscrita a la Unidad de Cultura y Deporte en el Centro Académico de San José y adscrita a la Escuela de Cultura y Deporte. </w:t>
      </w:r>
    </w:p>
    <w:p w:rsidR="005A37EA" w:rsidRPr="00FA6DBB" w:rsidRDefault="005A37EA" w:rsidP="005A37EA">
      <w:pPr>
        <w:pStyle w:val="Prrafodelista"/>
        <w:ind w:left="426"/>
        <w:jc w:val="both"/>
        <w:rPr>
          <w:rFonts w:ascii="Arial" w:hAnsi="Arial" w:cs="Arial"/>
          <w:sz w:val="16"/>
          <w:szCs w:val="16"/>
        </w:rPr>
      </w:pPr>
    </w:p>
    <w:p w:rsidR="005A37EA" w:rsidRDefault="005A37EA" w:rsidP="008A35CF">
      <w:pPr>
        <w:pStyle w:val="Prrafodelista"/>
        <w:numPr>
          <w:ilvl w:val="0"/>
          <w:numId w:val="3"/>
        </w:numPr>
        <w:ind w:left="426" w:hanging="426"/>
        <w:contextualSpacing/>
        <w:jc w:val="both"/>
        <w:rPr>
          <w:rFonts w:ascii="Arial" w:hAnsi="Arial" w:cs="Arial"/>
        </w:rPr>
      </w:pPr>
      <w:r>
        <w:rPr>
          <w:rFonts w:ascii="Arial" w:hAnsi="Arial" w:cs="Arial"/>
        </w:rPr>
        <w:lastRenderedPageBreak/>
        <w:t>La</w:t>
      </w:r>
      <w:r w:rsidRPr="00CE3C88">
        <w:rPr>
          <w:rFonts w:ascii="Arial" w:hAnsi="Arial" w:cs="Arial"/>
        </w:rPr>
        <w:t xml:space="preserve"> plaza CF2943 se aprobó </w:t>
      </w:r>
      <w:r>
        <w:rPr>
          <w:rFonts w:ascii="Arial" w:hAnsi="Arial" w:cs="Arial"/>
        </w:rPr>
        <w:t xml:space="preserve">como </w:t>
      </w:r>
      <w:r w:rsidRPr="00CE3C88">
        <w:rPr>
          <w:rFonts w:ascii="Arial" w:hAnsi="Arial" w:cs="Arial"/>
        </w:rPr>
        <w:t>permanente en la Sesión Ordinaria</w:t>
      </w:r>
      <w:r>
        <w:rPr>
          <w:rFonts w:ascii="Arial" w:hAnsi="Arial" w:cs="Arial"/>
        </w:rPr>
        <w:t xml:space="preserve"> del Consejo Institucional</w:t>
      </w:r>
      <w:r w:rsidRPr="00CE3C88">
        <w:rPr>
          <w:rFonts w:ascii="Arial" w:hAnsi="Arial" w:cs="Arial"/>
        </w:rPr>
        <w:t xml:space="preserve"> No. 2989, Artículo 7 del 14 de setiembre de 2016, </w:t>
      </w:r>
      <w:r>
        <w:rPr>
          <w:rFonts w:ascii="Arial" w:hAnsi="Arial" w:cs="Arial"/>
        </w:rPr>
        <w:t xml:space="preserve">siendo su código </w:t>
      </w:r>
      <w:r w:rsidRPr="00CE3C88">
        <w:rPr>
          <w:rFonts w:ascii="Arial" w:hAnsi="Arial" w:cs="Arial"/>
        </w:rPr>
        <w:t>ante</w:t>
      </w:r>
      <w:r>
        <w:rPr>
          <w:rFonts w:ascii="Arial" w:hAnsi="Arial" w:cs="Arial"/>
        </w:rPr>
        <w:t>riormente</w:t>
      </w:r>
      <w:r w:rsidRPr="00CE3C88">
        <w:rPr>
          <w:rFonts w:ascii="Arial" w:hAnsi="Arial" w:cs="Arial"/>
        </w:rPr>
        <w:t xml:space="preserve"> </w:t>
      </w:r>
      <w:r>
        <w:rPr>
          <w:rFonts w:ascii="Arial" w:hAnsi="Arial" w:cs="Arial"/>
        </w:rPr>
        <w:t>el</w:t>
      </w:r>
      <w:r w:rsidRPr="00CE3C88">
        <w:rPr>
          <w:rFonts w:ascii="Arial" w:hAnsi="Arial" w:cs="Arial"/>
        </w:rPr>
        <w:t xml:space="preserve"> CT0380</w:t>
      </w:r>
      <w:r>
        <w:rPr>
          <w:rFonts w:ascii="Arial" w:hAnsi="Arial" w:cs="Arial"/>
        </w:rPr>
        <w:t>, con las siguientes características:</w:t>
      </w:r>
    </w:p>
    <w:p w:rsidR="005A37EA" w:rsidRDefault="005A37EA" w:rsidP="005A37EA">
      <w:pPr>
        <w:pStyle w:val="Prrafodelista"/>
        <w:contextualSpacing/>
        <w:jc w:val="both"/>
        <w:rPr>
          <w:rFonts w:ascii="Arial" w:hAnsi="Arial" w:cs="Arial"/>
        </w:rPr>
      </w:pPr>
    </w:p>
    <w:tbl>
      <w:tblPr>
        <w:tblW w:w="9436" w:type="dxa"/>
        <w:tblInd w:w="-10" w:type="dxa"/>
        <w:tblLayout w:type="fixed"/>
        <w:tblCellMar>
          <w:left w:w="0" w:type="dxa"/>
          <w:right w:w="0" w:type="dxa"/>
        </w:tblCellMar>
        <w:tblLook w:val="04A0" w:firstRow="1" w:lastRow="0" w:firstColumn="1" w:lastColumn="0" w:noHBand="0" w:noVBand="1"/>
      </w:tblPr>
      <w:tblGrid>
        <w:gridCol w:w="1268"/>
        <w:gridCol w:w="797"/>
        <w:gridCol w:w="850"/>
        <w:gridCol w:w="709"/>
        <w:gridCol w:w="1418"/>
        <w:gridCol w:w="1134"/>
        <w:gridCol w:w="3260"/>
      </w:tblGrid>
      <w:tr w:rsidR="005A37EA" w:rsidRPr="008940A7" w:rsidTr="004411B2">
        <w:trPr>
          <w:trHeight w:val="550"/>
        </w:trPr>
        <w:tc>
          <w:tcPr>
            <w:tcW w:w="1268" w:type="dxa"/>
            <w:tcBorders>
              <w:top w:val="single" w:sz="8" w:space="0" w:color="auto"/>
              <w:left w:val="single" w:sz="8" w:space="0" w:color="auto"/>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Puesto</w:t>
            </w:r>
          </w:p>
        </w:tc>
        <w:tc>
          <w:tcPr>
            <w:tcW w:w="797"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Categoría</w:t>
            </w:r>
          </w:p>
        </w:tc>
        <w:tc>
          <w:tcPr>
            <w:tcW w:w="850"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Jornada</w:t>
            </w:r>
          </w:p>
        </w:tc>
        <w:tc>
          <w:tcPr>
            <w:tcW w:w="709"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TCE</w:t>
            </w:r>
          </w:p>
        </w:tc>
        <w:tc>
          <w:tcPr>
            <w:tcW w:w="1418"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Nombramiento</w:t>
            </w:r>
          </w:p>
        </w:tc>
        <w:tc>
          <w:tcPr>
            <w:tcW w:w="1134"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Adscrita a:</w:t>
            </w:r>
          </w:p>
        </w:tc>
        <w:tc>
          <w:tcPr>
            <w:tcW w:w="3260"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Observaciones</w:t>
            </w:r>
          </w:p>
        </w:tc>
      </w:tr>
      <w:tr w:rsidR="005A37EA" w:rsidRPr="008940A7" w:rsidTr="004411B2">
        <w:trPr>
          <w:trHeight w:val="709"/>
        </w:trPr>
        <w:tc>
          <w:tcPr>
            <w:tcW w:w="12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Secretaria (o) Ejecutiva (o) 1</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9</w:t>
            </w:r>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50%</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12</w:t>
            </w:r>
          </w:p>
        </w:tc>
        <w:tc>
          <w:tcPr>
            <w:tcW w:w="1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0,50</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Escuela de Cultura y Deporte</w:t>
            </w:r>
          </w:p>
        </w:tc>
        <w:tc>
          <w:tcPr>
            <w:tcW w:w="3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Aprobada permanente como CF2943 en la Sesión Ordinaria No. 2989, Artículo 7 del 14 de setiembre de 2016, antes era la CT0380.</w:t>
            </w:r>
          </w:p>
        </w:tc>
      </w:tr>
    </w:tbl>
    <w:p w:rsidR="005A37EA" w:rsidRPr="0000283D" w:rsidRDefault="005A37EA" w:rsidP="005A37EA">
      <w:pPr>
        <w:pStyle w:val="Prrafodelista"/>
        <w:contextualSpacing/>
        <w:jc w:val="both"/>
        <w:rPr>
          <w:rFonts w:ascii="Arial" w:hAnsi="Arial" w:cs="Arial"/>
        </w:rPr>
      </w:pPr>
    </w:p>
    <w:p w:rsidR="005A37EA" w:rsidRDefault="005A37EA" w:rsidP="008A35CF">
      <w:pPr>
        <w:pStyle w:val="Prrafodelista"/>
        <w:numPr>
          <w:ilvl w:val="0"/>
          <w:numId w:val="3"/>
        </w:numPr>
        <w:ind w:left="426" w:hanging="426"/>
        <w:contextualSpacing/>
        <w:jc w:val="both"/>
        <w:rPr>
          <w:rFonts w:ascii="Arial" w:hAnsi="Arial" w:cs="Arial"/>
        </w:rPr>
      </w:pPr>
      <w:r>
        <w:rPr>
          <w:rFonts w:ascii="Arial" w:hAnsi="Arial" w:cs="Arial"/>
        </w:rPr>
        <w:t>La solicitud del oficio VIESA</w:t>
      </w:r>
      <w:r w:rsidRPr="00763351">
        <w:rPr>
          <w:rFonts w:ascii="Arial" w:hAnsi="Arial" w:cs="Arial"/>
        </w:rPr>
        <w:t>-</w:t>
      </w:r>
      <w:r>
        <w:rPr>
          <w:rFonts w:ascii="Arial" w:hAnsi="Arial" w:cs="Arial"/>
        </w:rPr>
        <w:t>1148</w:t>
      </w:r>
      <w:r w:rsidRPr="00763351">
        <w:rPr>
          <w:rFonts w:ascii="Arial" w:hAnsi="Arial" w:cs="Arial"/>
        </w:rPr>
        <w:t>-</w:t>
      </w:r>
      <w:r>
        <w:rPr>
          <w:rFonts w:ascii="Arial" w:hAnsi="Arial" w:cs="Arial"/>
        </w:rPr>
        <w:t xml:space="preserve">2017, avalada por el señor Rector en el oficio R-1449-2017, </w:t>
      </w:r>
      <w:r w:rsidRPr="0000283D">
        <w:rPr>
          <w:rFonts w:ascii="Arial" w:hAnsi="Arial" w:cs="Arial"/>
        </w:rPr>
        <w:t xml:space="preserve"> es </w:t>
      </w:r>
      <w:r>
        <w:rPr>
          <w:rFonts w:ascii="Arial" w:hAnsi="Arial" w:cs="Arial"/>
        </w:rPr>
        <w:t xml:space="preserve">para </w:t>
      </w:r>
      <w:r w:rsidRPr="0000283D">
        <w:rPr>
          <w:rFonts w:ascii="Arial" w:hAnsi="Arial" w:cs="Arial"/>
        </w:rPr>
        <w:t>recalificar la plaza de Secretaria Ejecutiva 1 a una plaza de Asistente de Administración 1, adscrita a la Unidad de Cultura y Deporte de</w:t>
      </w:r>
      <w:r>
        <w:rPr>
          <w:rFonts w:ascii="Arial" w:hAnsi="Arial" w:cs="Arial"/>
        </w:rPr>
        <w:t>l Centro Académico de</w:t>
      </w:r>
      <w:r w:rsidRPr="0000283D">
        <w:rPr>
          <w:rFonts w:ascii="Arial" w:hAnsi="Arial" w:cs="Arial"/>
        </w:rPr>
        <w:t xml:space="preserve"> San José perteneciente a la Escuela de Cultura y Deporte, </w:t>
      </w:r>
      <w:r>
        <w:rPr>
          <w:rFonts w:ascii="Arial" w:hAnsi="Arial" w:cs="Arial"/>
        </w:rPr>
        <w:t xml:space="preserve">para </w:t>
      </w:r>
      <w:r w:rsidRPr="0000283D">
        <w:rPr>
          <w:rFonts w:ascii="Arial" w:hAnsi="Arial" w:cs="Arial"/>
        </w:rPr>
        <w:t>que apoye la producción de actividades de promoción cultural y deportiva entre otras funciones, implicando la ejecución de una serie de tareas administrativas que no pueden ser realizadas por una secretaria, según el Manu</w:t>
      </w:r>
      <w:r>
        <w:rPr>
          <w:rFonts w:ascii="Arial" w:hAnsi="Arial" w:cs="Arial"/>
        </w:rPr>
        <w:t xml:space="preserve">al de Puestos de la Institución.  A </w:t>
      </w:r>
      <w:r>
        <w:rPr>
          <w:rFonts w:ascii="Arial" w:hAnsi="Arial" w:cs="Arial"/>
        </w:rPr>
        <w:t>continuación,</w:t>
      </w:r>
      <w:r>
        <w:rPr>
          <w:rFonts w:ascii="Arial" w:hAnsi="Arial" w:cs="Arial"/>
        </w:rPr>
        <w:t xml:space="preserve"> se detallan las siguientes características:</w:t>
      </w:r>
    </w:p>
    <w:p w:rsidR="005A37EA" w:rsidRDefault="005A37EA" w:rsidP="005A37EA">
      <w:pPr>
        <w:pStyle w:val="Prrafodelista"/>
        <w:contextualSpacing/>
        <w:jc w:val="both"/>
        <w:rPr>
          <w:rFonts w:ascii="Arial" w:hAnsi="Arial" w:cs="Arial"/>
        </w:rPr>
      </w:pPr>
    </w:p>
    <w:tbl>
      <w:tblPr>
        <w:tblW w:w="9436" w:type="dxa"/>
        <w:tblInd w:w="-10" w:type="dxa"/>
        <w:tblLayout w:type="fixed"/>
        <w:tblCellMar>
          <w:left w:w="0" w:type="dxa"/>
          <w:right w:w="0" w:type="dxa"/>
        </w:tblCellMar>
        <w:tblLook w:val="04A0" w:firstRow="1" w:lastRow="0" w:firstColumn="1" w:lastColumn="0" w:noHBand="0" w:noVBand="1"/>
      </w:tblPr>
      <w:tblGrid>
        <w:gridCol w:w="1288"/>
        <w:gridCol w:w="584"/>
        <w:gridCol w:w="864"/>
        <w:gridCol w:w="719"/>
        <w:gridCol w:w="1427"/>
        <w:gridCol w:w="1329"/>
        <w:gridCol w:w="3225"/>
      </w:tblGrid>
      <w:tr w:rsidR="005A37EA" w:rsidRPr="008940A7" w:rsidTr="004411B2">
        <w:trPr>
          <w:trHeight w:val="957"/>
        </w:trPr>
        <w:tc>
          <w:tcPr>
            <w:tcW w:w="1288" w:type="dxa"/>
            <w:tcBorders>
              <w:top w:val="single" w:sz="8" w:space="0" w:color="auto"/>
              <w:left w:val="single" w:sz="8" w:space="0" w:color="auto"/>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Puesto</w:t>
            </w:r>
          </w:p>
        </w:tc>
        <w:tc>
          <w:tcPr>
            <w:tcW w:w="584"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textDirection w:val="btL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Categoría</w:t>
            </w:r>
          </w:p>
        </w:tc>
        <w:tc>
          <w:tcPr>
            <w:tcW w:w="864"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textDirection w:val="btL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Jornada</w:t>
            </w:r>
          </w:p>
        </w:tc>
        <w:tc>
          <w:tcPr>
            <w:tcW w:w="719"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TCE</w:t>
            </w:r>
          </w:p>
        </w:tc>
        <w:tc>
          <w:tcPr>
            <w:tcW w:w="1427"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Nombramiento</w:t>
            </w:r>
          </w:p>
        </w:tc>
        <w:tc>
          <w:tcPr>
            <w:tcW w:w="1329"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Adscrita a:</w:t>
            </w:r>
          </w:p>
        </w:tc>
        <w:tc>
          <w:tcPr>
            <w:tcW w:w="3225"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Observaciones</w:t>
            </w:r>
          </w:p>
        </w:tc>
      </w:tr>
      <w:tr w:rsidR="005A37EA" w:rsidRPr="008940A7" w:rsidTr="004411B2">
        <w:trPr>
          <w:trHeight w:val="717"/>
        </w:trPr>
        <w:tc>
          <w:tcPr>
            <w:tcW w:w="128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Asistente de Administración 1</w:t>
            </w:r>
          </w:p>
        </w:tc>
        <w:tc>
          <w:tcPr>
            <w:tcW w:w="5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8</w:t>
            </w:r>
          </w:p>
        </w:tc>
        <w:tc>
          <w:tcPr>
            <w:tcW w:w="86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50%</w:t>
            </w:r>
          </w:p>
        </w:tc>
        <w:tc>
          <w:tcPr>
            <w:tcW w:w="7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12</w:t>
            </w:r>
          </w:p>
        </w:tc>
        <w:tc>
          <w:tcPr>
            <w:tcW w:w="142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0,50</w:t>
            </w:r>
          </w:p>
        </w:tc>
        <w:tc>
          <w:tcPr>
            <w:tcW w:w="13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Escuela de Cultura y Deporte</w:t>
            </w:r>
          </w:p>
        </w:tc>
        <w:tc>
          <w:tcPr>
            <w:tcW w:w="322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Para apoyar la producción de actividades de promoción cultural y deportiva entre otras funciones, implicando la ejecución de una serie de tareas administrativas.</w:t>
            </w:r>
          </w:p>
        </w:tc>
      </w:tr>
    </w:tbl>
    <w:p w:rsidR="005A37EA" w:rsidRPr="0077608E" w:rsidRDefault="005A37EA" w:rsidP="005A37EA">
      <w:pPr>
        <w:pStyle w:val="Prrafodelista"/>
        <w:contextualSpacing/>
        <w:jc w:val="both"/>
        <w:rPr>
          <w:rFonts w:ascii="Arial" w:hAnsi="Arial" w:cs="Arial"/>
        </w:rPr>
      </w:pPr>
    </w:p>
    <w:p w:rsidR="005A37EA" w:rsidRPr="00F12CC1" w:rsidRDefault="005A37EA" w:rsidP="008A35CF">
      <w:pPr>
        <w:pStyle w:val="Prrafodelista"/>
        <w:numPr>
          <w:ilvl w:val="0"/>
          <w:numId w:val="3"/>
        </w:numPr>
        <w:ind w:left="426"/>
        <w:contextualSpacing/>
        <w:jc w:val="both"/>
        <w:rPr>
          <w:rFonts w:ascii="Arial" w:hAnsi="Arial" w:cs="Arial"/>
        </w:rPr>
      </w:pPr>
      <w:r>
        <w:rPr>
          <w:rFonts w:ascii="Arial" w:hAnsi="Arial" w:cs="Arial"/>
        </w:rPr>
        <w:t xml:space="preserve">Según se indica en el oficio </w:t>
      </w:r>
      <w:r w:rsidRPr="00F12CC1">
        <w:rPr>
          <w:rFonts w:ascii="Arial" w:hAnsi="Arial" w:cs="Arial"/>
        </w:rPr>
        <w:t>OPI-466-2017</w:t>
      </w:r>
      <w:r>
        <w:rPr>
          <w:rFonts w:ascii="Arial" w:hAnsi="Arial" w:cs="Arial"/>
        </w:rPr>
        <w:t>, l</w:t>
      </w:r>
      <w:r w:rsidRPr="00F12CC1">
        <w:rPr>
          <w:rFonts w:ascii="Arial" w:hAnsi="Arial" w:cs="Arial"/>
        </w:rPr>
        <w:t>a plaza a modificar se vincula con el Plan Anual Operativo 201</w:t>
      </w:r>
      <w:r>
        <w:rPr>
          <w:rFonts w:ascii="Arial" w:hAnsi="Arial" w:cs="Arial"/>
        </w:rPr>
        <w:t>8</w:t>
      </w:r>
      <w:r w:rsidRPr="00F12CC1">
        <w:rPr>
          <w:rFonts w:ascii="Arial" w:hAnsi="Arial" w:cs="Arial"/>
        </w:rPr>
        <w:t xml:space="preserve"> de la Escuela de Cultura y Deporte, de la siguiente manera:</w:t>
      </w:r>
    </w:p>
    <w:p w:rsidR="005A37EA" w:rsidRDefault="005A37EA" w:rsidP="005A37EA">
      <w:pPr>
        <w:spacing w:line="360" w:lineRule="auto"/>
        <w:rPr>
          <w:rFonts w:ascii="Arial" w:hAnsi="Arial" w:cs="Arial"/>
          <w:color w:val="8496B0"/>
          <w:sz w:val="22"/>
          <w:szCs w:val="22"/>
          <w:lang w:val="es-C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76"/>
        <w:gridCol w:w="3907"/>
      </w:tblGrid>
      <w:tr w:rsidR="005A37EA" w:rsidRPr="002D10DC" w:rsidTr="004411B2">
        <w:trPr>
          <w:trHeight w:val="354"/>
          <w:tblHeader/>
          <w:jc w:val="center"/>
        </w:trPr>
        <w:tc>
          <w:tcPr>
            <w:tcW w:w="1643" w:type="pct"/>
            <w:shd w:val="clear" w:color="auto" w:fill="4472C4"/>
            <w:vAlign w:val="center"/>
          </w:tcPr>
          <w:p w:rsidR="005A37EA" w:rsidRPr="000E08A5" w:rsidRDefault="005A37EA" w:rsidP="004411B2">
            <w:pPr>
              <w:jc w:val="center"/>
              <w:rPr>
                <w:rFonts w:ascii="Arial" w:hAnsi="Arial" w:cs="Arial"/>
                <w:b/>
                <w:bCs/>
                <w:sz w:val="16"/>
                <w:szCs w:val="16"/>
                <w:lang w:val="es-CR" w:eastAsia="es-CR"/>
              </w:rPr>
            </w:pPr>
            <w:r w:rsidRPr="000E08A5">
              <w:rPr>
                <w:rFonts w:ascii="Arial" w:hAnsi="Arial" w:cs="Arial"/>
                <w:b/>
                <w:bCs/>
                <w:sz w:val="16"/>
                <w:szCs w:val="16"/>
                <w:lang w:val="es-CR" w:eastAsia="es-CR"/>
              </w:rPr>
              <w:t>Objetivo Estratégico</w:t>
            </w:r>
          </w:p>
        </w:tc>
        <w:tc>
          <w:tcPr>
            <w:tcW w:w="1201" w:type="pct"/>
            <w:shd w:val="clear" w:color="auto" w:fill="4472C4"/>
            <w:vAlign w:val="center"/>
            <w:hideMark/>
          </w:tcPr>
          <w:p w:rsidR="005A37EA" w:rsidRPr="000E08A5" w:rsidRDefault="005A37EA" w:rsidP="004411B2">
            <w:pPr>
              <w:jc w:val="center"/>
              <w:rPr>
                <w:rFonts w:ascii="Arial" w:hAnsi="Arial" w:cs="Arial"/>
                <w:b/>
                <w:bCs/>
                <w:sz w:val="16"/>
                <w:szCs w:val="16"/>
                <w:lang w:val="es-CR" w:eastAsia="es-CR"/>
              </w:rPr>
            </w:pPr>
            <w:r w:rsidRPr="000E08A5">
              <w:rPr>
                <w:rFonts w:ascii="Arial" w:hAnsi="Arial" w:cs="Arial"/>
                <w:b/>
                <w:bCs/>
                <w:sz w:val="16"/>
                <w:szCs w:val="16"/>
                <w:lang w:val="es-CR" w:eastAsia="es-CR"/>
              </w:rPr>
              <w:t>Meta</w:t>
            </w:r>
          </w:p>
        </w:tc>
        <w:tc>
          <w:tcPr>
            <w:tcW w:w="2156" w:type="pct"/>
            <w:shd w:val="clear" w:color="auto" w:fill="4472C4"/>
            <w:vAlign w:val="center"/>
            <w:hideMark/>
          </w:tcPr>
          <w:p w:rsidR="005A37EA" w:rsidRPr="000E08A5" w:rsidRDefault="005A37EA" w:rsidP="004411B2">
            <w:pPr>
              <w:jc w:val="center"/>
              <w:rPr>
                <w:rFonts w:ascii="Arial" w:hAnsi="Arial" w:cs="Arial"/>
                <w:b/>
                <w:bCs/>
                <w:sz w:val="16"/>
                <w:szCs w:val="16"/>
                <w:lang w:val="es-CR" w:eastAsia="es-CR"/>
              </w:rPr>
            </w:pPr>
            <w:r w:rsidRPr="000E08A5">
              <w:rPr>
                <w:rFonts w:ascii="Arial" w:hAnsi="Arial" w:cs="Arial"/>
                <w:b/>
                <w:bCs/>
                <w:sz w:val="16"/>
                <w:szCs w:val="16"/>
                <w:lang w:val="es-CR" w:eastAsia="es-CR"/>
              </w:rPr>
              <w:t>Actividad</w:t>
            </w:r>
          </w:p>
        </w:tc>
      </w:tr>
      <w:tr w:rsidR="005A37EA" w:rsidRPr="002D10DC" w:rsidTr="004411B2">
        <w:trPr>
          <w:trHeight w:val="1087"/>
          <w:jc w:val="center"/>
        </w:trPr>
        <w:tc>
          <w:tcPr>
            <w:tcW w:w="1643" w:type="pct"/>
            <w:shd w:val="clear" w:color="auto" w:fill="auto"/>
          </w:tcPr>
          <w:p w:rsidR="005A37EA" w:rsidRPr="000E08A5" w:rsidRDefault="005A37EA" w:rsidP="004411B2">
            <w:pPr>
              <w:rPr>
                <w:rFonts w:ascii="Arial" w:hAnsi="Arial" w:cs="Arial"/>
                <w:sz w:val="16"/>
                <w:szCs w:val="16"/>
              </w:rPr>
            </w:pPr>
            <w:r w:rsidRPr="000E08A5">
              <w:rPr>
                <w:rFonts w:ascii="Arial" w:hAnsi="Arial" w:cs="Arial"/>
                <w:sz w:val="16"/>
                <w:szCs w:val="16"/>
              </w:rPr>
              <w:t>5. Contar con procesos y servicios ágiles, flexibles y oportunos para el desarrollo del quehacer institucional.</w:t>
            </w:r>
          </w:p>
        </w:tc>
        <w:tc>
          <w:tcPr>
            <w:tcW w:w="1201" w:type="pct"/>
            <w:shd w:val="clear" w:color="auto" w:fill="auto"/>
            <w:hideMark/>
          </w:tcPr>
          <w:p w:rsidR="005A37EA" w:rsidRPr="000E08A5" w:rsidRDefault="005A37EA" w:rsidP="004411B2">
            <w:pPr>
              <w:rPr>
                <w:rFonts w:ascii="Arial" w:hAnsi="Arial" w:cs="Arial"/>
                <w:sz w:val="16"/>
                <w:szCs w:val="16"/>
              </w:rPr>
            </w:pPr>
            <w:r w:rsidRPr="000E08A5">
              <w:rPr>
                <w:rFonts w:ascii="Arial" w:hAnsi="Arial" w:cs="Arial"/>
                <w:sz w:val="16"/>
                <w:szCs w:val="16"/>
              </w:rPr>
              <w:t>5.3.0.1. Desarrollar 122 actividades ordinarias en temas particulares de la Vicerrectoría de Vida Estudiantil.</w:t>
            </w:r>
          </w:p>
        </w:tc>
        <w:tc>
          <w:tcPr>
            <w:tcW w:w="2156" w:type="pct"/>
            <w:shd w:val="clear" w:color="auto" w:fill="auto"/>
            <w:hideMark/>
          </w:tcPr>
          <w:p w:rsidR="005A37EA" w:rsidRPr="000E08A5" w:rsidRDefault="005A37EA" w:rsidP="004411B2">
            <w:pPr>
              <w:rPr>
                <w:rFonts w:ascii="Arial" w:hAnsi="Arial" w:cs="Arial"/>
                <w:sz w:val="16"/>
                <w:szCs w:val="16"/>
              </w:rPr>
            </w:pPr>
            <w:r w:rsidRPr="000E08A5">
              <w:rPr>
                <w:rFonts w:ascii="Arial" w:hAnsi="Arial" w:cs="Arial"/>
                <w:sz w:val="16"/>
                <w:szCs w:val="16"/>
              </w:rPr>
              <w:t>1- Fortalecimiento de la Casa Cultural Amón y celebración del XX Aniversario.</w:t>
            </w:r>
          </w:p>
          <w:p w:rsidR="005A37EA" w:rsidRPr="000E08A5" w:rsidRDefault="005A37EA" w:rsidP="004411B2">
            <w:pPr>
              <w:rPr>
                <w:rFonts w:ascii="Arial" w:hAnsi="Arial" w:cs="Arial"/>
                <w:sz w:val="16"/>
                <w:szCs w:val="16"/>
              </w:rPr>
            </w:pPr>
            <w:r w:rsidRPr="000E08A5">
              <w:rPr>
                <w:rFonts w:ascii="Arial" w:hAnsi="Arial" w:cs="Arial"/>
                <w:sz w:val="16"/>
                <w:szCs w:val="16"/>
              </w:rPr>
              <w:t>…</w:t>
            </w:r>
          </w:p>
          <w:p w:rsidR="005A37EA" w:rsidRPr="000E08A5" w:rsidRDefault="005A37EA" w:rsidP="004411B2">
            <w:pPr>
              <w:rPr>
                <w:rFonts w:ascii="Arial" w:hAnsi="Arial" w:cs="Arial"/>
                <w:sz w:val="16"/>
                <w:szCs w:val="16"/>
              </w:rPr>
            </w:pPr>
            <w:r w:rsidRPr="000E08A5">
              <w:rPr>
                <w:rFonts w:ascii="Arial" w:hAnsi="Arial" w:cs="Arial"/>
                <w:sz w:val="16"/>
                <w:szCs w:val="16"/>
              </w:rPr>
              <w:t xml:space="preserve">3- </w:t>
            </w:r>
            <w:proofErr w:type="spellStart"/>
            <w:r w:rsidRPr="000E08A5">
              <w:rPr>
                <w:rFonts w:ascii="Arial" w:hAnsi="Arial" w:cs="Arial"/>
                <w:sz w:val="16"/>
                <w:szCs w:val="16"/>
              </w:rPr>
              <w:t>Coadyuvancia</w:t>
            </w:r>
            <w:proofErr w:type="spellEnd"/>
            <w:r w:rsidRPr="000E08A5">
              <w:rPr>
                <w:rFonts w:ascii="Arial" w:hAnsi="Arial" w:cs="Arial"/>
                <w:sz w:val="16"/>
                <w:szCs w:val="16"/>
              </w:rPr>
              <w:t xml:space="preserve"> en las actividades que desarrolla y apoya la Asociación Deportiva Recreativa del TEC (ADERTEC) y la Asociación Cultural Centro Académico San José (ACUCASJ).</w:t>
            </w:r>
          </w:p>
          <w:p w:rsidR="005A37EA" w:rsidRPr="000E08A5" w:rsidRDefault="005A37EA" w:rsidP="004411B2">
            <w:pPr>
              <w:rPr>
                <w:rFonts w:ascii="Arial" w:hAnsi="Arial" w:cs="Arial"/>
                <w:sz w:val="16"/>
                <w:szCs w:val="16"/>
              </w:rPr>
            </w:pPr>
            <w:r w:rsidRPr="000E08A5">
              <w:rPr>
                <w:rFonts w:ascii="Arial" w:hAnsi="Arial" w:cs="Arial"/>
                <w:sz w:val="16"/>
                <w:szCs w:val="16"/>
              </w:rPr>
              <w:t>4- Participación en actividades desarrolladas por FECUNDE, ACUC y Red UNIVES.</w:t>
            </w:r>
          </w:p>
          <w:p w:rsidR="005A37EA" w:rsidRPr="000E08A5" w:rsidRDefault="005A37EA" w:rsidP="004411B2">
            <w:pPr>
              <w:rPr>
                <w:rFonts w:ascii="Arial" w:hAnsi="Arial" w:cs="Arial"/>
                <w:sz w:val="16"/>
                <w:szCs w:val="16"/>
              </w:rPr>
            </w:pPr>
            <w:r w:rsidRPr="000E08A5">
              <w:rPr>
                <w:rFonts w:ascii="Arial" w:hAnsi="Arial" w:cs="Arial"/>
                <w:sz w:val="16"/>
                <w:szCs w:val="16"/>
              </w:rPr>
              <w:t>5- Participación en PREFICCUA 2018 participación en JUDUCA 2018 y actividades que convoque ODUCC, ODUPA y FISU.</w:t>
            </w:r>
          </w:p>
          <w:p w:rsidR="005A37EA" w:rsidRPr="000E08A5" w:rsidRDefault="005A37EA" w:rsidP="004411B2">
            <w:pPr>
              <w:rPr>
                <w:rFonts w:ascii="Arial" w:hAnsi="Arial" w:cs="Arial"/>
                <w:sz w:val="16"/>
                <w:szCs w:val="16"/>
              </w:rPr>
            </w:pPr>
            <w:r w:rsidRPr="000E08A5">
              <w:rPr>
                <w:rFonts w:ascii="Arial" w:hAnsi="Arial" w:cs="Arial"/>
                <w:sz w:val="16"/>
                <w:szCs w:val="16"/>
              </w:rPr>
              <w:t>6- Participación en las competencias oficiales de las Federaciones Deportivas Nacionales y universitaria.</w:t>
            </w:r>
          </w:p>
          <w:p w:rsidR="005A37EA" w:rsidRPr="000E08A5" w:rsidRDefault="005A37EA" w:rsidP="004411B2">
            <w:pPr>
              <w:rPr>
                <w:sz w:val="22"/>
                <w:szCs w:val="22"/>
              </w:rPr>
            </w:pPr>
            <w:r w:rsidRPr="000E08A5">
              <w:rPr>
                <w:rFonts w:ascii="Arial" w:hAnsi="Arial" w:cs="Arial"/>
                <w:sz w:val="16"/>
                <w:szCs w:val="16"/>
              </w:rPr>
              <w:t>7- Participación en las actividades culturales y deportivas de celebración del 47 Aniversario de la Fundación del TEC en el 2018 de interés institucional.</w:t>
            </w:r>
            <w:r w:rsidRPr="000E08A5">
              <w:rPr>
                <w:sz w:val="22"/>
                <w:szCs w:val="22"/>
              </w:rPr>
              <w:t xml:space="preserve"> </w:t>
            </w:r>
          </w:p>
          <w:p w:rsidR="005A37EA" w:rsidRPr="000E08A5" w:rsidRDefault="005A37EA" w:rsidP="004411B2">
            <w:pPr>
              <w:rPr>
                <w:rFonts w:ascii="Arial" w:hAnsi="Arial" w:cs="Arial"/>
                <w:sz w:val="16"/>
                <w:szCs w:val="16"/>
              </w:rPr>
            </w:pPr>
            <w:r w:rsidRPr="000E08A5">
              <w:rPr>
                <w:rFonts w:ascii="Arial" w:hAnsi="Arial" w:cs="Arial"/>
                <w:sz w:val="16"/>
                <w:szCs w:val="16"/>
              </w:rPr>
              <w:t>8- Incremento de actividades culturales, recreativas, lúdicas y aprovechamiento del tiempo libre para la comunidad institucional, en coordinación y enlaces con otras instancias institucionales y estudiantiles.</w:t>
            </w:r>
          </w:p>
          <w:p w:rsidR="005A37EA" w:rsidRPr="000E08A5" w:rsidRDefault="005A37EA" w:rsidP="004411B2">
            <w:pPr>
              <w:rPr>
                <w:rFonts w:ascii="Arial" w:hAnsi="Arial" w:cs="Arial"/>
                <w:sz w:val="16"/>
                <w:szCs w:val="16"/>
              </w:rPr>
            </w:pPr>
            <w:r w:rsidRPr="000E08A5">
              <w:rPr>
                <w:rFonts w:ascii="Arial" w:hAnsi="Arial" w:cs="Arial"/>
                <w:sz w:val="16"/>
                <w:szCs w:val="16"/>
              </w:rPr>
              <w:t>…</w:t>
            </w:r>
          </w:p>
          <w:p w:rsidR="005A37EA" w:rsidRPr="000E08A5" w:rsidRDefault="005A37EA" w:rsidP="004411B2">
            <w:pPr>
              <w:rPr>
                <w:rFonts w:ascii="Arial" w:hAnsi="Arial" w:cs="Arial"/>
                <w:sz w:val="16"/>
                <w:szCs w:val="16"/>
              </w:rPr>
            </w:pPr>
            <w:r w:rsidRPr="000E08A5">
              <w:rPr>
                <w:rFonts w:ascii="Arial" w:hAnsi="Arial" w:cs="Arial"/>
                <w:sz w:val="16"/>
                <w:szCs w:val="16"/>
              </w:rPr>
              <w:lastRenderedPageBreak/>
              <w:t>12 - Seguimiento de la gestión administrativa de las Instalaciones deportivas y culturales del plan de mejoras y mantenimiento institucional.</w:t>
            </w:r>
          </w:p>
          <w:p w:rsidR="005A37EA" w:rsidRPr="000E08A5" w:rsidRDefault="005A37EA" w:rsidP="004411B2">
            <w:pPr>
              <w:rPr>
                <w:rFonts w:ascii="Arial" w:hAnsi="Arial" w:cs="Arial"/>
                <w:sz w:val="16"/>
                <w:szCs w:val="16"/>
              </w:rPr>
            </w:pPr>
            <w:r w:rsidRPr="000E08A5">
              <w:rPr>
                <w:rFonts w:ascii="Arial" w:hAnsi="Arial" w:cs="Arial"/>
                <w:sz w:val="16"/>
                <w:szCs w:val="16"/>
              </w:rPr>
              <w:t>13- Representación nacional e internacional de grupos culturales y deportivos.</w:t>
            </w:r>
          </w:p>
          <w:p w:rsidR="005A37EA" w:rsidRPr="000E08A5" w:rsidRDefault="005A37EA" w:rsidP="004411B2">
            <w:pPr>
              <w:rPr>
                <w:rFonts w:ascii="Arial" w:hAnsi="Arial" w:cs="Arial"/>
                <w:sz w:val="16"/>
                <w:szCs w:val="16"/>
              </w:rPr>
            </w:pPr>
            <w:r w:rsidRPr="000E08A5">
              <w:rPr>
                <w:rFonts w:ascii="Arial" w:hAnsi="Arial" w:cs="Arial"/>
                <w:sz w:val="16"/>
                <w:szCs w:val="16"/>
              </w:rPr>
              <w:t>…</w:t>
            </w:r>
          </w:p>
          <w:p w:rsidR="005A37EA" w:rsidRPr="000E08A5" w:rsidRDefault="005A37EA" w:rsidP="004411B2">
            <w:pPr>
              <w:rPr>
                <w:rFonts w:ascii="Arial" w:hAnsi="Arial" w:cs="Arial"/>
                <w:sz w:val="16"/>
                <w:szCs w:val="16"/>
              </w:rPr>
            </w:pPr>
            <w:r w:rsidRPr="000E08A5">
              <w:rPr>
                <w:rFonts w:ascii="Arial" w:hAnsi="Arial" w:cs="Arial"/>
                <w:sz w:val="16"/>
                <w:szCs w:val="16"/>
              </w:rPr>
              <w:t xml:space="preserve">15- Fortalecimiento al programa de Técnicos en el campo Deportivo y Recreativo en </w:t>
            </w:r>
            <w:proofErr w:type="spellStart"/>
            <w:r w:rsidRPr="000E08A5">
              <w:rPr>
                <w:rFonts w:ascii="Arial" w:hAnsi="Arial" w:cs="Arial"/>
                <w:sz w:val="16"/>
                <w:szCs w:val="16"/>
              </w:rPr>
              <w:t>coadyuvancia</w:t>
            </w:r>
            <w:proofErr w:type="spellEnd"/>
            <w:r w:rsidRPr="000E08A5">
              <w:rPr>
                <w:rFonts w:ascii="Arial" w:hAnsi="Arial" w:cs="Arial"/>
                <w:sz w:val="16"/>
                <w:szCs w:val="16"/>
              </w:rPr>
              <w:t xml:space="preserve"> con FUNDATEC.</w:t>
            </w:r>
          </w:p>
          <w:p w:rsidR="005A37EA" w:rsidRPr="000E08A5" w:rsidRDefault="005A37EA" w:rsidP="004411B2">
            <w:pPr>
              <w:rPr>
                <w:rFonts w:ascii="Arial" w:hAnsi="Arial" w:cs="Arial"/>
                <w:sz w:val="16"/>
                <w:szCs w:val="16"/>
              </w:rPr>
            </w:pPr>
            <w:r w:rsidRPr="000E08A5">
              <w:rPr>
                <w:rFonts w:ascii="Arial" w:hAnsi="Arial" w:cs="Arial"/>
                <w:sz w:val="16"/>
                <w:szCs w:val="16"/>
              </w:rPr>
              <w:t>…</w:t>
            </w:r>
          </w:p>
          <w:p w:rsidR="005A37EA" w:rsidRPr="000E08A5" w:rsidRDefault="005A37EA" w:rsidP="004411B2">
            <w:pPr>
              <w:rPr>
                <w:rFonts w:ascii="Arial" w:hAnsi="Arial" w:cs="Arial"/>
                <w:sz w:val="16"/>
                <w:szCs w:val="16"/>
              </w:rPr>
            </w:pPr>
            <w:r w:rsidRPr="000E08A5">
              <w:rPr>
                <w:rFonts w:ascii="Arial" w:hAnsi="Arial" w:cs="Arial"/>
                <w:sz w:val="16"/>
                <w:szCs w:val="16"/>
              </w:rPr>
              <w:t>17- Seguimiento del plan institucional de crecimiento de infraestructura deportiva para la creación del Gimnasio Universitario y otras para JUNCOS 2019.</w:t>
            </w:r>
          </w:p>
          <w:p w:rsidR="005A37EA" w:rsidRPr="000E08A5" w:rsidRDefault="005A37EA" w:rsidP="004411B2">
            <w:pPr>
              <w:rPr>
                <w:rFonts w:ascii="Arial" w:hAnsi="Arial" w:cs="Arial"/>
                <w:sz w:val="16"/>
                <w:szCs w:val="16"/>
              </w:rPr>
            </w:pPr>
            <w:r w:rsidRPr="000E08A5">
              <w:rPr>
                <w:rFonts w:ascii="Arial" w:hAnsi="Arial" w:cs="Arial"/>
                <w:sz w:val="16"/>
                <w:szCs w:val="16"/>
              </w:rPr>
              <w:t>18- Fortalecimiento de la extensión cultural comunitaria de los grupos culturales y deportivos.</w:t>
            </w:r>
          </w:p>
          <w:p w:rsidR="005A37EA" w:rsidRPr="000E08A5" w:rsidRDefault="005A37EA" w:rsidP="004411B2">
            <w:pPr>
              <w:rPr>
                <w:rFonts w:ascii="Arial" w:hAnsi="Arial" w:cs="Arial"/>
                <w:sz w:val="16"/>
                <w:szCs w:val="16"/>
              </w:rPr>
            </w:pPr>
            <w:r w:rsidRPr="000E08A5">
              <w:rPr>
                <w:rFonts w:ascii="Arial" w:hAnsi="Arial" w:cs="Arial"/>
                <w:sz w:val="16"/>
                <w:szCs w:val="16"/>
              </w:rPr>
              <w:t>19- Fortalecimiento del proyecto Memoria Urbana - Festival Amón Cultural.</w:t>
            </w:r>
          </w:p>
          <w:p w:rsidR="005A37EA" w:rsidRPr="000E08A5" w:rsidRDefault="005A37EA" w:rsidP="004411B2">
            <w:pPr>
              <w:rPr>
                <w:rFonts w:ascii="Arial" w:hAnsi="Arial" w:cs="Arial"/>
                <w:sz w:val="16"/>
                <w:szCs w:val="16"/>
              </w:rPr>
            </w:pPr>
          </w:p>
        </w:tc>
      </w:tr>
    </w:tbl>
    <w:p w:rsidR="005A37EA" w:rsidRPr="00F12CC1" w:rsidRDefault="005A37EA" w:rsidP="005A37EA">
      <w:pPr>
        <w:spacing w:line="360" w:lineRule="auto"/>
        <w:rPr>
          <w:rFonts w:ascii="Arial" w:hAnsi="Arial" w:cs="Arial"/>
          <w:color w:val="8496B0"/>
          <w:sz w:val="22"/>
          <w:szCs w:val="22"/>
        </w:rPr>
      </w:pPr>
    </w:p>
    <w:p w:rsidR="005A37EA" w:rsidRPr="00FF4D55" w:rsidRDefault="005A37EA" w:rsidP="008A35CF">
      <w:pPr>
        <w:pStyle w:val="Prrafodelista"/>
        <w:numPr>
          <w:ilvl w:val="0"/>
          <w:numId w:val="3"/>
        </w:numPr>
        <w:ind w:left="426"/>
        <w:contextualSpacing/>
        <w:jc w:val="both"/>
        <w:rPr>
          <w:rFonts w:ascii="Arial" w:hAnsi="Arial" w:cs="Arial"/>
        </w:rPr>
      </w:pPr>
      <w:r w:rsidRPr="00FF4D55">
        <w:rPr>
          <w:rFonts w:ascii="Arial" w:hAnsi="Arial" w:cs="Arial"/>
        </w:rPr>
        <w:t>En el dictamen de la Oficina de Planificación Institucional, brindado en el oficio OPI-466-2017, se informa lo siguiente:</w:t>
      </w:r>
    </w:p>
    <w:p w:rsidR="005A37EA" w:rsidRDefault="005A37EA" w:rsidP="005A37EA">
      <w:pPr>
        <w:pStyle w:val="Prrafodelista"/>
        <w:ind w:left="66"/>
        <w:contextualSpacing/>
        <w:jc w:val="both"/>
        <w:rPr>
          <w:rFonts w:ascii="Arial" w:hAnsi="Arial" w:cs="Arial"/>
        </w:rPr>
      </w:pPr>
    </w:p>
    <w:p w:rsidR="005A37EA" w:rsidRPr="0069119B" w:rsidRDefault="005A37EA" w:rsidP="008A35CF">
      <w:pPr>
        <w:numPr>
          <w:ilvl w:val="0"/>
          <w:numId w:val="5"/>
        </w:numPr>
        <w:tabs>
          <w:tab w:val="left" w:pos="709"/>
          <w:tab w:val="left" w:pos="8640"/>
        </w:tabs>
        <w:ind w:right="616"/>
        <w:jc w:val="both"/>
        <w:rPr>
          <w:rFonts w:ascii="Arial" w:hAnsi="Arial" w:cs="Arial"/>
          <w:i/>
          <w:sz w:val="22"/>
          <w:szCs w:val="22"/>
        </w:rPr>
      </w:pPr>
      <w:r w:rsidRPr="0069119B">
        <w:rPr>
          <w:rFonts w:ascii="Arial" w:hAnsi="Arial" w:cs="Arial"/>
          <w:i/>
          <w:sz w:val="22"/>
          <w:szCs w:val="22"/>
        </w:rPr>
        <w:t>“Se recibe del Departamento de Recursos Humanos el oficio RH-885-2017, sobre el impacto presupuestario de aprobar estas modificaciones a partir del año 2018, donde se detalla que debido a la modificación “no existiría impacto en el presupuesto ordinario 2018”.</w:t>
      </w:r>
    </w:p>
    <w:p w:rsidR="005A37EA" w:rsidRPr="0069119B" w:rsidRDefault="005A37EA" w:rsidP="005A37EA">
      <w:pPr>
        <w:tabs>
          <w:tab w:val="left" w:pos="2127"/>
          <w:tab w:val="left" w:pos="8640"/>
        </w:tabs>
        <w:ind w:right="616"/>
        <w:jc w:val="both"/>
        <w:rPr>
          <w:rFonts w:ascii="Arial" w:hAnsi="Arial" w:cs="Arial"/>
          <w:i/>
          <w:sz w:val="22"/>
          <w:szCs w:val="22"/>
        </w:rPr>
      </w:pPr>
    </w:p>
    <w:p w:rsidR="005A37EA" w:rsidRPr="0069119B" w:rsidRDefault="005A37EA" w:rsidP="008A35CF">
      <w:pPr>
        <w:numPr>
          <w:ilvl w:val="0"/>
          <w:numId w:val="5"/>
        </w:numPr>
        <w:ind w:right="616"/>
        <w:jc w:val="both"/>
        <w:rPr>
          <w:rFonts w:ascii="Arial" w:hAnsi="Arial" w:cs="Arial"/>
          <w:i/>
          <w:sz w:val="22"/>
          <w:szCs w:val="22"/>
        </w:rPr>
      </w:pPr>
      <w:r w:rsidRPr="0069119B">
        <w:rPr>
          <w:rFonts w:ascii="Arial" w:hAnsi="Arial" w:cs="Arial"/>
          <w:i/>
          <w:sz w:val="22"/>
          <w:szCs w:val="22"/>
        </w:rPr>
        <w:t>Dado lo anterior, las modificaciones solicitadas no alteran ni varían la planificación estratégica ni la planificación operativa para el año 2018, dado que se vincula con el PAO 2018, según se indica anteriormente”.</w:t>
      </w:r>
    </w:p>
    <w:p w:rsidR="005A37EA" w:rsidRPr="00604BE5" w:rsidRDefault="005A37EA" w:rsidP="005A37EA">
      <w:pPr>
        <w:pStyle w:val="Prrafodelista"/>
        <w:ind w:left="993" w:right="333"/>
        <w:jc w:val="both"/>
        <w:rPr>
          <w:rFonts w:ascii="Arial" w:hAnsi="Arial" w:cs="Arial"/>
          <w:color w:val="FF0000"/>
        </w:rPr>
      </w:pPr>
    </w:p>
    <w:p w:rsidR="005A37EA" w:rsidRDefault="005A37EA" w:rsidP="005A37EA">
      <w:pPr>
        <w:rPr>
          <w:rFonts w:ascii="Arial" w:hAnsi="Arial" w:cs="Arial"/>
          <w:b/>
          <w:sz w:val="28"/>
        </w:rPr>
      </w:pPr>
      <w:r w:rsidRPr="005A37EA">
        <w:rPr>
          <w:rFonts w:ascii="Arial" w:hAnsi="Arial" w:cs="Arial"/>
          <w:b/>
        </w:rPr>
        <w:t>CONSIDERANDO QUE:</w:t>
      </w:r>
    </w:p>
    <w:p w:rsidR="005A37EA" w:rsidRPr="00FC3B1E" w:rsidRDefault="005A37EA" w:rsidP="005A37EA">
      <w:pPr>
        <w:rPr>
          <w:rFonts w:ascii="Arial" w:hAnsi="Arial" w:cs="Arial"/>
          <w:b/>
          <w:sz w:val="28"/>
        </w:rPr>
      </w:pPr>
    </w:p>
    <w:p w:rsidR="005A37EA" w:rsidRPr="00954C6C" w:rsidRDefault="005A37EA" w:rsidP="008A35CF">
      <w:pPr>
        <w:pStyle w:val="Prrafodelista"/>
        <w:numPr>
          <w:ilvl w:val="0"/>
          <w:numId w:val="4"/>
        </w:numPr>
        <w:ind w:left="336" w:right="-1"/>
        <w:contextualSpacing/>
        <w:jc w:val="both"/>
        <w:rPr>
          <w:rFonts w:ascii="Arial" w:hAnsi="Arial" w:cs="Arial"/>
          <w:color w:val="FF0000"/>
        </w:rPr>
      </w:pPr>
      <w:r>
        <w:rPr>
          <w:rFonts w:ascii="Arial" w:eastAsia="Arial" w:hAnsi="Arial" w:cs="Arial"/>
        </w:rPr>
        <w:t xml:space="preserve">La modificación de la plaza CF 2943 solicitada en el oficio </w:t>
      </w:r>
      <w:r>
        <w:rPr>
          <w:rFonts w:ascii="Arial" w:hAnsi="Arial" w:cs="Arial"/>
        </w:rPr>
        <w:t>VIESA</w:t>
      </w:r>
      <w:r w:rsidRPr="00763351">
        <w:rPr>
          <w:rFonts w:ascii="Arial" w:hAnsi="Arial" w:cs="Arial"/>
        </w:rPr>
        <w:t>-</w:t>
      </w:r>
      <w:r>
        <w:rPr>
          <w:rFonts w:ascii="Arial" w:hAnsi="Arial" w:cs="Arial"/>
        </w:rPr>
        <w:t>1148</w:t>
      </w:r>
      <w:r w:rsidRPr="00763351">
        <w:rPr>
          <w:rFonts w:ascii="Arial" w:hAnsi="Arial" w:cs="Arial"/>
        </w:rPr>
        <w:t>-</w:t>
      </w:r>
      <w:r>
        <w:rPr>
          <w:rFonts w:ascii="Arial" w:hAnsi="Arial" w:cs="Arial"/>
        </w:rPr>
        <w:t>2017, cuenta con el respaldo del señor Rector, expresado en el oficio R-1449-2017.</w:t>
      </w:r>
    </w:p>
    <w:p w:rsidR="005A37EA" w:rsidRPr="00BF07C1" w:rsidRDefault="005A37EA" w:rsidP="005A37EA">
      <w:pPr>
        <w:ind w:left="336"/>
        <w:rPr>
          <w:rFonts w:ascii="Arial" w:hAnsi="Arial" w:cs="Arial"/>
          <w:b/>
          <w:bCs/>
        </w:rPr>
      </w:pPr>
    </w:p>
    <w:p w:rsidR="005A37EA" w:rsidRPr="00700281" w:rsidRDefault="005A37EA" w:rsidP="008A35CF">
      <w:pPr>
        <w:pStyle w:val="Prrafodelista"/>
        <w:numPr>
          <w:ilvl w:val="0"/>
          <w:numId w:val="4"/>
        </w:numPr>
        <w:ind w:left="336" w:right="-1"/>
        <w:contextualSpacing/>
        <w:jc w:val="both"/>
        <w:rPr>
          <w:rFonts w:ascii="Arial" w:hAnsi="Arial" w:cs="Arial"/>
          <w:lang w:val="es-ES_tradnl"/>
        </w:rPr>
      </w:pPr>
      <w:r>
        <w:rPr>
          <w:rFonts w:ascii="Arial" w:hAnsi="Arial" w:cs="Arial"/>
          <w:lang w:val="es-ES_tradnl"/>
        </w:rPr>
        <w:t xml:space="preserve">El cambio solicitado aporta al cumplimiento del Plan Anual Operativo 2018 de la Escuela de Cultura y Deporte. </w:t>
      </w:r>
    </w:p>
    <w:p w:rsidR="005A37EA" w:rsidRDefault="005A37EA" w:rsidP="005A37EA">
      <w:pPr>
        <w:pStyle w:val="Prrafodelista"/>
        <w:tabs>
          <w:tab w:val="left" w:pos="1701"/>
        </w:tabs>
        <w:ind w:left="336"/>
        <w:jc w:val="both"/>
        <w:rPr>
          <w:rFonts w:ascii="Arial" w:hAnsi="Arial" w:cs="Arial"/>
          <w:highlight w:val="yellow"/>
        </w:rPr>
      </w:pPr>
    </w:p>
    <w:p w:rsidR="005A37EA" w:rsidRDefault="005A37EA" w:rsidP="008A35CF">
      <w:pPr>
        <w:pStyle w:val="Prrafodelista"/>
        <w:numPr>
          <w:ilvl w:val="0"/>
          <w:numId w:val="4"/>
        </w:numPr>
        <w:ind w:left="336" w:right="-1"/>
        <w:contextualSpacing/>
        <w:jc w:val="both"/>
        <w:rPr>
          <w:rFonts w:ascii="Arial" w:hAnsi="Arial" w:cs="Arial"/>
          <w:lang w:val="es-ES_tradnl"/>
        </w:rPr>
      </w:pPr>
      <w:r>
        <w:rPr>
          <w:rFonts w:ascii="Arial" w:hAnsi="Arial" w:cs="Arial"/>
          <w:lang w:val="es-ES_tradnl"/>
        </w:rPr>
        <w:t xml:space="preserve">El dictamen técnico de la Oficina de Planificación Institucional, brindado mediante el oficio </w:t>
      </w:r>
      <w:r w:rsidRPr="00F12CC1">
        <w:rPr>
          <w:rFonts w:ascii="Arial" w:hAnsi="Arial" w:cs="Arial"/>
          <w:lang w:val="es-ES_tradnl"/>
        </w:rPr>
        <w:t>OPI-466-2017, indica que la modificación solicitada de la plaza CF 2943 no tiene impacto presupuestario</w:t>
      </w:r>
      <w:r>
        <w:rPr>
          <w:rFonts w:ascii="Arial" w:hAnsi="Arial" w:cs="Arial"/>
          <w:lang w:val="es-ES_tradnl"/>
        </w:rPr>
        <w:t>,</w:t>
      </w:r>
      <w:r w:rsidRPr="00F12CC1">
        <w:rPr>
          <w:rFonts w:ascii="Arial" w:hAnsi="Arial" w:cs="Arial"/>
          <w:lang w:val="es-ES_tradnl"/>
        </w:rPr>
        <w:t xml:space="preserve"> ni varía la planificación estratégica</w:t>
      </w:r>
      <w:r>
        <w:rPr>
          <w:rFonts w:ascii="Arial" w:hAnsi="Arial" w:cs="Arial"/>
          <w:lang w:val="es-ES_tradnl"/>
        </w:rPr>
        <w:t xml:space="preserve"> u</w:t>
      </w:r>
      <w:r w:rsidRPr="00F12CC1">
        <w:rPr>
          <w:rFonts w:ascii="Arial" w:hAnsi="Arial" w:cs="Arial"/>
          <w:lang w:val="es-ES_tradnl"/>
        </w:rPr>
        <w:t xml:space="preserve"> operativa para el año 2018.</w:t>
      </w:r>
    </w:p>
    <w:p w:rsidR="005A37EA" w:rsidRPr="00954C6C" w:rsidRDefault="005A37EA" w:rsidP="005A37EA">
      <w:pPr>
        <w:pStyle w:val="Prrafodelista"/>
        <w:tabs>
          <w:tab w:val="left" w:pos="1701"/>
        </w:tabs>
        <w:ind w:left="336"/>
        <w:jc w:val="both"/>
        <w:rPr>
          <w:rFonts w:ascii="Arial" w:hAnsi="Arial" w:cs="Arial"/>
          <w:highlight w:val="yellow"/>
        </w:rPr>
      </w:pPr>
    </w:p>
    <w:p w:rsidR="005A37EA" w:rsidRDefault="005A37EA" w:rsidP="008A35CF">
      <w:pPr>
        <w:pStyle w:val="Prrafodelista"/>
        <w:numPr>
          <w:ilvl w:val="0"/>
          <w:numId w:val="4"/>
        </w:numPr>
        <w:ind w:left="336" w:right="-1"/>
        <w:contextualSpacing/>
        <w:jc w:val="both"/>
        <w:rPr>
          <w:rFonts w:ascii="Arial" w:hAnsi="Arial" w:cs="Arial"/>
          <w:lang w:val="es-ES_tradnl"/>
        </w:rPr>
      </w:pPr>
      <w:r>
        <w:rPr>
          <w:rFonts w:ascii="Arial" w:hAnsi="Arial" w:cs="Arial"/>
          <w:lang w:val="es-ES_tradnl"/>
        </w:rPr>
        <w:t>La solicitud de modificación de la plaza CF 2943 es para el año 2018.</w:t>
      </w:r>
    </w:p>
    <w:p w:rsidR="005A37EA" w:rsidRDefault="005A37EA" w:rsidP="005A37EA">
      <w:pPr>
        <w:pStyle w:val="Prrafodelista"/>
        <w:ind w:left="709"/>
        <w:rPr>
          <w:rFonts w:ascii="Arial" w:hAnsi="Arial" w:cs="Arial"/>
          <w:lang w:val="es-ES_tradnl"/>
        </w:rPr>
      </w:pPr>
    </w:p>
    <w:p w:rsidR="005A37EA" w:rsidRPr="008B027F" w:rsidRDefault="005A37EA" w:rsidP="008A35CF">
      <w:pPr>
        <w:pStyle w:val="Prrafodelista"/>
        <w:numPr>
          <w:ilvl w:val="0"/>
          <w:numId w:val="4"/>
        </w:numPr>
        <w:ind w:left="336" w:right="-1"/>
        <w:contextualSpacing/>
        <w:jc w:val="both"/>
        <w:rPr>
          <w:rFonts w:ascii="Arial" w:hAnsi="Arial" w:cs="Arial"/>
          <w:lang w:val="es-ES_tradnl"/>
        </w:rPr>
      </w:pPr>
      <w:r>
        <w:rPr>
          <w:rFonts w:ascii="Arial" w:hAnsi="Arial" w:cs="Arial"/>
          <w:lang w:val="es-ES_tradnl"/>
        </w:rPr>
        <w:t xml:space="preserve">En el oficio OPI-466-2017 se indica que </w:t>
      </w:r>
      <w:r w:rsidRPr="00FA6DBB">
        <w:rPr>
          <w:rFonts w:ascii="Arial" w:hAnsi="Arial" w:cs="Arial"/>
          <w:i/>
          <w:lang w:val="es-ES_tradnl"/>
        </w:rPr>
        <w:t xml:space="preserve">“…es importante </w:t>
      </w:r>
      <w:proofErr w:type="gramStart"/>
      <w:r w:rsidRPr="00FA6DBB">
        <w:rPr>
          <w:rFonts w:ascii="Arial" w:hAnsi="Arial" w:cs="Arial"/>
          <w:i/>
          <w:lang w:val="es-ES_tradnl"/>
        </w:rPr>
        <w:t>que</w:t>
      </w:r>
      <w:proofErr w:type="gramEnd"/>
      <w:r w:rsidRPr="00FA6DBB">
        <w:rPr>
          <w:rFonts w:ascii="Arial" w:hAnsi="Arial" w:cs="Arial"/>
          <w:i/>
          <w:lang w:val="es-ES_tradnl"/>
        </w:rPr>
        <w:t xml:space="preserve"> si estas solicitudes se aprueban, el código de plaza debe cambiar debido al cambio en su nombramiento</w:t>
      </w:r>
      <w:r>
        <w:rPr>
          <w:rFonts w:ascii="Arial" w:hAnsi="Arial" w:cs="Arial"/>
          <w:lang w:val="es-ES_tradnl"/>
        </w:rPr>
        <w:t>”</w:t>
      </w:r>
      <w:r w:rsidRPr="008B027F">
        <w:rPr>
          <w:rFonts w:ascii="Arial" w:hAnsi="Arial" w:cs="Arial"/>
          <w:lang w:val="es-ES_tradnl"/>
        </w:rPr>
        <w:t>.</w:t>
      </w:r>
    </w:p>
    <w:p w:rsidR="005A37EA" w:rsidRDefault="005A37EA" w:rsidP="005A37EA">
      <w:pPr>
        <w:rPr>
          <w:rFonts w:ascii="Arial" w:hAnsi="Arial" w:cs="Arial"/>
          <w:b/>
          <w:sz w:val="28"/>
        </w:rPr>
      </w:pPr>
    </w:p>
    <w:p w:rsidR="005A37EA" w:rsidRDefault="005A37EA" w:rsidP="005A37EA">
      <w:pPr>
        <w:rPr>
          <w:rFonts w:ascii="Arial" w:hAnsi="Arial" w:cs="Arial"/>
          <w:b/>
          <w:sz w:val="28"/>
        </w:rPr>
      </w:pPr>
    </w:p>
    <w:p w:rsidR="005A37EA" w:rsidRDefault="005A37EA" w:rsidP="005A37EA">
      <w:pPr>
        <w:rPr>
          <w:rFonts w:ascii="Arial" w:hAnsi="Arial" w:cs="Arial"/>
          <w:b/>
          <w:sz w:val="28"/>
        </w:rPr>
      </w:pPr>
    </w:p>
    <w:p w:rsidR="005A37EA" w:rsidRDefault="005A37EA" w:rsidP="005A37EA">
      <w:pPr>
        <w:rPr>
          <w:rFonts w:ascii="Arial" w:hAnsi="Arial" w:cs="Arial"/>
          <w:b/>
          <w:sz w:val="28"/>
        </w:rPr>
      </w:pPr>
    </w:p>
    <w:p w:rsidR="005A37EA" w:rsidRPr="005A37EA" w:rsidRDefault="005A37EA" w:rsidP="005A37EA">
      <w:pPr>
        <w:rPr>
          <w:rFonts w:ascii="Arial" w:hAnsi="Arial" w:cs="Arial"/>
          <w:b/>
        </w:rPr>
      </w:pPr>
      <w:r w:rsidRPr="005A37EA">
        <w:rPr>
          <w:rFonts w:ascii="Arial" w:hAnsi="Arial" w:cs="Arial"/>
          <w:b/>
        </w:rPr>
        <w:lastRenderedPageBreak/>
        <w:t>SE</w:t>
      </w:r>
      <w:r w:rsidRPr="005A37EA">
        <w:rPr>
          <w:rFonts w:ascii="Arial" w:hAnsi="Arial" w:cs="Arial"/>
          <w:b/>
        </w:rPr>
        <w:t xml:space="preserve"> ACUERDA</w:t>
      </w:r>
      <w:r w:rsidRPr="005A37EA">
        <w:rPr>
          <w:rFonts w:ascii="Arial" w:hAnsi="Arial" w:cs="Arial"/>
          <w:b/>
        </w:rPr>
        <w:t>:</w:t>
      </w:r>
    </w:p>
    <w:p w:rsidR="005A37EA" w:rsidRPr="005A37EA" w:rsidRDefault="005A37EA" w:rsidP="005A37EA">
      <w:pPr>
        <w:rPr>
          <w:rFonts w:ascii="Arial" w:hAnsi="Arial" w:cs="Arial"/>
        </w:rPr>
      </w:pPr>
    </w:p>
    <w:p w:rsidR="005A37EA" w:rsidRPr="00FF4D55" w:rsidRDefault="005A37EA" w:rsidP="008A35CF">
      <w:pPr>
        <w:pStyle w:val="Prrafodelista"/>
        <w:numPr>
          <w:ilvl w:val="0"/>
          <w:numId w:val="6"/>
        </w:numPr>
        <w:ind w:left="426" w:hanging="426"/>
        <w:contextualSpacing/>
        <w:jc w:val="both"/>
        <w:rPr>
          <w:rFonts w:ascii="Arial" w:hAnsi="Arial" w:cs="Arial"/>
        </w:rPr>
      </w:pPr>
      <w:r>
        <w:rPr>
          <w:rFonts w:ascii="Arial" w:hAnsi="Arial" w:cs="Arial"/>
        </w:rPr>
        <w:t xml:space="preserve"> </w:t>
      </w:r>
      <w:r w:rsidRPr="00FF4D55">
        <w:rPr>
          <w:rFonts w:ascii="Arial" w:hAnsi="Arial" w:cs="Arial"/>
        </w:rPr>
        <w:t>Aprobar la modificación de la plaza CF 2943, para el año 2018, de acuerdo con lo indicado en el siguiente cuadro:</w:t>
      </w:r>
    </w:p>
    <w:p w:rsidR="005A37EA" w:rsidRDefault="005A37EA" w:rsidP="005A37EA">
      <w:pPr>
        <w:pStyle w:val="Prrafodelista"/>
        <w:ind w:left="360"/>
        <w:jc w:val="both"/>
        <w:rPr>
          <w:rFonts w:ascii="Arial" w:hAnsi="Arial" w:cs="Arial"/>
        </w:rPr>
      </w:pPr>
    </w:p>
    <w:tbl>
      <w:tblPr>
        <w:tblW w:w="9072" w:type="dxa"/>
        <w:tblInd w:w="496" w:type="dxa"/>
        <w:tblLayout w:type="fixed"/>
        <w:tblCellMar>
          <w:left w:w="0" w:type="dxa"/>
          <w:right w:w="0" w:type="dxa"/>
        </w:tblCellMar>
        <w:tblLook w:val="04A0" w:firstRow="1" w:lastRow="0" w:firstColumn="1" w:lastColumn="0" w:noHBand="0" w:noVBand="1"/>
      </w:tblPr>
      <w:tblGrid>
        <w:gridCol w:w="1275"/>
        <w:gridCol w:w="426"/>
        <w:gridCol w:w="529"/>
        <w:gridCol w:w="1030"/>
        <w:gridCol w:w="1276"/>
        <w:gridCol w:w="1842"/>
        <w:gridCol w:w="2694"/>
      </w:tblGrid>
      <w:tr w:rsidR="005A37EA" w:rsidRPr="008940A7" w:rsidTr="004411B2">
        <w:trPr>
          <w:trHeight w:val="957"/>
        </w:trPr>
        <w:tc>
          <w:tcPr>
            <w:tcW w:w="1275" w:type="dxa"/>
            <w:tcBorders>
              <w:top w:val="single" w:sz="8" w:space="0" w:color="auto"/>
              <w:left w:val="single" w:sz="8" w:space="0" w:color="auto"/>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Puesto</w:t>
            </w:r>
          </w:p>
        </w:tc>
        <w:tc>
          <w:tcPr>
            <w:tcW w:w="426"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textDirection w:val="btL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Categoría</w:t>
            </w:r>
          </w:p>
        </w:tc>
        <w:tc>
          <w:tcPr>
            <w:tcW w:w="529"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textDirection w:val="btL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Jornada</w:t>
            </w:r>
          </w:p>
        </w:tc>
        <w:tc>
          <w:tcPr>
            <w:tcW w:w="1030"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TCE</w:t>
            </w:r>
          </w:p>
        </w:tc>
        <w:tc>
          <w:tcPr>
            <w:tcW w:w="1276"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Nombramiento</w:t>
            </w:r>
          </w:p>
        </w:tc>
        <w:tc>
          <w:tcPr>
            <w:tcW w:w="1842"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Adscrita a:</w:t>
            </w:r>
          </w:p>
        </w:tc>
        <w:tc>
          <w:tcPr>
            <w:tcW w:w="2694" w:type="dxa"/>
            <w:tcBorders>
              <w:top w:val="single" w:sz="8" w:space="0" w:color="auto"/>
              <w:left w:val="nil"/>
              <w:bottom w:val="single" w:sz="8" w:space="0" w:color="auto"/>
              <w:right w:val="single" w:sz="8" w:space="0" w:color="auto"/>
            </w:tcBorders>
            <w:shd w:val="clear" w:color="auto" w:fill="2F75B5"/>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b/>
                <w:bCs/>
                <w:color w:val="FFFFFF"/>
                <w:sz w:val="16"/>
                <w:szCs w:val="16"/>
                <w:lang w:val="es-CR" w:eastAsia="es-CR"/>
              </w:rPr>
            </w:pPr>
            <w:r w:rsidRPr="008940A7">
              <w:rPr>
                <w:rFonts w:ascii="Calibri" w:eastAsia="Calibri" w:hAnsi="Calibri" w:cs="Calibri"/>
                <w:b/>
                <w:bCs/>
                <w:color w:val="FFFFFF"/>
                <w:sz w:val="16"/>
                <w:szCs w:val="16"/>
                <w:lang w:val="es-CR" w:eastAsia="es-CR"/>
              </w:rPr>
              <w:t>Observaciones</w:t>
            </w:r>
          </w:p>
        </w:tc>
      </w:tr>
      <w:tr w:rsidR="005A37EA" w:rsidRPr="008940A7" w:rsidTr="004411B2">
        <w:trPr>
          <w:trHeight w:val="717"/>
        </w:trPr>
        <w:tc>
          <w:tcPr>
            <w:tcW w:w="127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Asistente de Administración 1</w:t>
            </w:r>
          </w:p>
        </w:tc>
        <w:tc>
          <w:tcPr>
            <w:tcW w:w="4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8</w:t>
            </w:r>
          </w:p>
        </w:tc>
        <w:tc>
          <w:tcPr>
            <w:tcW w:w="5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50%</w:t>
            </w:r>
          </w:p>
        </w:tc>
        <w:tc>
          <w:tcPr>
            <w:tcW w:w="10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12</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0,50</w:t>
            </w:r>
          </w:p>
        </w:tc>
        <w:tc>
          <w:tcPr>
            <w:tcW w:w="184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Escuela de Cultura y Deporte</w:t>
            </w:r>
          </w:p>
        </w:tc>
        <w:tc>
          <w:tcPr>
            <w:tcW w:w="26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A37EA" w:rsidRPr="008940A7" w:rsidRDefault="005A37EA" w:rsidP="004411B2">
            <w:pPr>
              <w:jc w:val="center"/>
              <w:rPr>
                <w:rFonts w:ascii="Calibri" w:eastAsia="Calibri" w:hAnsi="Calibri" w:cs="Calibri"/>
                <w:color w:val="000000"/>
                <w:sz w:val="16"/>
                <w:szCs w:val="16"/>
                <w:lang w:val="es-CR" w:eastAsia="es-CR"/>
              </w:rPr>
            </w:pPr>
            <w:r w:rsidRPr="008940A7">
              <w:rPr>
                <w:rFonts w:ascii="Calibri" w:eastAsia="Calibri" w:hAnsi="Calibri" w:cs="Calibri"/>
                <w:color w:val="000000"/>
                <w:sz w:val="16"/>
                <w:szCs w:val="16"/>
                <w:lang w:val="es-CR" w:eastAsia="es-CR"/>
              </w:rPr>
              <w:t>Para apoyar la producción de actividades de promoción cultural y deportiva entre otras funciones, implicando la ejecución de una serie de tareas administrativas.</w:t>
            </w:r>
          </w:p>
        </w:tc>
      </w:tr>
    </w:tbl>
    <w:p w:rsidR="005A37EA" w:rsidRDefault="005A37EA" w:rsidP="005A37EA">
      <w:pPr>
        <w:pStyle w:val="Prrafodelista"/>
        <w:contextualSpacing/>
        <w:jc w:val="both"/>
        <w:rPr>
          <w:rFonts w:ascii="Arial" w:hAnsi="Arial" w:cs="Arial"/>
        </w:rPr>
      </w:pPr>
    </w:p>
    <w:p w:rsidR="005A37EA" w:rsidRDefault="005A37EA" w:rsidP="005A37EA">
      <w:pPr>
        <w:pStyle w:val="Prrafodelista"/>
        <w:contextualSpacing/>
        <w:jc w:val="both"/>
        <w:rPr>
          <w:rFonts w:ascii="Arial" w:hAnsi="Arial" w:cs="Arial"/>
        </w:rPr>
      </w:pPr>
    </w:p>
    <w:p w:rsidR="005A37EA" w:rsidRPr="005A37EA" w:rsidRDefault="005A37EA" w:rsidP="008A35CF">
      <w:pPr>
        <w:pStyle w:val="Prrafodelista"/>
        <w:numPr>
          <w:ilvl w:val="0"/>
          <w:numId w:val="6"/>
        </w:numPr>
        <w:ind w:left="426" w:hanging="426"/>
        <w:contextualSpacing/>
        <w:jc w:val="both"/>
        <w:rPr>
          <w:rFonts w:ascii="Arial" w:hAnsi="Arial" w:cs="Arial"/>
        </w:rPr>
      </w:pPr>
      <w:r w:rsidRPr="005A37EA">
        <w:rPr>
          <w:rFonts w:ascii="Arial" w:hAnsi="Arial" w:cs="Arial"/>
        </w:rPr>
        <w:t>Autorizar al Departamento de Recursos Humanos que asigne un nuevo código a la plaza CF 2943 que atienda a los cambios indicados en el punto anterior, en caso de ser necesario e informar al Consejo Institucional.</w:t>
      </w:r>
    </w:p>
    <w:p w:rsidR="00672D32" w:rsidRPr="00EF1E98" w:rsidRDefault="00672D32" w:rsidP="00672D32">
      <w:pPr>
        <w:jc w:val="both"/>
        <w:rPr>
          <w:rFonts w:ascii="Arial" w:hAnsi="Arial" w:cs="Arial"/>
          <w:b/>
        </w:rPr>
      </w:pPr>
    </w:p>
    <w:p w:rsidR="00887FCC" w:rsidRDefault="002204D7" w:rsidP="008A35CF">
      <w:pPr>
        <w:pStyle w:val="Prrafodelista"/>
        <w:numPr>
          <w:ilvl w:val="0"/>
          <w:numId w:val="6"/>
        </w:numPr>
        <w:ind w:left="426" w:hanging="426"/>
        <w:contextualSpacing/>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41439E" w:rsidRDefault="0041439E" w:rsidP="0041439E">
      <w:pPr>
        <w:pStyle w:val="Prrafodelista"/>
        <w:rPr>
          <w:rFonts w:ascii="Arial" w:hAnsi="Arial" w:cs="Arial"/>
          <w:b/>
          <w:lang w:val="es-CR"/>
        </w:rPr>
      </w:pPr>
    </w:p>
    <w:p w:rsidR="0041439E" w:rsidRDefault="0041439E" w:rsidP="0041439E">
      <w:pPr>
        <w:jc w:val="both"/>
        <w:rPr>
          <w:rFonts w:ascii="Arial" w:hAnsi="Arial" w:cs="Arial"/>
          <w:b/>
          <w:lang w:val="es-CR"/>
        </w:rPr>
      </w:pPr>
    </w:p>
    <w:p w:rsidR="005A37EA" w:rsidRDefault="005A37EA" w:rsidP="005A37EA">
      <w:pPr>
        <w:tabs>
          <w:tab w:val="left" w:pos="760"/>
        </w:tabs>
        <w:spacing w:line="276" w:lineRule="auto"/>
        <w:jc w:val="both"/>
        <w:rPr>
          <w:rFonts w:ascii="Arial" w:hAnsi="Arial" w:cs="Arial"/>
          <w:b/>
          <w:sz w:val="22"/>
          <w:szCs w:val="22"/>
        </w:rPr>
      </w:pPr>
      <w:r w:rsidRPr="00F23EA9">
        <w:rPr>
          <w:rFonts w:ascii="Arial" w:hAnsi="Arial" w:cs="Arial"/>
          <w:b/>
          <w:sz w:val="22"/>
          <w:szCs w:val="22"/>
        </w:rPr>
        <w:t>Palabras clave: Modificación</w:t>
      </w:r>
      <w:r>
        <w:rPr>
          <w:rFonts w:ascii="Arial" w:hAnsi="Arial" w:cs="Arial"/>
          <w:b/>
          <w:sz w:val="22"/>
          <w:szCs w:val="22"/>
        </w:rPr>
        <w:t xml:space="preserve"> –   Condiciones – plaza CF 2943</w:t>
      </w:r>
    </w:p>
    <w:p w:rsidR="004F7EB0" w:rsidRPr="0041439E" w:rsidRDefault="004F7EB0" w:rsidP="00672D32">
      <w:pPr>
        <w:jc w:val="both"/>
        <w:rPr>
          <w:rFonts w:ascii="Arial" w:hAnsi="Arial" w:cs="Arial"/>
          <w:b/>
          <w:sz w:val="22"/>
          <w:szCs w:val="22"/>
        </w:rPr>
      </w:pPr>
    </w:p>
    <w:tbl>
      <w:tblPr>
        <w:tblpPr w:leftFromText="142" w:rightFromText="142" w:vertAnchor="text" w:horzAnchor="margin" w:tblpY="1"/>
        <w:tblOverlap w:val="never"/>
        <w:tblW w:w="0" w:type="auto"/>
        <w:tblLook w:val="04A0" w:firstRow="1" w:lastRow="0" w:firstColumn="1" w:lastColumn="0" w:noHBand="0" w:noVBand="1"/>
      </w:tblPr>
      <w:tblGrid>
        <w:gridCol w:w="3195"/>
        <w:gridCol w:w="5301"/>
        <w:gridCol w:w="222"/>
      </w:tblGrid>
      <w:tr w:rsidR="005A37EA" w:rsidTr="005A37EA">
        <w:trPr>
          <w:trHeight w:val="183"/>
        </w:trPr>
        <w:tc>
          <w:tcPr>
            <w:tcW w:w="0" w:type="auto"/>
          </w:tcPr>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de Administración</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Sede Regional San Carlos</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San José</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Alajuela</w:t>
            </w:r>
          </w:p>
          <w:p w:rsidR="005A37EA" w:rsidRDefault="005A37EA"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Centro Académico de Limón </w:t>
            </w:r>
          </w:p>
          <w:p w:rsidR="005A37EA" w:rsidRDefault="005A37EA" w:rsidP="004411B2">
            <w:pPr>
              <w:ind w:left="-567" w:firstLine="567"/>
              <w:jc w:val="both"/>
              <w:rPr>
                <w:rFonts w:ascii="Arial" w:eastAsia="Cambria" w:hAnsi="Arial" w:cs="Arial"/>
                <w:b/>
                <w:sz w:val="16"/>
                <w:szCs w:val="16"/>
                <w:lang w:val="es-ES_tradnl" w:eastAsia="en-US"/>
              </w:rPr>
            </w:pPr>
          </w:p>
          <w:p w:rsidR="005A37EA" w:rsidRDefault="005A37EA" w:rsidP="004411B2">
            <w:pPr>
              <w:ind w:left="-567" w:firstLine="567"/>
              <w:jc w:val="both"/>
              <w:rPr>
                <w:rFonts w:ascii="Arial" w:eastAsia="Cambria" w:hAnsi="Arial" w:cs="Arial"/>
                <w:b/>
                <w:sz w:val="16"/>
                <w:szCs w:val="16"/>
                <w:lang w:val="es-ES_tradnl" w:eastAsia="en-US"/>
              </w:rPr>
            </w:pPr>
          </w:p>
        </w:tc>
        <w:tc>
          <w:tcPr>
            <w:tcW w:w="0" w:type="auto"/>
          </w:tcPr>
          <w:p w:rsidR="005A37EA" w:rsidRDefault="005A37EA" w:rsidP="004411B2">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5A37EA" w:rsidRDefault="005A37EA" w:rsidP="004411B2">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p>
          <w:p w:rsidR="005A37EA" w:rsidRDefault="005A37EA"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5A37EA" w:rsidRDefault="005A37EA"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5A37EA" w:rsidRDefault="005A37EA"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5A37EA" w:rsidRDefault="005A37EA" w:rsidP="004411B2">
            <w:pPr>
              <w:ind w:left="-567" w:firstLine="567"/>
              <w:jc w:val="both"/>
              <w:rPr>
                <w:rFonts w:ascii="Arial" w:eastAsia="Cambria" w:hAnsi="Arial" w:cs="Arial"/>
                <w:b/>
                <w:sz w:val="16"/>
                <w:szCs w:val="16"/>
                <w:lang w:val="es-ES_tradnl" w:eastAsia="en-US"/>
              </w:rPr>
            </w:pPr>
          </w:p>
          <w:p w:rsidR="005A37EA" w:rsidRDefault="005A37EA" w:rsidP="004411B2">
            <w:pPr>
              <w:jc w:val="both"/>
              <w:rPr>
                <w:rFonts w:ascii="Arial" w:eastAsia="Cambria" w:hAnsi="Arial" w:cs="Arial"/>
                <w:b/>
                <w:sz w:val="16"/>
                <w:szCs w:val="16"/>
                <w:lang w:val="es-ES_tradnl" w:eastAsia="en-US"/>
              </w:rPr>
            </w:pPr>
          </w:p>
          <w:p w:rsidR="005A37EA" w:rsidRDefault="005A37EA" w:rsidP="004411B2">
            <w:pPr>
              <w:rPr>
                <w:rFonts w:ascii="Arial" w:eastAsia="Cambria" w:hAnsi="Arial" w:cs="Arial"/>
                <w:b/>
                <w:sz w:val="16"/>
                <w:szCs w:val="16"/>
                <w:lang w:val="es-CR" w:eastAsia="en-US"/>
              </w:rPr>
            </w:pPr>
          </w:p>
        </w:tc>
        <w:tc>
          <w:tcPr>
            <w:tcW w:w="0" w:type="auto"/>
          </w:tcPr>
          <w:p w:rsidR="005A37EA" w:rsidRDefault="005A37EA" w:rsidP="004411B2">
            <w:pPr>
              <w:jc w:val="both"/>
              <w:rPr>
                <w:rFonts w:ascii="Arial" w:eastAsia="Cambria" w:hAnsi="Arial" w:cs="Arial"/>
                <w:b/>
                <w:sz w:val="16"/>
                <w:szCs w:val="16"/>
                <w:lang w:val="es-ES_tradnl" w:eastAsia="en-US"/>
              </w:rPr>
            </w:pPr>
          </w:p>
        </w:tc>
      </w:tr>
    </w:tbl>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CF" w:rsidRDefault="008A35CF">
      <w:r>
        <w:separator/>
      </w:r>
    </w:p>
  </w:endnote>
  <w:endnote w:type="continuationSeparator" w:id="0">
    <w:p w:rsidR="008A35CF" w:rsidRDefault="008A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CF" w:rsidRDefault="008A35CF">
      <w:r>
        <w:separator/>
      </w:r>
    </w:p>
  </w:footnote>
  <w:footnote w:type="continuationSeparator" w:id="0">
    <w:p w:rsidR="008A35CF" w:rsidRDefault="008A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EF1E98">
      <w:rPr>
        <w:rFonts w:ascii="Arial" w:eastAsia="Cambria" w:hAnsi="Arial" w:cs="Arial"/>
        <w:i/>
        <w:sz w:val="18"/>
        <w:szCs w:val="18"/>
        <w:lang w:val="es-ES_tradnl" w:eastAsia="x-none"/>
      </w:rPr>
      <w:t>5</w:t>
    </w:r>
    <w:r w:rsidR="005A37EA">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41439E">
      <w:rPr>
        <w:rFonts w:ascii="Arial" w:eastAsia="Cambria" w:hAnsi="Arial" w:cs="Arial"/>
        <w:i/>
        <w:sz w:val="18"/>
        <w:szCs w:val="18"/>
        <w:lang w:val="es-ES_tradnl" w:eastAsia="x-none"/>
      </w:rPr>
      <w:t>1</w:t>
    </w:r>
    <w:r w:rsidR="005A37EA">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5A37EA">
      <w:rPr>
        <w:rFonts w:ascii="Arial" w:eastAsia="Cambria" w:hAnsi="Arial" w:cs="Arial"/>
        <w:i/>
        <w:sz w:val="18"/>
        <w:szCs w:val="18"/>
        <w:lang w:val="es-ES_tradnl" w:eastAsia="x-none"/>
      </w:rPr>
      <w:t>13</w:t>
    </w:r>
    <w:r>
      <w:rPr>
        <w:rFonts w:ascii="Arial" w:eastAsia="Cambria" w:hAnsi="Arial" w:cs="Arial"/>
        <w:i/>
        <w:sz w:val="18"/>
        <w:szCs w:val="18"/>
        <w:lang w:val="es-ES_tradnl" w:eastAsia="x-none"/>
      </w:rPr>
      <w:t xml:space="preserve"> de </w:t>
    </w:r>
    <w:r w:rsidR="00EF1E98">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5A37EA">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C15ADC"/>
    <w:multiLevelType w:val="hybridMultilevel"/>
    <w:tmpl w:val="D96A71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571BBC"/>
    <w:multiLevelType w:val="hybridMultilevel"/>
    <w:tmpl w:val="4198CB70"/>
    <w:lvl w:ilvl="0" w:tplc="1840982A">
      <w:start w:val="1"/>
      <w:numFmt w:val="decimal"/>
      <w:lvlText w:val="%1."/>
      <w:lvlJc w:val="left"/>
      <w:pPr>
        <w:ind w:left="502" w:hanging="360"/>
      </w:pPr>
      <w:rPr>
        <w:rFonts w:hint="default"/>
        <w:b/>
        <w:color w:val="auto"/>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15:restartNumberingAfterBreak="0">
    <w:nsid w:val="183E3F91"/>
    <w:multiLevelType w:val="hybridMultilevel"/>
    <w:tmpl w:val="9D02F336"/>
    <w:lvl w:ilvl="0" w:tplc="EFB0D03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1360BF"/>
    <w:multiLevelType w:val="hybridMultilevel"/>
    <w:tmpl w:val="7FE2A9C8"/>
    <w:lvl w:ilvl="0" w:tplc="D5E8B5B4">
      <w:start w:val="44"/>
      <w:numFmt w:val="upperLetter"/>
      <w:pStyle w:val="Subttulo"/>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47E1"/>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420E"/>
    <w:rsid w:val="000E4FED"/>
    <w:rsid w:val="000E5B14"/>
    <w:rsid w:val="000E6DC9"/>
    <w:rsid w:val="000F106C"/>
    <w:rsid w:val="000F1D14"/>
    <w:rsid w:val="000F1E1D"/>
    <w:rsid w:val="000F2A0F"/>
    <w:rsid w:val="000F4527"/>
    <w:rsid w:val="000F473C"/>
    <w:rsid w:val="000F490D"/>
    <w:rsid w:val="000F4B43"/>
    <w:rsid w:val="000F5572"/>
    <w:rsid w:val="000F5C99"/>
    <w:rsid w:val="000F7A0A"/>
    <w:rsid w:val="00104E6C"/>
    <w:rsid w:val="00105392"/>
    <w:rsid w:val="00107C78"/>
    <w:rsid w:val="0011053E"/>
    <w:rsid w:val="001113FE"/>
    <w:rsid w:val="001125EE"/>
    <w:rsid w:val="00115853"/>
    <w:rsid w:val="0011767E"/>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33F5"/>
    <w:rsid w:val="00187E00"/>
    <w:rsid w:val="00190010"/>
    <w:rsid w:val="00194C18"/>
    <w:rsid w:val="001962C2"/>
    <w:rsid w:val="001A33C3"/>
    <w:rsid w:val="001B1E0E"/>
    <w:rsid w:val="001B208D"/>
    <w:rsid w:val="001B59CC"/>
    <w:rsid w:val="001B7AB0"/>
    <w:rsid w:val="001C1124"/>
    <w:rsid w:val="001C1335"/>
    <w:rsid w:val="001C54CE"/>
    <w:rsid w:val="001D40F5"/>
    <w:rsid w:val="001E0224"/>
    <w:rsid w:val="001E08C0"/>
    <w:rsid w:val="001E0E52"/>
    <w:rsid w:val="001E11D4"/>
    <w:rsid w:val="001E3A77"/>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BCB"/>
    <w:rsid w:val="002204D7"/>
    <w:rsid w:val="002207D9"/>
    <w:rsid w:val="00220ED5"/>
    <w:rsid w:val="00221713"/>
    <w:rsid w:val="00221F57"/>
    <w:rsid w:val="00224C36"/>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2C3"/>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1374"/>
    <w:rsid w:val="00300778"/>
    <w:rsid w:val="003011A3"/>
    <w:rsid w:val="0030153B"/>
    <w:rsid w:val="00301B0B"/>
    <w:rsid w:val="00305BC2"/>
    <w:rsid w:val="00310865"/>
    <w:rsid w:val="003162A0"/>
    <w:rsid w:val="00316937"/>
    <w:rsid w:val="00316C74"/>
    <w:rsid w:val="00317D3B"/>
    <w:rsid w:val="00322446"/>
    <w:rsid w:val="00322B8A"/>
    <w:rsid w:val="00323397"/>
    <w:rsid w:val="00323590"/>
    <w:rsid w:val="00324AB0"/>
    <w:rsid w:val="003253F9"/>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3DC"/>
    <w:rsid w:val="00391FB9"/>
    <w:rsid w:val="003921B6"/>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439E"/>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1058"/>
    <w:rsid w:val="00443B63"/>
    <w:rsid w:val="00445CED"/>
    <w:rsid w:val="00447784"/>
    <w:rsid w:val="004505E8"/>
    <w:rsid w:val="004511A1"/>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012"/>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E83"/>
    <w:rsid w:val="005653A1"/>
    <w:rsid w:val="0056674D"/>
    <w:rsid w:val="00570916"/>
    <w:rsid w:val="005766E0"/>
    <w:rsid w:val="00577426"/>
    <w:rsid w:val="005832B2"/>
    <w:rsid w:val="00591483"/>
    <w:rsid w:val="00591A6C"/>
    <w:rsid w:val="00593737"/>
    <w:rsid w:val="005972A7"/>
    <w:rsid w:val="005978DB"/>
    <w:rsid w:val="00597AA2"/>
    <w:rsid w:val="005A2507"/>
    <w:rsid w:val="005A2803"/>
    <w:rsid w:val="005A37EA"/>
    <w:rsid w:val="005A5436"/>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3F39"/>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3F58"/>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28ED"/>
    <w:rsid w:val="007F49BB"/>
    <w:rsid w:val="007F5314"/>
    <w:rsid w:val="007F60AC"/>
    <w:rsid w:val="007F625C"/>
    <w:rsid w:val="007F63D0"/>
    <w:rsid w:val="007F6D48"/>
    <w:rsid w:val="007F6F78"/>
    <w:rsid w:val="007F7114"/>
    <w:rsid w:val="00800060"/>
    <w:rsid w:val="008009B0"/>
    <w:rsid w:val="00803BB3"/>
    <w:rsid w:val="00804036"/>
    <w:rsid w:val="008059AB"/>
    <w:rsid w:val="008071A7"/>
    <w:rsid w:val="00807CCB"/>
    <w:rsid w:val="008101FC"/>
    <w:rsid w:val="008108E8"/>
    <w:rsid w:val="0081353F"/>
    <w:rsid w:val="0081640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35CF"/>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C4E1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40B8"/>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16991"/>
    <w:rsid w:val="00B2081E"/>
    <w:rsid w:val="00B219FF"/>
    <w:rsid w:val="00B227C4"/>
    <w:rsid w:val="00B229A7"/>
    <w:rsid w:val="00B23A76"/>
    <w:rsid w:val="00B269D8"/>
    <w:rsid w:val="00B26FFA"/>
    <w:rsid w:val="00B36A6C"/>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6C5"/>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B0CB0"/>
    <w:rsid w:val="00CB0ED4"/>
    <w:rsid w:val="00CB1EFF"/>
    <w:rsid w:val="00CB4C4E"/>
    <w:rsid w:val="00CB5DCD"/>
    <w:rsid w:val="00CB682F"/>
    <w:rsid w:val="00CB7A61"/>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1E9B"/>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4333"/>
    <w:rsid w:val="00EE4A43"/>
    <w:rsid w:val="00EE5B66"/>
    <w:rsid w:val="00EF12D0"/>
    <w:rsid w:val="00EF1E98"/>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29179"/>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1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5A37EA"/>
    <w:pPr>
      <w:numPr>
        <w:numId w:val="2"/>
      </w:numPr>
      <w:jc w:val="center"/>
    </w:pPr>
    <w:rPr>
      <w:b/>
      <w:bCs/>
      <w:color w:val="003300"/>
      <w:sz w:val="32"/>
    </w:rPr>
  </w:style>
  <w:style w:type="character" w:customStyle="1" w:styleId="SubttuloCar">
    <w:name w:val="Subtítulo Car"/>
    <w:basedOn w:val="Fuentedeprrafopredeter"/>
    <w:link w:val="Subttulo"/>
    <w:rsid w:val="005A37EA"/>
    <w:rPr>
      <w:b/>
      <w:bCs/>
      <w:color w:val="003300"/>
      <w:sz w:val="3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FB0F1-CEBF-4C7E-BB7D-72AC29E2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192</cp:revision>
  <cp:lastPrinted>2017-11-29T20:19:00Z</cp:lastPrinted>
  <dcterms:created xsi:type="dcterms:W3CDTF">2016-10-05T20:00:00Z</dcterms:created>
  <dcterms:modified xsi:type="dcterms:W3CDTF">2017-12-13T21:58:00Z</dcterms:modified>
</cp:coreProperties>
</file>