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C32EB">
        <w:rPr>
          <w:rFonts w:ascii="Arial" w:hAnsi="Arial" w:cs="Arial"/>
          <w:b/>
          <w:bCs/>
          <w:iCs/>
          <w:sz w:val="26"/>
          <w:szCs w:val="22"/>
          <w:lang w:val="es-CR"/>
        </w:rPr>
        <w:t>941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333DE4" w:rsidRDefault="0021222F"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Máster Ingrid Herrera</w:t>
            </w:r>
            <w:r w:rsidR="00333DE4">
              <w:rPr>
                <w:rFonts w:ascii="Arial" w:eastAsia="Cambria" w:hAnsi="Arial" w:cs="Arial"/>
                <w:sz w:val="20"/>
                <w:szCs w:val="20"/>
                <w:lang w:val="es-ES_tradnl" w:eastAsia="en-US"/>
              </w:rPr>
              <w:t>, President</w:t>
            </w:r>
            <w:r>
              <w:rPr>
                <w:rFonts w:ascii="Arial" w:eastAsia="Cambria" w:hAnsi="Arial" w:cs="Arial"/>
                <w:sz w:val="20"/>
                <w:szCs w:val="20"/>
                <w:lang w:val="es-ES_tradnl" w:eastAsia="en-US"/>
              </w:rPr>
              <w:t>a</w:t>
            </w:r>
            <w:r w:rsidR="00333DE4">
              <w:rPr>
                <w:rFonts w:ascii="Arial" w:eastAsia="Cambria" w:hAnsi="Arial" w:cs="Arial"/>
                <w:sz w:val="20"/>
                <w:szCs w:val="20"/>
                <w:lang w:val="es-ES_tradnl" w:eastAsia="en-US"/>
              </w:rPr>
              <w:t xml:space="preserve"> Tribunal Institucional Electoral</w:t>
            </w:r>
          </w:p>
          <w:p w:rsidR="00333DE4" w:rsidRDefault="00333DE4"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Presidente Directorio Asamblea Institucional Representativa</w:t>
            </w:r>
          </w:p>
          <w:p w:rsidR="006C32EB" w:rsidRPr="009332DA" w:rsidRDefault="006C32EB" w:rsidP="006C32E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6C32EB" w:rsidRPr="009332DA" w:rsidRDefault="006C32EB" w:rsidP="006C32E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Luis Paulino Méndez</w:t>
            </w:r>
            <w:r w:rsidRPr="009332DA">
              <w:rPr>
                <w:rFonts w:ascii="Arial" w:eastAsia="Cambria" w:hAnsi="Arial" w:cs="Arial"/>
                <w:sz w:val="20"/>
                <w:szCs w:val="20"/>
                <w:lang w:val="es-ES_tradnl" w:eastAsia="en-US"/>
              </w:rPr>
              <w:t>, Vicerrector de Docencia</w:t>
            </w:r>
          </w:p>
          <w:p w:rsidR="006C32EB" w:rsidRPr="009332DA" w:rsidRDefault="006C32EB" w:rsidP="006C32E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6C32EB" w:rsidRPr="009332DA" w:rsidRDefault="006C32EB" w:rsidP="006C32E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6C32EB" w:rsidRPr="009332DA" w:rsidRDefault="006C32EB" w:rsidP="006C32EB">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6C32EB" w:rsidRPr="009332DA" w:rsidRDefault="006C32EB" w:rsidP="006C32E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6C32EB" w:rsidRPr="009332DA" w:rsidRDefault="006C32EB" w:rsidP="006C32E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6C32EB" w:rsidRPr="009332DA" w:rsidRDefault="006C32EB" w:rsidP="006C32E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6C32EB" w:rsidRDefault="006C32EB" w:rsidP="006C32EB">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333DE4" w:rsidRDefault="00333DE4" w:rsidP="006C32E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MBA. Harold Blanco, Director Departamento de Recursos Humanos </w:t>
            </w:r>
          </w:p>
          <w:p w:rsidR="006C32EB" w:rsidRDefault="006C32EB" w:rsidP="006C32EB">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Directora Oficina Asesoría Legal </w:t>
            </w:r>
          </w:p>
          <w:p w:rsidR="00E65876" w:rsidRPr="000F473C" w:rsidRDefault="00E65876" w:rsidP="00C511A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5372E2">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511A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006667">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C32EB" w:rsidRPr="006C32EB" w:rsidRDefault="007742A1" w:rsidP="006C32EB">
            <w:pPr>
              <w:jc w:val="both"/>
              <w:rPr>
                <w:rFonts w:ascii="Arial" w:eastAsia="Calibri" w:hAnsi="Arial" w:cs="Arial"/>
                <w:b/>
                <w:bCs/>
                <w:color w:val="000000"/>
                <w:sz w:val="22"/>
                <w:szCs w:val="22"/>
                <w:lang w:val="es-CR" w:eastAsia="en-US"/>
              </w:rPr>
            </w:pPr>
            <w:r w:rsidRPr="006C32EB">
              <w:rPr>
                <w:rFonts w:ascii="Arial" w:eastAsia="Calibri" w:hAnsi="Arial" w:cs="Arial"/>
                <w:b/>
                <w:sz w:val="22"/>
                <w:szCs w:val="22"/>
              </w:rPr>
              <w:t xml:space="preserve">Sesión Ordinaria No. </w:t>
            </w:r>
            <w:r w:rsidR="00337455" w:rsidRPr="006C32EB">
              <w:rPr>
                <w:rFonts w:ascii="Arial" w:eastAsia="Calibri" w:hAnsi="Arial" w:cs="Arial"/>
                <w:b/>
                <w:sz w:val="22"/>
                <w:szCs w:val="22"/>
              </w:rPr>
              <w:t>30</w:t>
            </w:r>
            <w:r w:rsidR="00006667" w:rsidRPr="006C32EB">
              <w:rPr>
                <w:rFonts w:ascii="Arial" w:eastAsia="Calibri" w:hAnsi="Arial" w:cs="Arial"/>
                <w:b/>
                <w:sz w:val="22"/>
                <w:szCs w:val="22"/>
              </w:rPr>
              <w:t>5</w:t>
            </w:r>
            <w:r w:rsidR="00C511AC" w:rsidRPr="006C32EB">
              <w:rPr>
                <w:rFonts w:ascii="Arial" w:eastAsia="Calibri" w:hAnsi="Arial" w:cs="Arial"/>
                <w:b/>
                <w:sz w:val="22"/>
                <w:szCs w:val="22"/>
              </w:rPr>
              <w:t>1</w:t>
            </w:r>
            <w:r w:rsidRPr="006C32EB">
              <w:rPr>
                <w:rFonts w:ascii="Arial" w:eastAsia="Calibri" w:hAnsi="Arial" w:cs="Arial"/>
                <w:b/>
                <w:sz w:val="22"/>
                <w:szCs w:val="22"/>
              </w:rPr>
              <w:t>, Artículo</w:t>
            </w:r>
            <w:r w:rsidR="00437F0F" w:rsidRPr="006C32EB">
              <w:rPr>
                <w:rFonts w:ascii="Arial" w:eastAsia="Calibri" w:hAnsi="Arial" w:cs="Arial"/>
                <w:b/>
                <w:sz w:val="22"/>
                <w:szCs w:val="22"/>
              </w:rPr>
              <w:t xml:space="preserve"> </w:t>
            </w:r>
            <w:r w:rsidR="00006667" w:rsidRPr="006C32EB">
              <w:rPr>
                <w:rFonts w:ascii="Arial" w:eastAsia="Calibri" w:hAnsi="Arial" w:cs="Arial"/>
                <w:b/>
                <w:sz w:val="22"/>
                <w:szCs w:val="22"/>
              </w:rPr>
              <w:t>7</w:t>
            </w:r>
            <w:r w:rsidR="00337455" w:rsidRPr="006C32EB">
              <w:rPr>
                <w:rFonts w:ascii="Arial" w:eastAsia="Calibri" w:hAnsi="Arial" w:cs="Arial"/>
                <w:b/>
                <w:sz w:val="22"/>
                <w:szCs w:val="22"/>
              </w:rPr>
              <w:t>,</w:t>
            </w:r>
            <w:r w:rsidRPr="006C32EB">
              <w:rPr>
                <w:rFonts w:ascii="Arial" w:eastAsia="Calibri" w:hAnsi="Arial" w:cs="Arial"/>
                <w:b/>
                <w:sz w:val="22"/>
                <w:szCs w:val="22"/>
              </w:rPr>
              <w:t xml:space="preserve"> del </w:t>
            </w:r>
            <w:r w:rsidR="00C511AC" w:rsidRPr="006C32EB">
              <w:rPr>
                <w:rFonts w:ascii="Arial" w:eastAsia="Calibri" w:hAnsi="Arial" w:cs="Arial"/>
                <w:b/>
                <w:sz w:val="22"/>
                <w:szCs w:val="22"/>
              </w:rPr>
              <w:t>13</w:t>
            </w:r>
            <w:r w:rsidRPr="006C32EB">
              <w:rPr>
                <w:rFonts w:ascii="Arial" w:eastAsia="Calibri" w:hAnsi="Arial" w:cs="Arial"/>
                <w:b/>
                <w:sz w:val="22"/>
                <w:szCs w:val="22"/>
              </w:rPr>
              <w:t xml:space="preserve"> de </w:t>
            </w:r>
            <w:r w:rsidR="00006667" w:rsidRPr="006C32EB">
              <w:rPr>
                <w:rFonts w:ascii="Arial" w:eastAsia="Calibri" w:hAnsi="Arial" w:cs="Arial"/>
                <w:b/>
                <w:sz w:val="22"/>
                <w:szCs w:val="22"/>
              </w:rPr>
              <w:t>dic</w:t>
            </w:r>
            <w:r w:rsidR="00841F61" w:rsidRPr="006C32EB">
              <w:rPr>
                <w:rFonts w:ascii="Arial" w:eastAsia="Calibri" w:hAnsi="Arial" w:cs="Arial"/>
                <w:b/>
                <w:sz w:val="22"/>
                <w:szCs w:val="22"/>
              </w:rPr>
              <w:t>iem</w:t>
            </w:r>
            <w:r w:rsidR="00AA0A77" w:rsidRPr="006C32EB">
              <w:rPr>
                <w:rFonts w:ascii="Arial" w:eastAsia="Calibri" w:hAnsi="Arial" w:cs="Arial"/>
                <w:b/>
                <w:sz w:val="22"/>
                <w:szCs w:val="22"/>
              </w:rPr>
              <w:t>bre</w:t>
            </w:r>
            <w:r w:rsidR="007A2D73" w:rsidRPr="006C32EB">
              <w:rPr>
                <w:rFonts w:ascii="Arial" w:eastAsia="Calibri" w:hAnsi="Arial" w:cs="Arial"/>
                <w:b/>
                <w:sz w:val="22"/>
                <w:szCs w:val="22"/>
              </w:rPr>
              <w:t xml:space="preserve"> </w:t>
            </w:r>
            <w:r w:rsidR="00A772EF" w:rsidRPr="006C32EB">
              <w:rPr>
                <w:rFonts w:ascii="Arial" w:eastAsia="Calibri" w:hAnsi="Arial" w:cs="Arial"/>
                <w:b/>
                <w:sz w:val="22"/>
                <w:szCs w:val="22"/>
              </w:rPr>
              <w:t>de 2017</w:t>
            </w:r>
            <w:r w:rsidR="00457DD8" w:rsidRPr="006C32EB">
              <w:rPr>
                <w:rFonts w:ascii="Arial" w:eastAsia="Calibri" w:hAnsi="Arial" w:cs="Arial"/>
                <w:b/>
                <w:sz w:val="22"/>
                <w:szCs w:val="22"/>
              </w:rPr>
              <w:t xml:space="preserve">.  </w:t>
            </w:r>
            <w:r w:rsidR="006C32EB" w:rsidRPr="006C32EB">
              <w:rPr>
                <w:rFonts w:ascii="Arial" w:eastAsia="Calibri" w:hAnsi="Arial" w:cs="Arial"/>
                <w:b/>
                <w:color w:val="000000"/>
                <w:sz w:val="22"/>
                <w:szCs w:val="22"/>
                <w:lang w:val="es-CR" w:eastAsia="en-US"/>
              </w:rPr>
              <w:t>Modificación del Reglamento de Creación, Modificación y Eliminación de Unidades en Departamentos del ITCR</w:t>
            </w:r>
            <w:r w:rsidR="0021222F">
              <w:rPr>
                <w:rFonts w:ascii="Arial" w:eastAsia="Calibri" w:hAnsi="Arial" w:cs="Arial"/>
                <w:b/>
                <w:color w:val="000000"/>
                <w:sz w:val="22"/>
                <w:szCs w:val="22"/>
                <w:lang w:val="es-CR" w:eastAsia="en-US"/>
              </w:rPr>
              <w:t>,</w:t>
            </w:r>
            <w:bookmarkStart w:id="0" w:name="_GoBack"/>
            <w:bookmarkEnd w:id="0"/>
            <w:r w:rsidR="006C32EB" w:rsidRPr="006C32EB">
              <w:rPr>
                <w:rFonts w:ascii="Arial" w:eastAsia="Calibri" w:hAnsi="Arial" w:cs="Arial"/>
                <w:b/>
                <w:color w:val="000000"/>
                <w:sz w:val="22"/>
                <w:szCs w:val="22"/>
                <w:lang w:val="es-CR" w:eastAsia="en-US"/>
              </w:rPr>
              <w:t xml:space="preserve"> para permitir la asignación de categoría a una unidad por un procedimiento de homologación con otra unidad existente</w:t>
            </w:r>
            <w:r w:rsidR="006C32EB" w:rsidRPr="006C32EB">
              <w:rPr>
                <w:rFonts w:ascii="Arial" w:eastAsia="Calibri" w:hAnsi="Arial" w:cs="Arial"/>
                <w:b/>
                <w:bCs/>
                <w:color w:val="000000"/>
                <w:sz w:val="22"/>
                <w:szCs w:val="22"/>
                <w:lang w:val="es-CR" w:eastAsia="en-US"/>
              </w:rPr>
              <w:t xml:space="preserve"> </w:t>
            </w:r>
          </w:p>
          <w:p w:rsidR="00C511AC" w:rsidRPr="006C32EB" w:rsidRDefault="00C511AC" w:rsidP="006C32EB">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177FD" w:rsidRDefault="00C177FD" w:rsidP="007742A1">
      <w:pPr>
        <w:jc w:val="both"/>
        <w:rPr>
          <w:rFonts w:ascii="Arial" w:eastAsia="Cambria" w:hAnsi="Arial" w:cs="Arial"/>
          <w:lang w:val="es-ES_tradnl" w:eastAsia="en-US"/>
        </w:rPr>
      </w:pPr>
    </w:p>
    <w:p w:rsidR="006C32EB" w:rsidRPr="006C32EB" w:rsidRDefault="006C32EB" w:rsidP="006C32EB">
      <w:pPr>
        <w:jc w:val="both"/>
        <w:outlineLvl w:val="0"/>
        <w:rPr>
          <w:rFonts w:ascii="Arial" w:eastAsia="Cambria" w:hAnsi="Arial" w:cs="Arial"/>
          <w:b/>
          <w:color w:val="000000"/>
          <w:lang w:val="es-CR" w:eastAsia="en-US"/>
        </w:rPr>
      </w:pPr>
      <w:r w:rsidRPr="006C32EB">
        <w:rPr>
          <w:rFonts w:ascii="Arial" w:eastAsia="Cambria" w:hAnsi="Arial" w:cs="Arial"/>
          <w:b/>
          <w:color w:val="000000"/>
          <w:lang w:val="es-CR" w:eastAsia="en-US"/>
        </w:rPr>
        <w:t>RESULTANDO QUE:</w:t>
      </w:r>
    </w:p>
    <w:p w:rsidR="006C32EB" w:rsidRPr="006C32EB" w:rsidRDefault="006C32EB" w:rsidP="006C32EB">
      <w:pPr>
        <w:jc w:val="both"/>
        <w:outlineLvl w:val="0"/>
        <w:rPr>
          <w:rFonts w:ascii="Arial" w:eastAsia="Cambria" w:hAnsi="Arial" w:cs="Arial"/>
          <w:b/>
          <w:color w:val="000000"/>
          <w:lang w:val="es-CR" w:eastAsia="en-US"/>
        </w:rPr>
      </w:pPr>
    </w:p>
    <w:p w:rsidR="006C32EB" w:rsidRPr="006C32EB" w:rsidRDefault="006C32EB" w:rsidP="006C32EB">
      <w:pPr>
        <w:numPr>
          <w:ilvl w:val="0"/>
          <w:numId w:val="44"/>
        </w:numPr>
        <w:jc w:val="both"/>
        <w:rPr>
          <w:rFonts w:ascii="Arial" w:eastAsia="Calibri" w:hAnsi="Arial" w:cs="Arial"/>
          <w:b/>
          <w:color w:val="000000"/>
          <w:lang w:val="es-CR" w:eastAsia="en-US"/>
        </w:rPr>
      </w:pPr>
      <w:r w:rsidRPr="006C32EB">
        <w:rPr>
          <w:rFonts w:ascii="Arial" w:eastAsia="Calibri" w:hAnsi="Arial" w:cs="Arial"/>
          <w:bCs/>
          <w:color w:val="000000"/>
          <w:lang w:val="es-CR" w:eastAsia="en-US"/>
        </w:rPr>
        <w:t xml:space="preserve">De acuerdo con el artículo 18, inciso f, del Estatuto Orgánico del ITCR, </w:t>
      </w:r>
      <w:r w:rsidRPr="006C32EB">
        <w:rPr>
          <w:rFonts w:ascii="Arial" w:eastAsia="Calibri" w:hAnsi="Arial" w:cs="Arial"/>
          <w:color w:val="000000"/>
          <w:lang w:val="es-CR" w:eastAsia="en-US"/>
        </w:rPr>
        <w:t xml:space="preserve">es función del Consejo Institucional </w:t>
      </w:r>
      <w:r w:rsidRPr="006C32EB">
        <w:rPr>
          <w:rFonts w:ascii="Arial" w:eastAsia="Calibri" w:hAnsi="Arial" w:cs="Arial"/>
          <w:i/>
          <w:color w:val="000000"/>
          <w:lang w:val="es-CR" w:eastAsia="en-US"/>
        </w:rPr>
        <w:t>“Aprobar, promulgar y modificar los regla</w:t>
      </w:r>
      <w:r w:rsidRPr="006C32EB">
        <w:rPr>
          <w:rFonts w:ascii="Arial" w:eastAsia="Calibri" w:hAnsi="Arial" w:cs="Arial"/>
          <w:i/>
          <w:color w:val="000000"/>
          <w:lang w:val="es-CR" w:eastAsia="en-US"/>
        </w:rPr>
        <w:softHyphen/>
        <w:t>mentos generales necesarios para el funcionamiento del Instituto…”</w:t>
      </w:r>
    </w:p>
    <w:p w:rsidR="006C32EB" w:rsidRPr="006C32EB" w:rsidRDefault="006C32EB" w:rsidP="006C32EB">
      <w:pPr>
        <w:jc w:val="both"/>
        <w:rPr>
          <w:rFonts w:ascii="Arial" w:eastAsia="Calibri" w:hAnsi="Arial" w:cs="Arial"/>
          <w:b/>
          <w:color w:val="000000"/>
          <w:lang w:val="es-CR" w:eastAsia="en-US"/>
        </w:rPr>
      </w:pPr>
    </w:p>
    <w:p w:rsidR="006C32EB" w:rsidRPr="006C32EB" w:rsidRDefault="006C32EB" w:rsidP="006C32EB">
      <w:pPr>
        <w:numPr>
          <w:ilvl w:val="0"/>
          <w:numId w:val="44"/>
        </w:numPr>
        <w:jc w:val="both"/>
        <w:rPr>
          <w:rFonts w:ascii="Arial" w:eastAsia="Calibri" w:hAnsi="Arial" w:cs="Arial"/>
          <w:b/>
          <w:color w:val="000000"/>
          <w:lang w:val="es-CR" w:eastAsia="en-US"/>
        </w:rPr>
      </w:pPr>
      <w:r w:rsidRPr="006C32EB">
        <w:rPr>
          <w:rFonts w:ascii="Arial" w:eastAsia="Calibri" w:hAnsi="Arial" w:cs="Arial"/>
          <w:bCs/>
          <w:color w:val="000000"/>
          <w:lang w:val="es-CR" w:eastAsia="en-US"/>
        </w:rPr>
        <w:t xml:space="preserve">El artículo 18, inciso u, </w:t>
      </w:r>
      <w:r w:rsidRPr="006C32EB">
        <w:rPr>
          <w:rFonts w:ascii="Arial" w:eastAsia="Calibri" w:hAnsi="Arial" w:cs="Arial"/>
          <w:color w:val="000000"/>
          <w:lang w:val="es-CR" w:eastAsia="en-US"/>
        </w:rPr>
        <w:t xml:space="preserve">establece como función del Consejo Institucional, </w:t>
      </w:r>
      <w:r w:rsidRPr="006C32EB">
        <w:rPr>
          <w:rFonts w:ascii="Arial" w:eastAsia="Calibri" w:hAnsi="Arial" w:cs="Arial"/>
          <w:i/>
          <w:iCs/>
          <w:color w:val="000000"/>
          <w:lang w:val="es-CR" w:eastAsia="en-US"/>
        </w:rPr>
        <w:t xml:space="preserve">“Resolver sobre lo no previsto en este Estatuto Orgánico y ejercer otras funciones necesarias </w:t>
      </w:r>
      <w:r w:rsidRPr="006C32EB">
        <w:rPr>
          <w:rFonts w:ascii="Arial" w:eastAsia="Calibri" w:hAnsi="Arial" w:cs="Arial"/>
          <w:i/>
          <w:iCs/>
          <w:color w:val="000000"/>
          <w:u w:val="single"/>
          <w:lang w:val="es-CR" w:eastAsia="en-US"/>
        </w:rPr>
        <w:t>p</w:t>
      </w:r>
      <w:r w:rsidRPr="006C32EB">
        <w:rPr>
          <w:rFonts w:ascii="Arial" w:eastAsia="Calibri" w:hAnsi="Arial" w:cs="Arial"/>
          <w:i/>
          <w:iCs/>
          <w:color w:val="000000"/>
          <w:lang w:val="es-CR" w:eastAsia="en-US"/>
        </w:rPr>
        <w:t>ara la buena marcha de la Institución no atribuidas a ningún otro órgano”.</w:t>
      </w:r>
    </w:p>
    <w:p w:rsidR="006C32EB" w:rsidRPr="006C32EB" w:rsidRDefault="006C32EB" w:rsidP="006C32EB">
      <w:pPr>
        <w:jc w:val="both"/>
        <w:rPr>
          <w:rFonts w:ascii="Arial" w:eastAsia="Calibri" w:hAnsi="Arial" w:cs="Arial"/>
          <w:b/>
          <w:color w:val="000000"/>
          <w:lang w:val="es-CR" w:eastAsia="en-US"/>
        </w:rPr>
      </w:pPr>
    </w:p>
    <w:p w:rsidR="006C32EB" w:rsidRPr="006C32EB" w:rsidRDefault="006C32EB" w:rsidP="006C32EB">
      <w:pPr>
        <w:numPr>
          <w:ilvl w:val="0"/>
          <w:numId w:val="44"/>
        </w:numPr>
        <w:jc w:val="both"/>
        <w:rPr>
          <w:rFonts w:ascii="Arial" w:eastAsia="Calibri" w:hAnsi="Arial" w:cs="Arial"/>
          <w:bCs/>
          <w:color w:val="000000"/>
          <w:lang w:val="es-CR" w:eastAsia="en-US"/>
        </w:rPr>
      </w:pPr>
      <w:r w:rsidRPr="006C32EB">
        <w:rPr>
          <w:rFonts w:ascii="Arial" w:eastAsia="Calibri" w:hAnsi="Arial" w:cs="Arial"/>
          <w:bCs/>
          <w:color w:val="000000"/>
          <w:lang w:val="es-CR" w:eastAsia="en-US"/>
        </w:rPr>
        <w:t xml:space="preserve">El </w:t>
      </w:r>
      <w:bookmarkStart w:id="1" w:name="_Hlk499490923"/>
      <w:r w:rsidRPr="006C32EB">
        <w:rPr>
          <w:rFonts w:ascii="Arial" w:eastAsia="Calibri" w:hAnsi="Arial" w:cs="Arial"/>
          <w:bCs/>
          <w:color w:val="000000"/>
          <w:lang w:val="es-CR" w:eastAsia="en-US"/>
        </w:rPr>
        <w:t>“Reglamento de Creación, Modificación y Eliminación de Unidades, del Instituto Tecnológico de Costa Rica” establece, en los artículos 5, 5 BIS y 10, respectivamente, lo siguiente:</w:t>
      </w:r>
    </w:p>
    <w:p w:rsidR="006C32EB" w:rsidRPr="006C32EB" w:rsidRDefault="006C32EB" w:rsidP="006C32EB">
      <w:pPr>
        <w:ind w:left="708"/>
        <w:rPr>
          <w:rFonts w:ascii="Arial" w:hAnsi="Arial" w:cs="Arial"/>
          <w:bCs/>
          <w:color w:val="000000"/>
          <w:lang w:val="es-CR"/>
        </w:rPr>
      </w:pPr>
    </w:p>
    <w:p w:rsidR="006C32EB" w:rsidRPr="006C32EB" w:rsidRDefault="006C32EB" w:rsidP="006C32EB">
      <w:pPr>
        <w:ind w:left="567" w:right="333"/>
        <w:jc w:val="both"/>
        <w:rPr>
          <w:rFonts w:ascii="Arial" w:hAnsi="Arial" w:cs="Arial"/>
          <w:b/>
          <w:bCs/>
          <w:i/>
          <w:color w:val="000000"/>
          <w:sz w:val="22"/>
          <w:szCs w:val="22"/>
          <w:lang w:val="es-CR" w:eastAsia="es-CR"/>
        </w:rPr>
      </w:pPr>
      <w:r w:rsidRPr="006C32EB">
        <w:rPr>
          <w:rFonts w:ascii="Arial" w:hAnsi="Arial" w:cs="Arial"/>
          <w:b/>
          <w:bCs/>
          <w:i/>
          <w:color w:val="000000"/>
          <w:sz w:val="22"/>
          <w:szCs w:val="22"/>
          <w:lang w:val="es-CR" w:eastAsia="es-CR"/>
        </w:rPr>
        <w:t>“Artículo 5</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lastRenderedPageBreak/>
        <w:t>a. Unidad de categoría 1: es una unidad con un nivel de autoridad intermedia, con funciones eminentemente auxiliares y de un nivel de complejidad laboral bajo, muy dependiente en sus decisiones de la Dirección del Departamento y Escuela y la persona que coordinará tendrá funciones únicamente de supervisión. Se considera que más de la mitad del personal es de las categorías 1 a la 5.</w:t>
      </w:r>
    </w:p>
    <w:p w:rsidR="006C32EB" w:rsidRPr="006C32EB" w:rsidRDefault="006C32EB" w:rsidP="006C32EB">
      <w:pPr>
        <w:ind w:left="851" w:right="333" w:hanging="284"/>
        <w:jc w:val="both"/>
        <w:rPr>
          <w:rFonts w:ascii="Arial" w:hAnsi="Arial" w:cs="Arial"/>
          <w:i/>
          <w:color w:val="000000"/>
          <w:sz w:val="22"/>
          <w:szCs w:val="22"/>
          <w:lang w:val="es-CR" w:eastAsia="es-CR"/>
        </w:rPr>
      </w:pP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b. Unidad de categoría 2: es una unidad con un nivel de autoridad intermedia, con funciones eminentemente asistenciales y técnicas, de complejidad mediana, cuyo poder de decisión sobre sus propias actividades está muy relacionado con la Dirección del Departamento. A nivel de Escuelas y Departamentos Académicos son aquellas que coordinan Unidades Productivas y Programas Productivos. Se considera que más de la mitad del personal se ubica en las categorías 6 a la 16.</w:t>
      </w:r>
    </w:p>
    <w:p w:rsidR="006C32EB" w:rsidRPr="006C32EB" w:rsidRDefault="006C32EB" w:rsidP="006C32EB">
      <w:pPr>
        <w:ind w:left="851" w:right="333" w:hanging="284"/>
        <w:jc w:val="both"/>
        <w:rPr>
          <w:rFonts w:ascii="Arial" w:hAnsi="Arial" w:cs="Arial"/>
          <w:i/>
          <w:color w:val="000000"/>
          <w:sz w:val="22"/>
          <w:szCs w:val="22"/>
          <w:lang w:val="es-CR" w:eastAsia="es-CR"/>
        </w:rPr>
      </w:pP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c. 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Licenciatura, Diplomados, Cursos de Servicio y Centros de Investigación a excepción, de los Centros Consolidados, o cuando por efecto de especialización funcional se dé como el caso de cultura y deporte.</w:t>
      </w:r>
    </w:p>
    <w:p w:rsidR="006C32EB" w:rsidRPr="006C32EB" w:rsidRDefault="006C32EB" w:rsidP="006C32EB">
      <w:pPr>
        <w:ind w:left="851" w:right="333" w:hanging="284"/>
        <w:jc w:val="both"/>
        <w:rPr>
          <w:rFonts w:ascii="Arial" w:hAnsi="Arial" w:cs="Arial"/>
          <w:i/>
          <w:color w:val="000000"/>
          <w:sz w:val="22"/>
          <w:szCs w:val="22"/>
          <w:lang w:val="es-CR" w:eastAsia="es-CR"/>
        </w:rPr>
      </w:pPr>
    </w:p>
    <w:p w:rsidR="006C32EB" w:rsidRPr="006C32EB" w:rsidRDefault="006C32EB" w:rsidP="006C32EB">
      <w:pPr>
        <w:ind w:left="851"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Se considera que más de la mitad del personal se ubica en las categorías de la 22 a la 23.</w:t>
      </w:r>
    </w:p>
    <w:p w:rsidR="006C32EB" w:rsidRPr="006C32EB" w:rsidRDefault="006C32EB" w:rsidP="006C32EB">
      <w:pPr>
        <w:ind w:left="851" w:right="333" w:hanging="284"/>
        <w:jc w:val="both"/>
        <w:rPr>
          <w:rFonts w:ascii="Arial" w:hAnsi="Arial" w:cs="Arial"/>
          <w:i/>
          <w:color w:val="000000"/>
          <w:sz w:val="22"/>
          <w:szCs w:val="22"/>
          <w:lang w:val="es-CR" w:eastAsia="es-CR"/>
        </w:rPr>
      </w:pP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d. Unidad de categoría 4: es una unidad con un alto nivel de complejidad y acción estratégica hacia la academia y se considera Maestrías, Doctorados y Centros de Investigación a nivel de consolidado.</w:t>
      </w:r>
    </w:p>
    <w:p w:rsidR="006C32EB" w:rsidRPr="006C32EB" w:rsidRDefault="006C32EB" w:rsidP="006C32EB">
      <w:pPr>
        <w:ind w:left="567" w:right="333"/>
        <w:jc w:val="both"/>
        <w:rPr>
          <w:rFonts w:ascii="Arial" w:eastAsia="Calibri" w:hAnsi="Arial" w:cs="Arial"/>
          <w:i/>
          <w:color w:val="000000"/>
          <w:sz w:val="22"/>
          <w:szCs w:val="22"/>
          <w:lang w:val="es-CR" w:eastAsia="en-US"/>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b/>
          <w:bCs/>
          <w:i/>
          <w:color w:val="000000"/>
          <w:sz w:val="22"/>
          <w:szCs w:val="22"/>
          <w:lang w:val="es-CR" w:eastAsia="es-CR"/>
        </w:rPr>
        <w:t>ARTICULO 5 BIS</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La categoría de las unidades en Departamentos del ITCR será evaluada y definida mediante un estudio realizado al efecto por la Oficina de Planificación Institucional.</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Este estudio se realizará a solicitud del consejo de departamento al que pertenece la unidad, al menos tres meses antes de finalizar el nombramiento del coordinador, solamente cuando se presenten cambios significativos en alguno de los siguientes aspectos:</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 xml:space="preserve">a. Cambio en la naturaleza de las funciones realizadas por la unidad </w:t>
      </w: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b. Cambio en el nivel de formación o especialización de los integrantes de la unidad para el cumplimiento de los objetivos de ésta.</w:t>
      </w: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c. Cambio en el volumen de tareas realizadas por la unidad.</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La información pertinente para realizar el estudio de evaluación y categorización de la unidad será suministrada por ésta en el formato establecido por la Oficina de Planificación Institucional para tal efecto.”</w:t>
      </w:r>
    </w:p>
    <w:p w:rsidR="006C32EB" w:rsidRPr="006C32EB" w:rsidRDefault="006C32EB" w:rsidP="006C32EB">
      <w:pPr>
        <w:ind w:left="567" w:right="333"/>
        <w:jc w:val="both"/>
        <w:rPr>
          <w:rFonts w:ascii="Arial" w:eastAsia="Calibri" w:hAnsi="Arial" w:cs="Arial"/>
          <w:i/>
          <w:color w:val="000000"/>
          <w:sz w:val="22"/>
          <w:szCs w:val="22"/>
          <w:lang w:val="es-CR" w:eastAsia="en-US"/>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b/>
          <w:bCs/>
          <w:i/>
          <w:color w:val="000000"/>
          <w:sz w:val="22"/>
          <w:szCs w:val="22"/>
          <w:lang w:val="es-CR" w:eastAsia="es-CR"/>
        </w:rPr>
        <w:t>Artículo 10</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La creación de unidades en Departamentos Académicos o Escuelas será automática, según conveniencia institucional y recomendación técnica, cuando el Consejo Institucional apruebe:</w:t>
      </w:r>
    </w:p>
    <w:p w:rsidR="006C32EB" w:rsidRPr="006C32EB" w:rsidRDefault="006C32EB" w:rsidP="006C32EB">
      <w:pPr>
        <w:ind w:left="567" w:right="333"/>
        <w:jc w:val="both"/>
        <w:rPr>
          <w:rFonts w:ascii="Arial" w:hAnsi="Arial" w:cs="Arial"/>
          <w:i/>
          <w:color w:val="000000"/>
          <w:sz w:val="22"/>
          <w:szCs w:val="22"/>
          <w:lang w:val="es-CR" w:eastAsia="es-CR"/>
        </w:rPr>
      </w:pPr>
    </w:p>
    <w:p w:rsidR="006C32EB" w:rsidRPr="006C32EB" w:rsidRDefault="006C32EB" w:rsidP="006C32EB">
      <w:pPr>
        <w:ind w:left="567" w:right="333"/>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a.  Una nueva carrera dentro de un Departamento Académico o Escuela</w:t>
      </w: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lastRenderedPageBreak/>
        <w:t>b. Un énfasis adicional al impartido en un Departamento Académico o Escuela</w:t>
      </w:r>
    </w:p>
    <w:p w:rsidR="006C32EB" w:rsidRPr="006C32EB" w:rsidRDefault="006C32EB" w:rsidP="006C32EB">
      <w:pPr>
        <w:ind w:left="851" w:right="333" w:hanging="284"/>
        <w:jc w:val="both"/>
        <w:rPr>
          <w:rFonts w:ascii="Arial" w:hAnsi="Arial" w:cs="Arial"/>
          <w:i/>
          <w:color w:val="000000"/>
          <w:sz w:val="22"/>
          <w:szCs w:val="22"/>
          <w:lang w:val="es-CR" w:eastAsia="es-CR"/>
        </w:rPr>
      </w:pPr>
      <w:r w:rsidRPr="006C32EB">
        <w:rPr>
          <w:rFonts w:ascii="Arial" w:hAnsi="Arial" w:cs="Arial"/>
          <w:i/>
          <w:color w:val="000000"/>
          <w:sz w:val="22"/>
          <w:szCs w:val="22"/>
          <w:lang w:val="es-CR" w:eastAsia="es-CR"/>
        </w:rPr>
        <w:t>c. Un grado de Diplomado, Licenciatura, Maestría o Doctorado dentro de un Departamento Académico o Escuela”.</w:t>
      </w:r>
    </w:p>
    <w:bookmarkEnd w:id="1"/>
    <w:p w:rsidR="006C32EB" w:rsidRPr="006C32EB" w:rsidRDefault="006C32EB" w:rsidP="006C32EB">
      <w:pPr>
        <w:jc w:val="both"/>
        <w:rPr>
          <w:rFonts w:ascii="Arial" w:eastAsia="Cambria" w:hAnsi="Arial" w:cs="Arial"/>
          <w:color w:val="000000"/>
          <w:lang w:val="es-CR" w:eastAsia="en-US"/>
        </w:rPr>
      </w:pPr>
    </w:p>
    <w:p w:rsidR="006C32EB" w:rsidRPr="006C32EB" w:rsidRDefault="006C32EB" w:rsidP="006C32EB">
      <w:pPr>
        <w:jc w:val="both"/>
        <w:outlineLvl w:val="0"/>
        <w:rPr>
          <w:rFonts w:ascii="Arial" w:eastAsia="Cambria" w:hAnsi="Arial" w:cs="Arial"/>
          <w:b/>
          <w:color w:val="000000"/>
          <w:lang w:val="es-CR" w:eastAsia="en-US"/>
        </w:rPr>
      </w:pPr>
      <w:r w:rsidRPr="006C32EB">
        <w:rPr>
          <w:rFonts w:ascii="Arial" w:eastAsia="Cambria" w:hAnsi="Arial" w:cs="Arial"/>
          <w:b/>
          <w:color w:val="000000"/>
          <w:lang w:val="es-CR" w:eastAsia="en-US"/>
        </w:rPr>
        <w:t>CONSIDERANDO QUE:</w:t>
      </w:r>
    </w:p>
    <w:p w:rsidR="006C32EB" w:rsidRPr="006C32EB" w:rsidRDefault="006C32EB" w:rsidP="006C32EB">
      <w:pPr>
        <w:jc w:val="both"/>
        <w:outlineLvl w:val="0"/>
        <w:rPr>
          <w:rFonts w:ascii="Arial" w:eastAsia="Cambria" w:hAnsi="Arial" w:cs="Arial"/>
          <w:b/>
          <w:color w:val="000000"/>
          <w:lang w:val="es-CR" w:eastAsia="en-US"/>
        </w:rPr>
      </w:pPr>
    </w:p>
    <w:p w:rsidR="006C32EB" w:rsidRPr="006C32EB" w:rsidRDefault="006C32EB" w:rsidP="006C32EB">
      <w:pPr>
        <w:numPr>
          <w:ilvl w:val="1"/>
          <w:numId w:val="43"/>
        </w:numPr>
        <w:spacing w:after="160" w:line="259" w:lineRule="auto"/>
        <w:ind w:left="426" w:hanging="426"/>
        <w:jc w:val="both"/>
        <w:rPr>
          <w:rFonts w:ascii="Arial" w:eastAsia="Calibri" w:hAnsi="Arial" w:cs="Arial"/>
          <w:color w:val="000000"/>
          <w:lang w:val="es-ES_tradnl" w:eastAsia="en-US"/>
        </w:rPr>
      </w:pPr>
      <w:r w:rsidRPr="006C32EB">
        <w:rPr>
          <w:rFonts w:ascii="Arial" w:eastAsia="Calibri" w:hAnsi="Arial" w:cs="Arial"/>
          <w:color w:val="000000"/>
          <w:lang w:val="es-ES_tradnl" w:eastAsia="en-US"/>
        </w:rPr>
        <w:t>El artículo 5 BIS vigente exige que para la categorización de las unidades se realice un estudio por parte de la Oficina de Planificación Institucional, sin hacer ningún tipo de excepción.</w:t>
      </w:r>
    </w:p>
    <w:p w:rsidR="006C32EB" w:rsidRPr="006C32EB" w:rsidRDefault="006C32EB" w:rsidP="006C32EB">
      <w:pPr>
        <w:numPr>
          <w:ilvl w:val="1"/>
          <w:numId w:val="43"/>
        </w:numPr>
        <w:spacing w:after="160" w:line="259" w:lineRule="auto"/>
        <w:ind w:left="426" w:hanging="426"/>
        <w:jc w:val="both"/>
        <w:rPr>
          <w:rFonts w:ascii="Arial" w:eastAsia="Calibri" w:hAnsi="Arial" w:cs="Arial"/>
          <w:color w:val="000000"/>
          <w:lang w:val="es-ES_tradnl" w:eastAsia="en-US"/>
        </w:rPr>
      </w:pPr>
      <w:r w:rsidRPr="006C32EB">
        <w:rPr>
          <w:rFonts w:ascii="Arial" w:eastAsia="Calibri" w:hAnsi="Arial" w:cs="Arial"/>
          <w:color w:val="000000"/>
          <w:lang w:val="es-ES_tradnl" w:eastAsia="en-US"/>
        </w:rPr>
        <w:t>En el caso de los Departamentos Académicos sucede que algunas de sus unidades son homologas, en cuanto al propósito con que son creadas, a unidades existentes en otros departamentos académicos.</w:t>
      </w:r>
    </w:p>
    <w:p w:rsidR="006C32EB" w:rsidRPr="006C32EB" w:rsidRDefault="006C32EB" w:rsidP="006C32EB">
      <w:pPr>
        <w:numPr>
          <w:ilvl w:val="1"/>
          <w:numId w:val="43"/>
        </w:numPr>
        <w:spacing w:after="160" w:line="259" w:lineRule="auto"/>
        <w:ind w:left="426" w:hanging="426"/>
        <w:jc w:val="both"/>
        <w:rPr>
          <w:rFonts w:ascii="Arial" w:eastAsia="Calibri" w:hAnsi="Arial" w:cs="Arial"/>
          <w:color w:val="000000"/>
          <w:lang w:val="es-ES_tradnl" w:eastAsia="en-US"/>
        </w:rPr>
      </w:pPr>
      <w:r w:rsidRPr="006C32EB">
        <w:rPr>
          <w:rFonts w:ascii="Arial" w:eastAsia="Calibri" w:hAnsi="Arial" w:cs="Arial"/>
          <w:color w:val="000000"/>
          <w:lang w:val="es-ES_tradnl" w:eastAsia="en-US"/>
        </w:rPr>
        <w:t xml:space="preserve">Lo dispuesto en el artículo 5 del </w:t>
      </w:r>
      <w:r w:rsidRPr="006C32EB">
        <w:rPr>
          <w:rFonts w:ascii="Arial" w:eastAsia="Calibri" w:hAnsi="Arial" w:cs="Arial"/>
          <w:bCs/>
          <w:color w:val="000000"/>
          <w:lang w:val="es-CR" w:eastAsia="en-US"/>
        </w:rPr>
        <w:t xml:space="preserve">“Reglamento de Creación, Modificación y Eliminación de Unidades, del Instituto Tecnológico de Costa Rica”, en cuanto a las unidades de las Escuelas creadas para las </w:t>
      </w:r>
      <w:r w:rsidRPr="006C32EB">
        <w:rPr>
          <w:rFonts w:ascii="Arial" w:hAnsi="Arial" w:cs="Arial"/>
          <w:color w:val="000000"/>
          <w:lang w:val="es-CR" w:eastAsia="es-CR"/>
        </w:rPr>
        <w:t xml:space="preserve">coordinaciones de Licenciatura, Diplomados, Cursos de Servicio y Centros de Investigación a excepción de los Centros Consolidados (Unidades categoría 3) y Maestrías, Doctorados y Centros de Investigación a nivel de consolidado (Unidades categoría 4), hace innecesario la realización de un estudio técnico por parte de la </w:t>
      </w:r>
      <w:r w:rsidRPr="006C32EB">
        <w:rPr>
          <w:rFonts w:ascii="Arial" w:eastAsia="Calibri" w:hAnsi="Arial" w:cs="Arial"/>
          <w:color w:val="000000"/>
          <w:lang w:val="es-ES_tradnl" w:eastAsia="en-US"/>
        </w:rPr>
        <w:t>Oficina de Planificación Institucional para su categorización, dado que la categoría que les corresponde está indicada en el Reglamento.</w:t>
      </w:r>
    </w:p>
    <w:p w:rsidR="006C32EB" w:rsidRPr="006C32EB" w:rsidRDefault="006C32EB" w:rsidP="006C32EB">
      <w:pPr>
        <w:jc w:val="both"/>
        <w:rPr>
          <w:rFonts w:ascii="Arial" w:eastAsia="Calibri" w:hAnsi="Arial" w:cs="Arial"/>
          <w:color w:val="000000"/>
          <w:sz w:val="22"/>
          <w:szCs w:val="22"/>
          <w:lang w:val="es-ES_tradnl" w:eastAsia="en-US"/>
        </w:rPr>
      </w:pPr>
    </w:p>
    <w:p w:rsidR="006C32EB" w:rsidRPr="006C32EB" w:rsidRDefault="006C32EB" w:rsidP="006C32EB">
      <w:pPr>
        <w:ind w:left="142"/>
        <w:jc w:val="both"/>
        <w:rPr>
          <w:rFonts w:ascii="Arial" w:eastAsia="Calibri" w:hAnsi="Arial" w:cs="Arial"/>
          <w:b/>
          <w:color w:val="000000"/>
          <w:lang w:val="es-CR" w:eastAsia="en-US"/>
        </w:rPr>
      </w:pPr>
      <w:r w:rsidRPr="006C32EB">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6C32EB">
        <w:rPr>
          <w:rFonts w:ascii="Arial" w:eastAsia="Calibri" w:hAnsi="Arial" w:cs="Arial"/>
          <w:b/>
          <w:color w:val="000000"/>
          <w:lang w:val="es-CR" w:eastAsia="en-US"/>
        </w:rPr>
        <w:t>:</w:t>
      </w:r>
    </w:p>
    <w:p w:rsidR="006C32EB" w:rsidRPr="006C32EB" w:rsidRDefault="006C32EB" w:rsidP="006C32EB">
      <w:pPr>
        <w:ind w:left="-284"/>
        <w:jc w:val="both"/>
        <w:rPr>
          <w:rFonts w:ascii="Arial" w:eastAsia="Calibri" w:hAnsi="Arial" w:cs="Arial"/>
          <w:b/>
          <w:color w:val="000000"/>
          <w:lang w:val="es-CR" w:eastAsia="en-US"/>
        </w:rPr>
      </w:pPr>
    </w:p>
    <w:p w:rsidR="006C32EB" w:rsidRPr="006C32EB" w:rsidRDefault="006C32EB" w:rsidP="006C32EB">
      <w:pPr>
        <w:numPr>
          <w:ilvl w:val="0"/>
          <w:numId w:val="45"/>
        </w:numPr>
        <w:jc w:val="both"/>
        <w:rPr>
          <w:rFonts w:ascii="Arial" w:hAnsi="Arial" w:cs="Arial"/>
          <w:b/>
          <w:color w:val="000000"/>
          <w:lang w:val="es-CR"/>
        </w:rPr>
      </w:pPr>
      <w:r w:rsidRPr="006C32EB">
        <w:rPr>
          <w:rFonts w:ascii="Arial" w:hAnsi="Arial" w:cs="Arial"/>
          <w:color w:val="000000"/>
          <w:lang w:val="es-CR"/>
        </w:rPr>
        <w:t>Modificar el Artículo 5 BIS del Reglamento de Creación, Modificación y Eliminación de Unidades en Departamentos del ITCR, para permitir la asignación de categoría a una unidad por un procedimiento de homologación con otra unidad existente, para que se lea:</w:t>
      </w:r>
    </w:p>
    <w:p w:rsidR="006C32EB" w:rsidRPr="006C32EB" w:rsidRDefault="006C32EB" w:rsidP="006C32EB">
      <w:pPr>
        <w:ind w:left="436"/>
        <w:jc w:val="both"/>
        <w:rPr>
          <w:rFonts w:ascii="Arial" w:hAnsi="Arial" w:cs="Arial"/>
          <w:b/>
          <w:color w:val="000000"/>
          <w:lang w:val="es-CR"/>
        </w:rPr>
      </w:pPr>
    </w:p>
    <w:p w:rsidR="006C32EB" w:rsidRPr="006C32EB" w:rsidRDefault="006C32EB" w:rsidP="006C32EB">
      <w:pPr>
        <w:ind w:left="567" w:right="333"/>
        <w:jc w:val="both"/>
        <w:rPr>
          <w:rFonts w:ascii="Arial" w:hAnsi="Arial" w:cs="Arial"/>
          <w:color w:val="000000"/>
          <w:lang w:val="es-CR" w:eastAsia="es-CR"/>
        </w:rPr>
      </w:pPr>
      <w:r w:rsidRPr="006C32EB">
        <w:rPr>
          <w:rFonts w:ascii="Arial" w:hAnsi="Arial" w:cs="Arial"/>
          <w:b/>
          <w:bCs/>
          <w:color w:val="000000"/>
          <w:lang w:val="es-CR" w:eastAsia="es-CR"/>
        </w:rPr>
        <w:t>ARTICULO 5 BIS</w:t>
      </w:r>
    </w:p>
    <w:p w:rsidR="006C32EB" w:rsidRPr="006C32EB" w:rsidRDefault="006C32EB" w:rsidP="006C32EB">
      <w:pPr>
        <w:ind w:left="567" w:right="333"/>
        <w:jc w:val="both"/>
        <w:rPr>
          <w:rFonts w:ascii="Arial" w:hAnsi="Arial" w:cs="Arial"/>
          <w:color w:val="000000"/>
          <w:lang w:val="es-CR" w:eastAsia="es-CR"/>
        </w:rPr>
      </w:pPr>
    </w:p>
    <w:p w:rsidR="006C32EB" w:rsidRPr="006C32EB" w:rsidRDefault="006C32EB" w:rsidP="006C32EB">
      <w:pPr>
        <w:ind w:left="567" w:right="333"/>
        <w:jc w:val="both"/>
        <w:rPr>
          <w:rFonts w:ascii="Arial" w:hAnsi="Arial" w:cs="Arial"/>
          <w:color w:val="000000"/>
          <w:lang w:val="es-CR" w:eastAsia="es-CR"/>
        </w:rPr>
      </w:pPr>
      <w:r w:rsidRPr="006C32EB">
        <w:rPr>
          <w:rFonts w:ascii="Arial" w:hAnsi="Arial" w:cs="Arial"/>
          <w:color w:val="000000"/>
          <w:lang w:val="es-CR" w:eastAsia="es-CR"/>
        </w:rPr>
        <w:t>La categoría de las unidades en Departamentos del ITCR será evaluada y definida mediante un estudio realizado al efecto por la Oficina de Planificación Institucional.  En el caso de las Unidades de Departamentos académicos contempladas en el artículo 5, no será necesario el estudio técnico y les corresponderá la categoría tres o cuatro, según corresponda. De igual manera, en caso de que exista alguna unidad en un Departamento académico creada con el mismo propósito que la unidad que se pretende categorizar no será necesario el estudio técnico, sino que se asignará la categoría de la unidad existente por un procedimiento denominado de homologación.</w:t>
      </w:r>
    </w:p>
    <w:p w:rsidR="006C32EB" w:rsidRPr="006C32EB" w:rsidRDefault="006C32EB" w:rsidP="006C32EB">
      <w:pPr>
        <w:ind w:right="333"/>
        <w:jc w:val="both"/>
        <w:rPr>
          <w:rFonts w:ascii="Arial" w:hAnsi="Arial" w:cs="Arial"/>
          <w:color w:val="000000"/>
          <w:lang w:val="es-CR" w:eastAsia="es-CR"/>
        </w:rPr>
      </w:pPr>
    </w:p>
    <w:p w:rsidR="006C32EB" w:rsidRPr="006C32EB" w:rsidRDefault="006C32EB" w:rsidP="006C32EB">
      <w:pPr>
        <w:ind w:left="567" w:right="333"/>
        <w:jc w:val="both"/>
        <w:rPr>
          <w:rFonts w:ascii="Arial" w:hAnsi="Arial" w:cs="Arial"/>
          <w:color w:val="000000"/>
          <w:lang w:val="es-CR" w:eastAsia="es-CR"/>
        </w:rPr>
      </w:pPr>
      <w:r w:rsidRPr="006C32EB">
        <w:rPr>
          <w:rFonts w:ascii="Arial" w:hAnsi="Arial" w:cs="Arial"/>
          <w:color w:val="000000"/>
          <w:lang w:val="es-CR" w:eastAsia="es-CR"/>
        </w:rPr>
        <w:t>Este estudio se realizará a solicitud del consejo de departamento al que pertenece la unidad, al menos tres meses antes de finalizar el nombramiento del coordinador, solamente cuando se presenten cambios significativos en alguno de los siguientes aspectos:</w:t>
      </w:r>
    </w:p>
    <w:p w:rsidR="006C32EB" w:rsidRPr="006C32EB" w:rsidRDefault="006C32EB" w:rsidP="006C32EB">
      <w:pPr>
        <w:ind w:left="567" w:right="333"/>
        <w:jc w:val="both"/>
        <w:rPr>
          <w:rFonts w:ascii="Arial" w:hAnsi="Arial" w:cs="Arial"/>
          <w:color w:val="000000"/>
          <w:lang w:val="es-CR" w:eastAsia="es-CR"/>
        </w:rPr>
      </w:pPr>
    </w:p>
    <w:p w:rsidR="006C32EB" w:rsidRPr="006C32EB" w:rsidRDefault="006C32EB" w:rsidP="006C32EB">
      <w:pPr>
        <w:ind w:left="567" w:right="333"/>
        <w:jc w:val="both"/>
        <w:rPr>
          <w:rFonts w:ascii="Arial" w:hAnsi="Arial" w:cs="Arial"/>
          <w:color w:val="000000"/>
          <w:lang w:val="es-CR" w:eastAsia="es-CR"/>
        </w:rPr>
      </w:pPr>
      <w:r w:rsidRPr="006C32EB">
        <w:rPr>
          <w:rFonts w:ascii="Arial" w:hAnsi="Arial" w:cs="Arial"/>
          <w:color w:val="000000"/>
          <w:lang w:val="es-CR" w:eastAsia="es-CR"/>
        </w:rPr>
        <w:t xml:space="preserve">a. Cambio en la naturaleza de las funciones realizadas por la unidad </w:t>
      </w:r>
    </w:p>
    <w:p w:rsidR="006C32EB" w:rsidRPr="006C32EB" w:rsidRDefault="006C32EB" w:rsidP="006C32EB">
      <w:pPr>
        <w:ind w:left="851" w:right="333" w:hanging="284"/>
        <w:jc w:val="both"/>
        <w:rPr>
          <w:rFonts w:ascii="Arial" w:hAnsi="Arial" w:cs="Arial"/>
          <w:color w:val="000000"/>
          <w:lang w:val="es-CR" w:eastAsia="es-CR"/>
        </w:rPr>
      </w:pPr>
      <w:r w:rsidRPr="006C32EB">
        <w:rPr>
          <w:rFonts w:ascii="Arial" w:hAnsi="Arial" w:cs="Arial"/>
          <w:color w:val="000000"/>
          <w:lang w:val="es-CR" w:eastAsia="es-CR"/>
        </w:rPr>
        <w:lastRenderedPageBreak/>
        <w:t>b. Cambio en el nivel de formación o especialización de los integrantes de la unidad para el cumplimiento de los objetivos de ésta.</w:t>
      </w:r>
    </w:p>
    <w:p w:rsidR="006C32EB" w:rsidRPr="006C32EB" w:rsidRDefault="006C32EB" w:rsidP="006C32EB">
      <w:pPr>
        <w:ind w:left="567" w:right="333"/>
        <w:jc w:val="both"/>
        <w:rPr>
          <w:rFonts w:ascii="Arial" w:hAnsi="Arial" w:cs="Arial"/>
          <w:color w:val="000000"/>
          <w:lang w:val="es-CR" w:eastAsia="es-CR"/>
        </w:rPr>
      </w:pPr>
      <w:r w:rsidRPr="006C32EB">
        <w:rPr>
          <w:rFonts w:ascii="Arial" w:hAnsi="Arial" w:cs="Arial"/>
          <w:color w:val="000000"/>
          <w:lang w:val="es-CR" w:eastAsia="es-CR"/>
        </w:rPr>
        <w:t>c. Cambio en el volumen de tareas realizadas por la unidad.</w:t>
      </w:r>
    </w:p>
    <w:p w:rsidR="006C32EB" w:rsidRPr="006C32EB" w:rsidRDefault="006C32EB" w:rsidP="006C32EB">
      <w:pPr>
        <w:ind w:left="567" w:right="333"/>
        <w:jc w:val="both"/>
        <w:rPr>
          <w:rFonts w:ascii="Arial" w:hAnsi="Arial" w:cs="Arial"/>
          <w:color w:val="000000"/>
          <w:lang w:val="es-CR" w:eastAsia="es-CR"/>
        </w:rPr>
      </w:pPr>
    </w:p>
    <w:p w:rsidR="006C32EB" w:rsidRPr="006C32EB" w:rsidRDefault="006C32EB" w:rsidP="006C32EB">
      <w:pPr>
        <w:ind w:left="567" w:right="333"/>
        <w:jc w:val="both"/>
        <w:rPr>
          <w:rFonts w:ascii="Arial" w:hAnsi="Arial" w:cs="Arial"/>
          <w:color w:val="000000"/>
          <w:lang w:val="es-CR" w:eastAsia="es-CR"/>
        </w:rPr>
      </w:pPr>
      <w:r w:rsidRPr="006C32EB">
        <w:rPr>
          <w:rFonts w:ascii="Arial" w:hAnsi="Arial" w:cs="Arial"/>
          <w:color w:val="000000"/>
          <w:lang w:val="es-CR" w:eastAsia="es-CR"/>
        </w:rPr>
        <w:t>La información pertinente para realizar el estudio de evaluación y categorización de la unidad será suministrada por ésta en el formato establecido por la Oficina de Planificación Institucional para tal efecto.</w:t>
      </w:r>
    </w:p>
    <w:p w:rsidR="006C32EB" w:rsidRPr="006C32EB" w:rsidRDefault="006C32EB" w:rsidP="006C32EB">
      <w:pPr>
        <w:ind w:right="333"/>
        <w:jc w:val="both"/>
        <w:rPr>
          <w:rFonts w:ascii="Arial" w:hAnsi="Arial" w:cs="Arial"/>
          <w:color w:val="000000"/>
          <w:lang w:val="es-CR" w:eastAsia="es-CR"/>
        </w:rPr>
      </w:pPr>
    </w:p>
    <w:p w:rsidR="006C32EB" w:rsidRPr="006C32EB" w:rsidRDefault="006C32EB" w:rsidP="006C32EB">
      <w:pPr>
        <w:numPr>
          <w:ilvl w:val="0"/>
          <w:numId w:val="45"/>
        </w:numPr>
        <w:jc w:val="both"/>
        <w:rPr>
          <w:rFonts w:ascii="Arial" w:hAnsi="Arial" w:cs="Arial"/>
          <w:color w:val="000000"/>
          <w:lang w:val="es-CR"/>
        </w:rPr>
      </w:pPr>
      <w:r w:rsidRPr="006C32EB">
        <w:rPr>
          <w:rFonts w:ascii="Arial" w:hAnsi="Arial" w:cs="Arial"/>
          <w:color w:val="000000"/>
          <w:lang w:val="es-CR"/>
        </w:rPr>
        <w:t xml:space="preserve">Solicitar a la Administración que presente una propuesta de Reforma Integral al </w:t>
      </w:r>
      <w:r w:rsidRPr="006C32EB">
        <w:rPr>
          <w:rFonts w:ascii="Arial" w:hAnsi="Arial" w:cs="Arial"/>
          <w:bCs/>
          <w:color w:val="000000"/>
          <w:lang w:val="es-CR"/>
        </w:rPr>
        <w:t>Reglamento de Creación, Modificación y Eliminación de Unidades en Departamentos del Instituto Tecnológico de Costa Rica, a más tardar el 30 de junio del 2018.</w:t>
      </w:r>
    </w:p>
    <w:p w:rsidR="006C32EB" w:rsidRPr="006C32EB" w:rsidRDefault="006C32EB" w:rsidP="006C32EB">
      <w:pPr>
        <w:ind w:left="76"/>
        <w:jc w:val="both"/>
        <w:rPr>
          <w:rFonts w:ascii="Arial" w:hAnsi="Arial" w:cs="Arial"/>
          <w:color w:val="000000"/>
          <w:lang w:val="es-CR"/>
        </w:rPr>
      </w:pPr>
    </w:p>
    <w:p w:rsidR="006C32EB" w:rsidRPr="006C32EB" w:rsidRDefault="006C32EB" w:rsidP="006C32EB">
      <w:pPr>
        <w:numPr>
          <w:ilvl w:val="0"/>
          <w:numId w:val="45"/>
        </w:numPr>
        <w:jc w:val="both"/>
        <w:rPr>
          <w:rFonts w:ascii="Arial" w:hAnsi="Arial" w:cs="Arial"/>
          <w:color w:val="000000"/>
          <w:lang w:val="es-CR"/>
        </w:rPr>
      </w:pPr>
      <w:r>
        <w:rPr>
          <w:rFonts w:ascii="Arial" w:hAnsi="Arial" w:cs="Arial"/>
          <w:bCs/>
          <w:color w:val="000000"/>
          <w:lang w:val="es-CR"/>
        </w:rPr>
        <w:t>Publicar</w:t>
      </w:r>
    </w:p>
    <w:p w:rsidR="006C32EB" w:rsidRPr="006C32EB" w:rsidRDefault="006C32EB" w:rsidP="006C32EB">
      <w:pPr>
        <w:jc w:val="both"/>
        <w:rPr>
          <w:rFonts w:ascii="Arial" w:hAnsi="Arial" w:cs="Arial"/>
          <w:color w:val="000000"/>
          <w:lang w:val="es-CR"/>
        </w:rPr>
      </w:pPr>
    </w:p>
    <w:p w:rsidR="00AD0C80" w:rsidRDefault="00AD0C80" w:rsidP="006C32EB">
      <w:pPr>
        <w:numPr>
          <w:ilvl w:val="0"/>
          <w:numId w:val="45"/>
        </w:numPr>
        <w:jc w:val="both"/>
        <w:rPr>
          <w:rFonts w:ascii="Arial" w:hAnsi="Arial" w:cs="Arial"/>
          <w:iCs/>
          <w:lang w:eastAsia="es-CR"/>
        </w:rPr>
      </w:pPr>
      <w:r>
        <w:rPr>
          <w:rFonts w:ascii="Arial" w:hAnsi="Arial" w:cs="Arial"/>
          <w:iCs/>
          <w:lang w:eastAsia="es-CR"/>
        </w:rPr>
        <w:t xml:space="preserve">Comunicar.  </w:t>
      </w:r>
      <w:r w:rsidRPr="00AD0C80">
        <w:rPr>
          <w:rFonts w:ascii="Arial" w:hAnsi="Arial" w:cs="Arial"/>
          <w:b/>
          <w:iCs/>
          <w:lang w:eastAsia="es-CR"/>
        </w:rPr>
        <w:t>ACUERDO FIRME.</w:t>
      </w:r>
      <w:r>
        <w:rPr>
          <w:rFonts w:ascii="Arial" w:hAnsi="Arial" w:cs="Arial"/>
          <w:iCs/>
          <w:lang w:eastAsia="es-CR"/>
        </w:rPr>
        <w:t xml:space="preserve"> </w:t>
      </w:r>
    </w:p>
    <w:p w:rsidR="006C32EB" w:rsidRDefault="006C32EB" w:rsidP="006C32EB">
      <w:pPr>
        <w:ind w:right="-91"/>
        <w:contextualSpacing/>
        <w:jc w:val="both"/>
        <w:rPr>
          <w:rFonts w:ascii="Arial" w:hAnsi="Arial" w:cs="Arial"/>
          <w:iCs/>
          <w:lang w:eastAsia="es-CR"/>
        </w:rPr>
      </w:pPr>
    </w:p>
    <w:p w:rsidR="006C32EB" w:rsidRPr="00C177FD" w:rsidRDefault="006C32EB" w:rsidP="006C32EB">
      <w:pPr>
        <w:ind w:right="-91"/>
        <w:contextualSpacing/>
        <w:jc w:val="both"/>
        <w:rPr>
          <w:rFonts w:ascii="Arial" w:hAnsi="Arial" w:cs="Arial"/>
          <w:iCs/>
          <w:lang w:eastAsia="es-CR"/>
        </w:rPr>
      </w:pPr>
    </w:p>
    <w:p w:rsidR="006C32EB" w:rsidRPr="006C32EB" w:rsidRDefault="006C32EB" w:rsidP="006C32EB">
      <w:pPr>
        <w:ind w:right="-91"/>
        <w:jc w:val="both"/>
        <w:rPr>
          <w:rFonts w:ascii="Arial" w:eastAsia="Calibri" w:hAnsi="Arial" w:cs="Arial"/>
          <w:b/>
          <w:color w:val="000000"/>
          <w:sz w:val="22"/>
          <w:szCs w:val="22"/>
          <w:lang w:eastAsia="en-US"/>
        </w:rPr>
      </w:pPr>
      <w:r w:rsidRPr="006C32EB">
        <w:rPr>
          <w:rFonts w:ascii="Arial" w:eastAsia="Calibri" w:hAnsi="Arial" w:cs="Arial"/>
          <w:b/>
          <w:color w:val="000000"/>
          <w:sz w:val="22"/>
          <w:szCs w:val="22"/>
          <w:lang w:eastAsia="en-US"/>
        </w:rPr>
        <w:t xml:space="preserve">Palabras clave:  </w:t>
      </w:r>
      <w:r w:rsidRPr="006C32EB">
        <w:rPr>
          <w:rFonts w:ascii="Arial" w:eastAsia="Calibri" w:hAnsi="Arial" w:cs="Arial"/>
          <w:color w:val="000000"/>
          <w:sz w:val="22"/>
          <w:szCs w:val="22"/>
          <w:lang w:eastAsia="en-US"/>
        </w:rPr>
        <w:t>Modificación- Reglamento Creación Unidades-Artículo 5 Bis-Homologación</w:t>
      </w:r>
      <w:r w:rsidRPr="006C32EB">
        <w:rPr>
          <w:rFonts w:ascii="Arial" w:eastAsia="Calibri" w:hAnsi="Arial" w:cs="Arial"/>
          <w:b/>
          <w:color w:val="000000"/>
          <w:sz w:val="22"/>
          <w:szCs w:val="22"/>
          <w:lang w:eastAsia="en-US"/>
        </w:rPr>
        <w:t xml:space="preserve">   </w:t>
      </w:r>
    </w:p>
    <w:p w:rsidR="00AD0C80" w:rsidRPr="00AD0C80" w:rsidRDefault="00AD0C80" w:rsidP="00AD0C80">
      <w:pPr>
        <w:jc w:val="both"/>
        <w:rPr>
          <w:rFonts w:ascii="Arial" w:hAnsi="Arial" w:cs="Arial"/>
          <w:i/>
          <w:sz w:val="16"/>
          <w:szCs w:val="20"/>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5387"/>
        <w:gridCol w:w="3335"/>
        <w:gridCol w:w="4361"/>
        <w:gridCol w:w="5103"/>
      </w:tblGrid>
      <w:tr w:rsidR="00C177FD" w:rsidTr="00333DE4">
        <w:trPr>
          <w:trHeight w:val="183"/>
        </w:trPr>
        <w:tc>
          <w:tcPr>
            <w:tcW w:w="5387" w:type="dxa"/>
          </w:tcPr>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333DE4" w:rsidRDefault="00333DE4" w:rsidP="00333DE4">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333DE4" w:rsidRDefault="00333DE4" w:rsidP="00333DE4">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(PUBLICAR) </w:t>
            </w:r>
          </w:p>
          <w:p w:rsidR="00333DE4" w:rsidRDefault="00333DE4" w:rsidP="00333DE4">
            <w:pPr>
              <w:ind w:left="744"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Comunicación y Mercadeo (PUBLICAR EN PÁGINA WEB)</w:t>
            </w:r>
          </w:p>
          <w:p w:rsidR="00333DE4" w:rsidRDefault="00333DE4" w:rsidP="00333DE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333DE4" w:rsidRDefault="00333DE4" w:rsidP="00333DE4">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333DE4" w:rsidRDefault="00333DE4" w:rsidP="00333DE4">
            <w:pPr>
              <w:ind w:left="-567" w:firstLine="567"/>
              <w:jc w:val="both"/>
              <w:rPr>
                <w:rFonts w:ascii="Arial" w:eastAsia="Cambria" w:hAnsi="Arial" w:cs="Arial"/>
                <w:b/>
                <w:sz w:val="16"/>
                <w:szCs w:val="16"/>
                <w:lang w:val="es-ES_tradnl" w:eastAsia="en-US"/>
              </w:rPr>
            </w:pPr>
          </w:p>
          <w:p w:rsidR="00C177FD" w:rsidRDefault="00C177FD" w:rsidP="00E73562">
            <w:pPr>
              <w:ind w:left="-567" w:firstLine="567"/>
              <w:jc w:val="both"/>
              <w:rPr>
                <w:rFonts w:ascii="Arial" w:eastAsia="Cambria" w:hAnsi="Arial" w:cs="Arial"/>
                <w:b/>
                <w:sz w:val="16"/>
                <w:szCs w:val="16"/>
                <w:lang w:val="es-ES_tradnl" w:eastAsia="en-US"/>
              </w:rPr>
            </w:pPr>
          </w:p>
          <w:p w:rsidR="00C177FD" w:rsidRDefault="00C177FD" w:rsidP="00E73562">
            <w:pPr>
              <w:ind w:left="-567" w:firstLine="567"/>
              <w:jc w:val="both"/>
              <w:rPr>
                <w:rFonts w:ascii="Arial" w:eastAsia="Cambria" w:hAnsi="Arial" w:cs="Arial"/>
                <w:b/>
                <w:sz w:val="16"/>
                <w:szCs w:val="16"/>
                <w:lang w:val="es-ES_tradnl" w:eastAsia="en-US"/>
              </w:rPr>
            </w:pPr>
          </w:p>
        </w:tc>
        <w:tc>
          <w:tcPr>
            <w:tcW w:w="3335" w:type="dxa"/>
          </w:tcPr>
          <w:p w:rsidR="00C177FD" w:rsidRDefault="00C177FD" w:rsidP="00E73562">
            <w:pPr>
              <w:jc w:val="both"/>
              <w:rPr>
                <w:rFonts w:ascii="Arial" w:eastAsia="Cambria" w:hAnsi="Arial" w:cs="Arial"/>
                <w:b/>
                <w:sz w:val="16"/>
                <w:szCs w:val="16"/>
                <w:lang w:val="es-ES_tradnl" w:eastAsia="en-US"/>
              </w:rPr>
            </w:pPr>
          </w:p>
          <w:p w:rsidR="00C177FD" w:rsidRDefault="00C177FD" w:rsidP="00E73562">
            <w:pPr>
              <w:rPr>
                <w:rFonts w:ascii="Arial" w:eastAsia="Cambria" w:hAnsi="Arial" w:cs="Arial"/>
                <w:b/>
                <w:sz w:val="16"/>
                <w:szCs w:val="16"/>
                <w:lang w:val="es-CR" w:eastAsia="en-US"/>
              </w:rPr>
            </w:pPr>
          </w:p>
        </w:tc>
        <w:tc>
          <w:tcPr>
            <w:tcW w:w="4361" w:type="dxa"/>
          </w:tcPr>
          <w:p w:rsidR="00C177FD" w:rsidRDefault="00C177FD" w:rsidP="00E73562">
            <w:pPr>
              <w:jc w:val="both"/>
              <w:rPr>
                <w:rFonts w:ascii="Arial" w:eastAsia="Cambria" w:hAnsi="Arial" w:cs="Arial"/>
                <w:b/>
                <w:sz w:val="16"/>
                <w:szCs w:val="16"/>
                <w:lang w:val="es-ES_tradnl" w:eastAsia="en-US"/>
              </w:rPr>
            </w:pPr>
          </w:p>
        </w:tc>
        <w:tc>
          <w:tcPr>
            <w:tcW w:w="5103" w:type="dxa"/>
          </w:tcPr>
          <w:p w:rsidR="00C177FD" w:rsidRDefault="00C177FD" w:rsidP="00E73562">
            <w:pPr>
              <w:jc w:val="both"/>
              <w:rPr>
                <w:rFonts w:ascii="Arial" w:eastAsia="Cambria" w:hAnsi="Arial" w:cs="Arial"/>
                <w:b/>
                <w:sz w:val="16"/>
                <w:szCs w:val="16"/>
                <w:lang w:val="es-ES_tradnl" w:eastAsia="en-US"/>
              </w:rPr>
            </w:pPr>
          </w:p>
        </w:tc>
      </w:tr>
    </w:tbl>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16" w:rsidRDefault="00A23316">
      <w:r>
        <w:separator/>
      </w:r>
    </w:p>
  </w:endnote>
  <w:endnote w:type="continuationSeparator" w:id="0">
    <w:p w:rsidR="00A23316" w:rsidRDefault="00A2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16" w:rsidRDefault="00A23316">
      <w:r>
        <w:separator/>
      </w:r>
    </w:p>
  </w:footnote>
  <w:footnote w:type="continuationSeparator" w:id="0">
    <w:p w:rsidR="00A23316" w:rsidRDefault="00A2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C177FD">
      <w:rPr>
        <w:rFonts w:ascii="Arial" w:eastAsia="Cambria" w:hAnsi="Arial" w:cs="Arial"/>
        <w:i/>
        <w:sz w:val="18"/>
        <w:szCs w:val="18"/>
        <w:lang w:val="es-ES_tradnl" w:eastAsia="x-none"/>
      </w:rPr>
      <w:t>5</w:t>
    </w:r>
    <w:r w:rsidR="006C32EB">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C177FD">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C32EB">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C177FD">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1222F">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5153B"/>
    <w:multiLevelType w:val="hybridMultilevel"/>
    <w:tmpl w:val="2ECE0B34"/>
    <w:lvl w:ilvl="0" w:tplc="D7080ABC">
      <w:start w:val="1"/>
      <w:numFmt w:val="decimal"/>
      <w:lvlText w:val="%1."/>
      <w:lvlJc w:val="left"/>
      <w:pPr>
        <w:ind w:left="578" w:hanging="360"/>
      </w:pPr>
      <w:rPr>
        <w:b/>
        <w:i w:val="0"/>
        <w:color w:val="auto"/>
      </w:rPr>
    </w:lvl>
    <w:lvl w:ilvl="1" w:tplc="140A0019">
      <w:start w:val="1"/>
      <w:numFmt w:val="lowerLetter"/>
      <w:lvlText w:val="%2."/>
      <w:lvlJc w:val="left"/>
      <w:pPr>
        <w:ind w:left="1298" w:hanging="360"/>
      </w:pPr>
    </w:lvl>
    <w:lvl w:ilvl="2" w:tplc="140A001B">
      <w:start w:val="1"/>
      <w:numFmt w:val="lowerRoman"/>
      <w:lvlText w:val="%3."/>
      <w:lvlJc w:val="right"/>
      <w:pPr>
        <w:ind w:left="2018" w:hanging="180"/>
      </w:p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10"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A10167"/>
    <w:multiLevelType w:val="hybridMultilevel"/>
    <w:tmpl w:val="E3C81B8A"/>
    <w:lvl w:ilvl="0" w:tplc="05B09920">
      <w:start w:val="1"/>
      <w:numFmt w:val="lowerLetter"/>
      <w:lvlText w:val="%1."/>
      <w:lvlJc w:val="left"/>
      <w:pPr>
        <w:ind w:left="436" w:hanging="360"/>
      </w:pPr>
      <w:rPr>
        <w:b/>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6"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3F2D6BA4"/>
    <w:multiLevelType w:val="hybridMultilevel"/>
    <w:tmpl w:val="11183D42"/>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0"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6"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7"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030518"/>
    <w:multiLevelType w:val="hybridMultilevel"/>
    <w:tmpl w:val="E7D6C3C2"/>
    <w:lvl w:ilvl="0" w:tplc="2E36176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
  </w:num>
  <w:num w:numId="2">
    <w:abstractNumId w:val="19"/>
  </w:num>
  <w:num w:numId="3">
    <w:abstractNumId w:val="28"/>
  </w:num>
  <w:num w:numId="4">
    <w:abstractNumId w:val="2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26"/>
  </w:num>
  <w:num w:numId="10">
    <w:abstractNumId w:val="36"/>
  </w:num>
  <w:num w:numId="11">
    <w:abstractNumId w:val="6"/>
  </w:num>
  <w:num w:numId="12">
    <w:abstractNumId w:val="16"/>
  </w:num>
  <w:num w:numId="13">
    <w:abstractNumId w:val="12"/>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1"/>
  </w:num>
  <w:num w:numId="17">
    <w:abstractNumId w:val="35"/>
  </w:num>
  <w:num w:numId="18">
    <w:abstractNumId w:val="3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2"/>
  </w:num>
  <w:num w:numId="22">
    <w:abstractNumId w:val="1"/>
  </w:num>
  <w:num w:numId="23">
    <w:abstractNumId w:val="10"/>
  </w:num>
  <w:num w:numId="24">
    <w:abstractNumId w:val="21"/>
  </w:num>
  <w:num w:numId="25">
    <w:abstractNumId w:val="0"/>
  </w:num>
  <w:num w:numId="26">
    <w:abstractNumId w:val="13"/>
  </w:num>
  <w:num w:numId="27">
    <w:abstractNumId w:val="37"/>
  </w:num>
  <w:num w:numId="28">
    <w:abstractNumId w:val="27"/>
  </w:num>
  <w:num w:numId="29">
    <w:abstractNumId w:val="33"/>
  </w:num>
  <w:num w:numId="30">
    <w:abstractNumId w:val="2"/>
  </w:num>
  <w:num w:numId="31">
    <w:abstractNumId w:val="43"/>
  </w:num>
  <w:num w:numId="32">
    <w:abstractNumId w:val="29"/>
  </w:num>
  <w:num w:numId="33">
    <w:abstractNumId w:val="18"/>
  </w:num>
  <w:num w:numId="34">
    <w:abstractNumId w:val="24"/>
  </w:num>
  <w:num w:numId="35">
    <w:abstractNumId w:val="3"/>
  </w:num>
  <w:num w:numId="36">
    <w:abstractNumId w:val="17"/>
  </w:num>
  <w:num w:numId="37">
    <w:abstractNumId w:val="14"/>
  </w:num>
  <w:num w:numId="38">
    <w:abstractNumId w:val="22"/>
  </w:num>
  <w:num w:numId="39">
    <w:abstractNumId w:val="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8"/>
  </w:num>
  <w:num w:numId="43">
    <w:abstractNumId w:val="31"/>
  </w:num>
  <w:num w:numId="44">
    <w:abstractNumId w:val="39"/>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667"/>
    <w:rsid w:val="0000683B"/>
    <w:rsid w:val="00010592"/>
    <w:rsid w:val="00011DBE"/>
    <w:rsid w:val="000120EB"/>
    <w:rsid w:val="000128E2"/>
    <w:rsid w:val="00017DE2"/>
    <w:rsid w:val="00020858"/>
    <w:rsid w:val="000213DD"/>
    <w:rsid w:val="00024564"/>
    <w:rsid w:val="00024BA5"/>
    <w:rsid w:val="000254A5"/>
    <w:rsid w:val="00025D5C"/>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8DF"/>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6419"/>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0096"/>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292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0522B"/>
    <w:rsid w:val="00210743"/>
    <w:rsid w:val="002118B2"/>
    <w:rsid w:val="0021222F"/>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0E57"/>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3DE4"/>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2E2"/>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20CA"/>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3CCF"/>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3E10"/>
    <w:rsid w:val="005F40F5"/>
    <w:rsid w:val="005F6B28"/>
    <w:rsid w:val="005F7C7A"/>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32EB"/>
    <w:rsid w:val="006C4FFB"/>
    <w:rsid w:val="006C7BCB"/>
    <w:rsid w:val="006D0052"/>
    <w:rsid w:val="006D16AC"/>
    <w:rsid w:val="006D2575"/>
    <w:rsid w:val="006D5CAB"/>
    <w:rsid w:val="006E0F76"/>
    <w:rsid w:val="006E1429"/>
    <w:rsid w:val="006E2881"/>
    <w:rsid w:val="006E4522"/>
    <w:rsid w:val="006E4F8A"/>
    <w:rsid w:val="006E6682"/>
    <w:rsid w:val="006E673C"/>
    <w:rsid w:val="006F1EDB"/>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4A91"/>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16E"/>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7B9"/>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3316"/>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0C80"/>
    <w:rsid w:val="00AD394D"/>
    <w:rsid w:val="00AD466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73E"/>
    <w:rsid w:val="00B0598C"/>
    <w:rsid w:val="00B05C4B"/>
    <w:rsid w:val="00B05D21"/>
    <w:rsid w:val="00B10D6F"/>
    <w:rsid w:val="00B11E54"/>
    <w:rsid w:val="00B124AA"/>
    <w:rsid w:val="00B2081E"/>
    <w:rsid w:val="00B21966"/>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1020"/>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177FD"/>
    <w:rsid w:val="00C229BF"/>
    <w:rsid w:val="00C25779"/>
    <w:rsid w:val="00C3150F"/>
    <w:rsid w:val="00C331DC"/>
    <w:rsid w:val="00C338DB"/>
    <w:rsid w:val="00C33B68"/>
    <w:rsid w:val="00C3580C"/>
    <w:rsid w:val="00C37602"/>
    <w:rsid w:val="00C47C47"/>
    <w:rsid w:val="00C511AC"/>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2EAA"/>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4BE8"/>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4D0C"/>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432E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A898-869C-4791-AA59-0521792C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4</Pages>
  <Words>1357</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196</cp:revision>
  <cp:lastPrinted>2017-12-13T19:55:00Z</cp:lastPrinted>
  <dcterms:created xsi:type="dcterms:W3CDTF">2016-10-05T20:00:00Z</dcterms:created>
  <dcterms:modified xsi:type="dcterms:W3CDTF">2017-12-14T13:57:00Z</dcterms:modified>
</cp:coreProperties>
</file>