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88783A" w:rsidRDefault="0088783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CF2896">
        <w:rPr>
          <w:rFonts w:ascii="Arial" w:hAnsi="Arial" w:cs="Arial"/>
          <w:b/>
          <w:bCs/>
          <w:iCs/>
          <w:sz w:val="26"/>
          <w:szCs w:val="22"/>
          <w:lang w:val="es-CR"/>
        </w:rPr>
        <w:t>-</w:t>
      </w:r>
      <w:r w:rsidR="00F90B8E">
        <w:rPr>
          <w:rFonts w:ascii="Arial" w:hAnsi="Arial" w:cs="Arial"/>
          <w:b/>
          <w:bCs/>
          <w:iCs/>
          <w:sz w:val="26"/>
          <w:szCs w:val="22"/>
          <w:lang w:val="es-CR"/>
        </w:rPr>
        <w:t>013</w:t>
      </w:r>
      <w:r w:rsidR="00CF2896">
        <w:rPr>
          <w:rFonts w:ascii="Arial" w:hAnsi="Arial" w:cs="Arial"/>
          <w:b/>
          <w:bCs/>
          <w:iCs/>
          <w:sz w:val="26"/>
          <w:szCs w:val="22"/>
          <w:lang w:val="es-CR"/>
        </w:rPr>
        <w:t>-</w:t>
      </w:r>
      <w:r w:rsidRPr="00D958BC">
        <w:rPr>
          <w:rFonts w:ascii="Arial" w:hAnsi="Arial" w:cs="Arial"/>
          <w:b/>
          <w:bCs/>
          <w:iCs/>
          <w:sz w:val="26"/>
          <w:szCs w:val="22"/>
          <w:lang w:val="es-CR"/>
        </w:rPr>
        <w:t>201</w:t>
      </w:r>
      <w:r w:rsidR="001705D8">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CF2896" w:rsidRDefault="00451E40" w:rsidP="00CF2896">
            <w:pPr>
              <w:jc w:val="both"/>
              <w:rPr>
                <w:rFonts w:ascii="Arial" w:eastAsia="Cambria" w:hAnsi="Arial" w:cs="Arial"/>
                <w:sz w:val="22"/>
                <w:szCs w:val="22"/>
                <w:lang w:val="es-ES_tradnl" w:eastAsia="en-US"/>
              </w:rPr>
            </w:pPr>
            <w:r w:rsidRPr="001705D8">
              <w:rPr>
                <w:rFonts w:ascii="Arial" w:eastAsia="Cambria" w:hAnsi="Arial" w:cs="Arial"/>
                <w:sz w:val="22"/>
                <w:szCs w:val="22"/>
                <w:lang w:val="es-ES_tradnl" w:eastAsia="en-US"/>
              </w:rPr>
              <w:t xml:space="preserve"> </w:t>
            </w:r>
            <w:r w:rsidR="00190010" w:rsidRPr="001705D8">
              <w:rPr>
                <w:rFonts w:ascii="Arial" w:eastAsia="Cambria" w:hAnsi="Arial" w:cs="Arial"/>
                <w:sz w:val="22"/>
                <w:szCs w:val="22"/>
                <w:lang w:val="es-ES_tradnl" w:eastAsia="en-US"/>
              </w:rPr>
              <w:t>Dr. Julio Calvo Alvarado</w:t>
            </w:r>
            <w:r w:rsidR="0090700F" w:rsidRPr="001705D8">
              <w:rPr>
                <w:rFonts w:ascii="Arial" w:eastAsia="Cambria" w:hAnsi="Arial" w:cs="Arial"/>
                <w:sz w:val="22"/>
                <w:szCs w:val="22"/>
                <w:lang w:val="es-ES_tradnl" w:eastAsia="en-US"/>
              </w:rPr>
              <w:t>, Rector</w:t>
            </w:r>
          </w:p>
          <w:p w:rsidR="00E42914" w:rsidRPr="001705D8" w:rsidRDefault="00E42914" w:rsidP="00CF289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Humberto Villalta, Vicerrector de Administración </w:t>
            </w:r>
          </w:p>
          <w:p w:rsidR="00DB25EE" w:rsidRPr="000F473C" w:rsidRDefault="0088783A" w:rsidP="001705D8">
            <w:pPr>
              <w:jc w:val="both"/>
              <w:rPr>
                <w:rFonts w:ascii="Arial" w:eastAsia="Cambria" w:hAnsi="Arial" w:cs="Arial"/>
                <w:sz w:val="22"/>
                <w:szCs w:val="22"/>
                <w:lang w:val="es-ES_tradnl" w:eastAsia="en-US"/>
              </w:rPr>
            </w:pPr>
            <w:r>
              <w:rPr>
                <w:rFonts w:ascii="Arial" w:eastAsia="Cambria" w:hAnsi="Arial" w:cs="Arial"/>
                <w:sz w:val="20"/>
                <w:szCs w:val="20"/>
                <w:lang w:val="es-ES_tradnl" w:eastAsia="en-US"/>
              </w:rPr>
              <w:t xml:space="preserve"> </w:t>
            </w: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4D64F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1705D8">
              <w:rPr>
                <w:rFonts w:ascii="Arial" w:eastAsia="Cambria" w:hAnsi="Arial" w:cs="Arial"/>
                <w:b/>
                <w:sz w:val="22"/>
                <w:szCs w:val="22"/>
                <w:lang w:val="es-ES_tradnl" w:eastAsia="en-US"/>
              </w:rPr>
              <w:t>7</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190010">
              <w:rPr>
                <w:rFonts w:ascii="Arial" w:eastAsia="Cambria" w:hAnsi="Arial" w:cs="Arial"/>
                <w:b/>
                <w:sz w:val="22"/>
                <w:szCs w:val="22"/>
                <w:lang w:val="es-ES_tradnl" w:eastAsia="en-US"/>
              </w:rPr>
              <w:t>e</w:t>
            </w:r>
            <w:r w:rsidR="001705D8">
              <w:rPr>
                <w:rFonts w:ascii="Arial" w:eastAsia="Cambria" w:hAnsi="Arial" w:cs="Arial"/>
                <w:b/>
                <w:sz w:val="22"/>
                <w:szCs w:val="22"/>
                <w:lang w:val="es-ES_tradnl" w:eastAsia="en-US"/>
              </w:rPr>
              <w:t>nero</w:t>
            </w:r>
            <w:r w:rsidR="007742A1" w:rsidRPr="00267FAF">
              <w:rPr>
                <w:rFonts w:ascii="Arial" w:eastAsia="Cambria" w:hAnsi="Arial" w:cs="Arial"/>
                <w:b/>
                <w:sz w:val="22"/>
                <w:szCs w:val="22"/>
                <w:lang w:val="es-ES_tradnl" w:eastAsia="en-US"/>
              </w:rPr>
              <w:t xml:space="preserve"> de 201</w:t>
            </w:r>
            <w:r w:rsidR="001705D8">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705D8" w:rsidRPr="00CF2896" w:rsidRDefault="007742A1" w:rsidP="001705D8">
            <w:pPr>
              <w:jc w:val="both"/>
              <w:rPr>
                <w:b/>
                <w:sz w:val="22"/>
                <w:szCs w:val="22"/>
                <w:lang w:val="es-MX"/>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C514F3">
              <w:rPr>
                <w:rFonts w:ascii="Arial" w:eastAsia="Calibri" w:hAnsi="Arial" w:cs="Arial"/>
                <w:b/>
                <w:sz w:val="22"/>
                <w:szCs w:val="22"/>
              </w:rPr>
              <w:t>5</w:t>
            </w:r>
            <w:r w:rsidR="001705D8">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F90B8E">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4D64F9">
              <w:rPr>
                <w:rFonts w:ascii="Arial" w:eastAsia="Calibri" w:hAnsi="Arial" w:cs="Arial"/>
                <w:b/>
                <w:sz w:val="22"/>
                <w:szCs w:val="22"/>
              </w:rPr>
              <w:t>1</w:t>
            </w:r>
            <w:r w:rsidR="001705D8">
              <w:rPr>
                <w:rFonts w:ascii="Arial" w:eastAsia="Calibri" w:hAnsi="Arial" w:cs="Arial"/>
                <w:b/>
                <w:sz w:val="22"/>
                <w:szCs w:val="22"/>
              </w:rPr>
              <w:t>7</w:t>
            </w:r>
            <w:r w:rsidRPr="00267FAF">
              <w:rPr>
                <w:rFonts w:ascii="Arial" w:eastAsia="Calibri" w:hAnsi="Arial" w:cs="Arial"/>
                <w:b/>
                <w:sz w:val="22"/>
                <w:szCs w:val="22"/>
              </w:rPr>
              <w:t xml:space="preserve"> de </w:t>
            </w:r>
            <w:r w:rsidR="001705D8">
              <w:rPr>
                <w:rFonts w:ascii="Arial" w:eastAsia="Calibri" w:hAnsi="Arial" w:cs="Arial"/>
                <w:b/>
                <w:sz w:val="22"/>
                <w:szCs w:val="22"/>
              </w:rPr>
              <w:t>enero de 2018</w:t>
            </w:r>
            <w:r w:rsidR="00457DD8">
              <w:rPr>
                <w:rFonts w:ascii="Arial" w:eastAsia="Calibri" w:hAnsi="Arial" w:cs="Arial"/>
                <w:b/>
                <w:sz w:val="22"/>
                <w:szCs w:val="22"/>
              </w:rPr>
              <w:t xml:space="preserve">.  </w:t>
            </w:r>
            <w:r w:rsidR="001705D8">
              <w:rPr>
                <w:rFonts w:ascii="Arial" w:eastAsia="Calibri" w:hAnsi="Arial" w:cs="Arial"/>
                <w:b/>
                <w:sz w:val="22"/>
                <w:szCs w:val="22"/>
              </w:rPr>
              <w:t>Solicitud de modelos y plan para la atención de servicios de alimentación, limpieza y seguridad en las Sedes y Centros Académicos del ITCR</w:t>
            </w:r>
          </w:p>
          <w:p w:rsidR="00C514F3" w:rsidRPr="00CF2896" w:rsidRDefault="00C514F3" w:rsidP="001705D8">
            <w:pPr>
              <w:ind w:left="428"/>
              <w:jc w:val="both"/>
              <w:rPr>
                <w:b/>
                <w:sz w:val="22"/>
                <w:szCs w:val="22"/>
                <w:lang w:val="es-MX"/>
              </w:rPr>
            </w:pPr>
          </w:p>
        </w:tc>
      </w:tr>
    </w:tbl>
    <w:p w:rsidR="004D64F9" w:rsidRDefault="004D64F9"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F2896" w:rsidRDefault="00CF2896" w:rsidP="007742A1">
      <w:pPr>
        <w:jc w:val="both"/>
        <w:rPr>
          <w:rFonts w:ascii="Arial" w:eastAsia="Cambria" w:hAnsi="Arial" w:cs="Arial"/>
          <w:lang w:val="es-ES_tradnl" w:eastAsia="en-US"/>
        </w:rPr>
      </w:pPr>
    </w:p>
    <w:p w:rsidR="00F90B8E" w:rsidRPr="00F90B8E" w:rsidRDefault="00F90B8E" w:rsidP="00F90B8E">
      <w:pPr>
        <w:pBdr>
          <w:top w:val="nil"/>
          <w:left w:val="nil"/>
          <w:bottom w:val="nil"/>
          <w:right w:val="nil"/>
          <w:between w:val="nil"/>
        </w:pBdr>
        <w:spacing w:after="160" w:line="259" w:lineRule="auto"/>
        <w:ind w:left="1440" w:hanging="1440"/>
        <w:jc w:val="both"/>
        <w:rPr>
          <w:rFonts w:ascii="Arial" w:eastAsia="Arial" w:hAnsi="Arial" w:cs="Arial"/>
          <w:b/>
          <w:smallCaps/>
          <w:color w:val="000000"/>
          <w:sz w:val="22"/>
          <w:szCs w:val="22"/>
          <w:lang w:val="es-CR" w:eastAsia="es-CR"/>
        </w:rPr>
      </w:pPr>
      <w:r w:rsidRPr="00F90B8E">
        <w:rPr>
          <w:rFonts w:ascii="Arial" w:eastAsia="Arial" w:hAnsi="Arial" w:cs="Arial"/>
          <w:b/>
          <w:smallCaps/>
          <w:color w:val="000000"/>
          <w:sz w:val="22"/>
          <w:szCs w:val="22"/>
          <w:lang w:val="es-CR" w:eastAsia="es-CR"/>
        </w:rPr>
        <w:t>RESULTANDO QUE</w:t>
      </w:r>
      <w:r w:rsidRPr="00F90B8E">
        <w:rPr>
          <w:rFonts w:ascii="Arial" w:eastAsia="Cambria" w:hAnsi="Arial" w:cs="Arial"/>
          <w:b/>
          <w:caps/>
          <w:lang w:val="es-ES_tradnl" w:eastAsia="en-US"/>
        </w:rPr>
        <w:t>:</w:t>
      </w:r>
      <w:r w:rsidRPr="00F90B8E">
        <w:rPr>
          <w:rFonts w:ascii="Arial" w:eastAsia="Arial" w:hAnsi="Arial" w:cs="Arial"/>
          <w:b/>
          <w:smallCaps/>
          <w:color w:val="000000"/>
          <w:sz w:val="22"/>
          <w:szCs w:val="22"/>
          <w:lang w:val="es-CR" w:eastAsia="es-CR"/>
        </w:rPr>
        <w:t xml:space="preserve"> </w:t>
      </w:r>
    </w:p>
    <w:p w:rsidR="00F90B8E" w:rsidRPr="00F90B8E" w:rsidRDefault="00F90B8E" w:rsidP="00F90B8E">
      <w:pPr>
        <w:pBdr>
          <w:top w:val="nil"/>
          <w:left w:val="nil"/>
          <w:bottom w:val="nil"/>
          <w:right w:val="nil"/>
          <w:between w:val="nil"/>
        </w:pBdr>
        <w:jc w:val="both"/>
        <w:rPr>
          <w:rFonts w:ascii="Arial" w:eastAsia="Arial" w:hAnsi="Arial" w:cs="Arial"/>
          <w:b/>
          <w:color w:val="000000"/>
          <w:sz w:val="22"/>
          <w:szCs w:val="22"/>
          <w:lang w:val="es-CR" w:eastAsia="es-CR"/>
        </w:rPr>
      </w:pPr>
    </w:p>
    <w:p w:rsidR="00F90B8E" w:rsidRPr="00F90B8E" w:rsidRDefault="00F90B8E" w:rsidP="00F90B8E">
      <w:pPr>
        <w:numPr>
          <w:ilvl w:val="0"/>
          <w:numId w:val="27"/>
        </w:numPr>
        <w:pBdr>
          <w:top w:val="nil"/>
          <w:left w:val="nil"/>
          <w:bottom w:val="nil"/>
          <w:right w:val="nil"/>
          <w:between w:val="nil"/>
        </w:pBdr>
        <w:spacing w:after="160" w:line="259" w:lineRule="auto"/>
        <w:ind w:left="426"/>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El Estatuto Orgánico del Instituto Tecnológico de Costa Rica, en el artículo 18, establece:</w:t>
      </w:r>
    </w:p>
    <w:p w:rsidR="00F90B8E" w:rsidRPr="00F90B8E" w:rsidRDefault="00F90B8E" w:rsidP="00F90B8E">
      <w:pPr>
        <w:pBdr>
          <w:top w:val="nil"/>
          <w:left w:val="nil"/>
          <w:bottom w:val="nil"/>
          <w:right w:val="nil"/>
          <w:between w:val="nil"/>
        </w:pBdr>
        <w:ind w:left="720"/>
        <w:contextualSpacing/>
        <w:jc w:val="both"/>
        <w:rPr>
          <w:rFonts w:ascii="Arial" w:eastAsia="Arial" w:hAnsi="Arial" w:cs="Arial"/>
          <w:color w:val="000000"/>
          <w:lang w:val="es-CR" w:eastAsia="es-CR"/>
        </w:rPr>
      </w:pPr>
    </w:p>
    <w:p w:rsidR="00F90B8E" w:rsidRDefault="00F90B8E" w:rsidP="00F90B8E">
      <w:pPr>
        <w:ind w:left="720" w:right="430"/>
        <w:jc w:val="both"/>
        <w:rPr>
          <w:rFonts w:ascii="Arial" w:hAnsi="Arial" w:cs="Arial"/>
          <w:b/>
          <w:i/>
          <w:sz w:val="22"/>
          <w:szCs w:val="22"/>
          <w:lang w:val="es-ES_tradnl"/>
        </w:rPr>
      </w:pPr>
      <w:r w:rsidRPr="00F90B8E">
        <w:rPr>
          <w:rFonts w:ascii="Arial" w:hAnsi="Arial" w:cs="Arial"/>
          <w:b/>
          <w:i/>
          <w:sz w:val="20"/>
          <w:szCs w:val="20"/>
          <w:lang w:val="es-ES_tradnl"/>
        </w:rPr>
        <w:t>“</w:t>
      </w:r>
      <w:r w:rsidRPr="00F90B8E">
        <w:rPr>
          <w:rFonts w:ascii="Arial" w:hAnsi="Arial" w:cs="Arial"/>
          <w:b/>
          <w:i/>
          <w:sz w:val="22"/>
          <w:szCs w:val="22"/>
          <w:lang w:val="es-ES_tradnl"/>
        </w:rPr>
        <w:t xml:space="preserve">ARTÍCULO 18 </w:t>
      </w:r>
    </w:p>
    <w:p w:rsidR="00F90B8E" w:rsidRPr="00F90B8E" w:rsidRDefault="00F90B8E" w:rsidP="00F90B8E">
      <w:pPr>
        <w:ind w:left="720" w:right="430"/>
        <w:jc w:val="both"/>
        <w:rPr>
          <w:rFonts w:ascii="Arial" w:hAnsi="Arial" w:cs="Arial"/>
          <w:b/>
          <w:i/>
          <w:sz w:val="22"/>
          <w:szCs w:val="22"/>
          <w:lang w:val="es-ES_tradnl"/>
        </w:rPr>
      </w:pPr>
    </w:p>
    <w:p w:rsidR="00F90B8E" w:rsidRDefault="00F90B8E" w:rsidP="00F90B8E">
      <w:pPr>
        <w:ind w:left="720" w:right="430"/>
        <w:jc w:val="both"/>
        <w:rPr>
          <w:rFonts w:ascii="Arial" w:hAnsi="Arial" w:cs="Arial"/>
          <w:i/>
          <w:sz w:val="22"/>
          <w:szCs w:val="22"/>
          <w:lang w:val="es-ES_tradnl"/>
        </w:rPr>
      </w:pPr>
      <w:r w:rsidRPr="00F90B8E">
        <w:rPr>
          <w:rFonts w:ascii="Arial" w:hAnsi="Arial" w:cs="Arial"/>
          <w:i/>
          <w:sz w:val="22"/>
          <w:szCs w:val="22"/>
          <w:lang w:val="es-ES_tradnl"/>
        </w:rPr>
        <w:t xml:space="preserve">Son funciones del Consejo Institucional: </w:t>
      </w:r>
    </w:p>
    <w:p w:rsidR="00F90B8E" w:rsidRPr="00F90B8E" w:rsidRDefault="00F90B8E" w:rsidP="00F90B8E">
      <w:pPr>
        <w:ind w:left="720" w:right="430"/>
        <w:jc w:val="both"/>
        <w:rPr>
          <w:rFonts w:ascii="Arial" w:hAnsi="Arial" w:cs="Arial"/>
          <w:i/>
          <w:sz w:val="22"/>
          <w:szCs w:val="22"/>
          <w:lang w:val="es-ES_tradnl"/>
        </w:rPr>
      </w:pPr>
    </w:p>
    <w:p w:rsidR="00F90B8E" w:rsidRPr="00F90B8E" w:rsidRDefault="00F90B8E" w:rsidP="00F90B8E">
      <w:pPr>
        <w:numPr>
          <w:ilvl w:val="0"/>
          <w:numId w:val="29"/>
        </w:numPr>
        <w:pBdr>
          <w:top w:val="nil"/>
          <w:left w:val="nil"/>
          <w:bottom w:val="nil"/>
          <w:right w:val="nil"/>
          <w:between w:val="nil"/>
        </w:pBdr>
        <w:spacing w:after="160" w:line="259" w:lineRule="auto"/>
        <w:ind w:left="1134" w:right="430" w:hanging="425"/>
        <w:jc w:val="both"/>
        <w:rPr>
          <w:rFonts w:ascii="Arial" w:hAnsi="Arial" w:cs="Arial"/>
          <w:i/>
          <w:sz w:val="22"/>
          <w:szCs w:val="22"/>
          <w:lang w:val="es-ES_tradnl"/>
        </w:rPr>
      </w:pPr>
      <w:r w:rsidRPr="00F90B8E">
        <w:rPr>
          <w:rFonts w:ascii="Arial" w:hAnsi="Arial" w:cs="Arial"/>
          <w:i/>
          <w:sz w:val="22"/>
          <w:szCs w:val="22"/>
          <w:lang w:val="es-ES_tradnl"/>
        </w:rPr>
        <w:t>Decidir, previa consulta al Consejo de Vicerrectoría respectivo, sobre la creación, modificación, traslado, o eliminación de carreras y programas del Instituto 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w:t>
      </w:r>
    </w:p>
    <w:p w:rsidR="00F90B8E" w:rsidRPr="00F90B8E" w:rsidRDefault="00F90B8E" w:rsidP="00F90B8E">
      <w:pPr>
        <w:numPr>
          <w:ilvl w:val="0"/>
          <w:numId w:val="29"/>
        </w:numPr>
        <w:pBdr>
          <w:top w:val="nil"/>
          <w:left w:val="nil"/>
          <w:bottom w:val="nil"/>
          <w:right w:val="nil"/>
          <w:between w:val="nil"/>
        </w:pBdr>
        <w:spacing w:after="160" w:line="259" w:lineRule="auto"/>
        <w:ind w:left="1134" w:right="430" w:hanging="425"/>
        <w:jc w:val="both"/>
        <w:rPr>
          <w:rFonts w:ascii="Arial" w:hAnsi="Arial" w:cs="Arial"/>
          <w:i/>
          <w:sz w:val="22"/>
          <w:szCs w:val="22"/>
          <w:lang w:val="es-ES_tradnl"/>
        </w:rPr>
      </w:pPr>
      <w:r w:rsidRPr="00F90B8E">
        <w:rPr>
          <w:rFonts w:ascii="Arial" w:hAnsi="Arial" w:cs="Arial"/>
          <w:i/>
          <w:sz w:val="22"/>
          <w:szCs w:val="22"/>
          <w:lang w:val="es-ES_tradnl"/>
        </w:rPr>
        <w:t>Aprobar el Plan estratégico institucional y los Planes anuales operativos, el presupuesto del Instituto, y los indicadores de gestión, de acuerdo con lo establecido en el Estatuto Orgánico y en la reglamentación respectiva”.</w:t>
      </w:r>
    </w:p>
    <w:p w:rsidR="00F90B8E" w:rsidRPr="00F90B8E" w:rsidRDefault="00F90B8E" w:rsidP="00F90B8E">
      <w:pPr>
        <w:ind w:left="1134" w:right="430" w:hanging="425"/>
        <w:jc w:val="both"/>
        <w:rPr>
          <w:rFonts w:ascii="Arial" w:eastAsia="Arial" w:hAnsi="Arial" w:cs="Arial"/>
          <w:i/>
          <w:sz w:val="22"/>
          <w:szCs w:val="22"/>
        </w:rPr>
      </w:pPr>
      <w:r w:rsidRPr="00F90B8E">
        <w:rPr>
          <w:rFonts w:ascii="Verdana" w:hAnsi="Verdana"/>
          <w:sz w:val="22"/>
          <w:szCs w:val="22"/>
        </w:rPr>
        <w:t xml:space="preserve">k. </w:t>
      </w:r>
      <w:r w:rsidRPr="00F90B8E">
        <w:rPr>
          <w:rFonts w:ascii="Arial" w:hAnsi="Arial" w:cs="Arial"/>
          <w:i/>
          <w:sz w:val="22"/>
          <w:szCs w:val="22"/>
        </w:rPr>
        <w:t>Velar por el trato justo a todos los miembros de la comunidad del Instituto</w:t>
      </w:r>
      <w:r w:rsidRPr="00F90B8E">
        <w:rPr>
          <w:rFonts w:ascii="Arial" w:eastAsia="Arial" w:hAnsi="Arial" w:cs="Arial"/>
          <w:i/>
          <w:sz w:val="22"/>
          <w:szCs w:val="22"/>
        </w:rPr>
        <w:t>...</w:t>
      </w:r>
      <w:r>
        <w:rPr>
          <w:rFonts w:ascii="Arial" w:eastAsia="Arial" w:hAnsi="Arial" w:cs="Arial"/>
          <w:i/>
          <w:sz w:val="22"/>
          <w:szCs w:val="22"/>
        </w:rPr>
        <w:t>”</w:t>
      </w:r>
    </w:p>
    <w:p w:rsidR="00F90B8E" w:rsidRPr="00F90B8E" w:rsidRDefault="00F90B8E" w:rsidP="00F90B8E">
      <w:pPr>
        <w:ind w:left="360" w:right="430"/>
        <w:jc w:val="both"/>
        <w:rPr>
          <w:rFonts w:ascii="Arial" w:hAnsi="Arial" w:cs="Arial"/>
          <w:i/>
          <w:sz w:val="22"/>
          <w:szCs w:val="22"/>
          <w:lang w:val="es-ES_tradnl"/>
        </w:rPr>
      </w:pPr>
    </w:p>
    <w:p w:rsidR="00F90B8E" w:rsidRPr="00F90B8E" w:rsidRDefault="00F90B8E" w:rsidP="00F90B8E">
      <w:pPr>
        <w:numPr>
          <w:ilvl w:val="0"/>
          <w:numId w:val="27"/>
        </w:numPr>
        <w:pBdr>
          <w:top w:val="nil"/>
          <w:left w:val="nil"/>
          <w:bottom w:val="nil"/>
          <w:right w:val="nil"/>
          <w:between w:val="nil"/>
        </w:pBdr>
        <w:spacing w:after="160" w:line="259" w:lineRule="auto"/>
        <w:contextualSpacing/>
        <w:jc w:val="both"/>
        <w:rPr>
          <w:rFonts w:ascii="Arial" w:eastAsia="Arial" w:hAnsi="Arial" w:cs="Arial"/>
          <w:i/>
          <w:color w:val="000000"/>
          <w:sz w:val="21"/>
          <w:szCs w:val="21"/>
          <w:lang w:val="es-CR" w:eastAsia="es-CR"/>
        </w:rPr>
      </w:pPr>
      <w:r w:rsidRPr="00F90B8E">
        <w:rPr>
          <w:rFonts w:ascii="Arial" w:eastAsia="Arial" w:hAnsi="Arial" w:cs="Arial"/>
          <w:color w:val="000000"/>
          <w:lang w:val="es-CR" w:eastAsia="es-CR"/>
        </w:rPr>
        <w:t>Asimismo, el Artículo 3, incisos g y h, del Estatuto Orgánico del ITCR, dicen:</w:t>
      </w:r>
    </w:p>
    <w:p w:rsidR="00F90B8E" w:rsidRPr="00F90B8E" w:rsidRDefault="00F90B8E" w:rsidP="00F90B8E">
      <w:pPr>
        <w:spacing w:before="100" w:beforeAutospacing="1" w:after="100" w:afterAutospacing="1"/>
        <w:ind w:left="1134" w:hanging="425"/>
        <w:rPr>
          <w:rFonts w:ascii="Arial" w:hAnsi="Arial" w:cs="Arial"/>
          <w:i/>
          <w:sz w:val="22"/>
          <w:szCs w:val="22"/>
          <w:lang w:val="es-CR" w:eastAsia="es-CR"/>
        </w:rPr>
      </w:pPr>
      <w:r w:rsidRPr="00F90B8E">
        <w:rPr>
          <w:rFonts w:ascii="Arial" w:hAnsi="Arial" w:cs="Arial"/>
          <w:i/>
          <w:sz w:val="22"/>
          <w:szCs w:val="22"/>
          <w:lang w:val="es-CR" w:eastAsia="es-CR"/>
        </w:rPr>
        <w:t>“g. La igualdad de oportunidades para el ingreso y permanencia de los estudiantes en la Institución</w:t>
      </w:r>
    </w:p>
    <w:p w:rsidR="00F90B8E" w:rsidRPr="00F90B8E" w:rsidRDefault="00F90B8E" w:rsidP="00F90B8E">
      <w:pPr>
        <w:spacing w:before="100" w:beforeAutospacing="1" w:after="100" w:afterAutospacing="1"/>
        <w:ind w:left="1134" w:hanging="425"/>
        <w:rPr>
          <w:rFonts w:ascii="Arial" w:eastAsia="Arial" w:hAnsi="Arial" w:cs="Arial"/>
          <w:i/>
          <w:sz w:val="22"/>
          <w:szCs w:val="22"/>
          <w:lang w:val="es-CR" w:eastAsia="es-CR"/>
        </w:rPr>
      </w:pPr>
      <w:r w:rsidRPr="00F90B8E">
        <w:rPr>
          <w:rFonts w:ascii="Arial" w:hAnsi="Arial" w:cs="Arial"/>
          <w:i/>
          <w:sz w:val="22"/>
          <w:szCs w:val="22"/>
          <w:lang w:val="es-CR" w:eastAsia="es-CR"/>
        </w:rPr>
        <w:t>h. La evaluación permanente de los resultados de las labores de la Institución y de cada uno de sus integrantes”.</w:t>
      </w:r>
    </w:p>
    <w:p w:rsidR="00F90B8E" w:rsidRPr="00F90B8E" w:rsidRDefault="00F90B8E" w:rsidP="00F90B8E">
      <w:pPr>
        <w:numPr>
          <w:ilvl w:val="0"/>
          <w:numId w:val="27"/>
        </w:numPr>
        <w:pBdr>
          <w:top w:val="nil"/>
          <w:left w:val="nil"/>
          <w:bottom w:val="nil"/>
          <w:right w:val="nil"/>
          <w:between w:val="nil"/>
        </w:pBdr>
        <w:spacing w:after="160" w:line="259" w:lineRule="auto"/>
        <w:contextualSpacing/>
        <w:jc w:val="both"/>
        <w:rPr>
          <w:rFonts w:ascii="Arial" w:eastAsia="Arial" w:hAnsi="Arial" w:cs="Arial"/>
          <w:i/>
          <w:color w:val="000000"/>
          <w:lang w:val="es-CR" w:eastAsia="es-CR"/>
        </w:rPr>
      </w:pPr>
      <w:r w:rsidRPr="00F90B8E">
        <w:rPr>
          <w:rFonts w:ascii="Arial" w:eastAsia="Arial" w:hAnsi="Arial" w:cs="Arial"/>
          <w:color w:val="000000"/>
          <w:lang w:val="es-CR" w:eastAsia="es-CR"/>
        </w:rPr>
        <w:lastRenderedPageBreak/>
        <w:t>E</w:t>
      </w:r>
      <w:r w:rsidRPr="00F90B8E">
        <w:rPr>
          <w:rFonts w:ascii="Arial" w:eastAsia="Arial" w:hAnsi="Arial" w:cs="Arial"/>
          <w:color w:val="111111"/>
          <w:lang w:val="es-CR" w:eastAsia="es-CR"/>
        </w:rPr>
        <w:t xml:space="preserve">l </w:t>
      </w:r>
      <w:r w:rsidRPr="00F90B8E">
        <w:rPr>
          <w:rFonts w:ascii="Arial" w:eastAsia="Arial" w:hAnsi="Arial" w:cs="Arial"/>
          <w:color w:val="000000"/>
          <w:lang w:val="es-CR" w:eastAsia="es-CR"/>
        </w:rPr>
        <w:t>Consejo</w:t>
      </w:r>
      <w:r w:rsidRPr="00F90B8E">
        <w:rPr>
          <w:rFonts w:ascii="Arial" w:eastAsia="Arial" w:hAnsi="Arial" w:cs="Arial"/>
          <w:color w:val="111111"/>
          <w:lang w:val="es-CR" w:eastAsia="es-CR"/>
        </w:rPr>
        <w:t xml:space="preserve"> Institucional en la Sesión Ordinaria No. 2985, Artículo 10, del 17 de agosto de 2016, aprueba las Políticas Específicas del año 2017, entre las cuales se citan las siguientes y que están relacionadas con esta propuesta:</w:t>
      </w:r>
    </w:p>
    <w:p w:rsidR="00F90B8E" w:rsidRPr="00F90B8E" w:rsidRDefault="00F90B8E" w:rsidP="00F90B8E">
      <w:pPr>
        <w:pBdr>
          <w:top w:val="nil"/>
          <w:left w:val="nil"/>
          <w:bottom w:val="nil"/>
          <w:right w:val="nil"/>
          <w:between w:val="nil"/>
        </w:pBdr>
        <w:spacing w:after="280"/>
        <w:ind w:left="720"/>
        <w:contextualSpacing/>
        <w:jc w:val="center"/>
        <w:rPr>
          <w:rFonts w:ascii="Arial" w:eastAsia="Arial" w:hAnsi="Arial" w:cs="Arial"/>
          <w:i/>
          <w:color w:val="000000"/>
          <w:lang w:val="es-CR" w:eastAsia="es-CR"/>
        </w:rPr>
      </w:pPr>
    </w:p>
    <w:tbl>
      <w:tblPr>
        <w:tblW w:w="8364" w:type="dxa"/>
        <w:tblInd w:w="-10" w:type="dxa"/>
        <w:tblLayout w:type="fixed"/>
        <w:tblLook w:val="0400" w:firstRow="0" w:lastRow="0" w:firstColumn="0" w:lastColumn="0" w:noHBand="0" w:noVBand="1"/>
      </w:tblPr>
      <w:tblGrid>
        <w:gridCol w:w="4253"/>
        <w:gridCol w:w="4111"/>
      </w:tblGrid>
      <w:tr w:rsidR="00F90B8E" w:rsidRPr="00F90B8E" w:rsidTr="001D01D9">
        <w:trPr>
          <w:trHeight w:val="300"/>
        </w:trPr>
        <w:tc>
          <w:tcPr>
            <w:tcW w:w="4253" w:type="dxa"/>
            <w:tcBorders>
              <w:top w:val="single" w:sz="8" w:space="0" w:color="000000"/>
              <w:left w:val="single" w:sz="8" w:space="0" w:color="000000"/>
              <w:bottom w:val="single" w:sz="8" w:space="0" w:color="000000"/>
              <w:right w:val="single" w:sz="8" w:space="0" w:color="000000"/>
            </w:tcBorders>
            <w:shd w:val="clear" w:color="auto" w:fill="auto"/>
            <w:vAlign w:val="bottom"/>
          </w:tcPr>
          <w:p w:rsidR="00F90B8E" w:rsidRPr="00F90B8E" w:rsidRDefault="00F90B8E" w:rsidP="00F90B8E">
            <w:pPr>
              <w:pBdr>
                <w:top w:val="nil"/>
                <w:left w:val="nil"/>
                <w:bottom w:val="nil"/>
                <w:right w:val="nil"/>
                <w:between w:val="nil"/>
              </w:pBdr>
              <w:jc w:val="center"/>
              <w:rPr>
                <w:rFonts w:ascii="Arial" w:eastAsia="Calibri" w:hAnsi="Arial" w:cs="Arial"/>
                <w:b/>
                <w:color w:val="000000"/>
                <w:lang w:val="es-CR" w:eastAsia="es-CR"/>
              </w:rPr>
            </w:pPr>
            <w:r w:rsidRPr="00F90B8E">
              <w:rPr>
                <w:rFonts w:ascii="Arial" w:eastAsia="Calibri" w:hAnsi="Arial" w:cs="Arial"/>
                <w:b/>
                <w:color w:val="000000"/>
                <w:lang w:val="es-CR" w:eastAsia="es-CR"/>
              </w:rPr>
              <w:t>Políticas Generales</w:t>
            </w:r>
          </w:p>
        </w:tc>
        <w:tc>
          <w:tcPr>
            <w:tcW w:w="4111" w:type="dxa"/>
            <w:tcBorders>
              <w:top w:val="single" w:sz="8" w:space="0" w:color="000000"/>
              <w:left w:val="nil"/>
              <w:bottom w:val="single" w:sz="8" w:space="0" w:color="000000"/>
              <w:right w:val="single" w:sz="8" w:space="0" w:color="000000"/>
            </w:tcBorders>
            <w:shd w:val="clear" w:color="auto" w:fill="auto"/>
            <w:vAlign w:val="bottom"/>
          </w:tcPr>
          <w:p w:rsidR="00F90B8E" w:rsidRPr="00F90B8E" w:rsidRDefault="00F90B8E" w:rsidP="00F90B8E">
            <w:pPr>
              <w:pBdr>
                <w:top w:val="nil"/>
                <w:left w:val="nil"/>
                <w:bottom w:val="nil"/>
                <w:right w:val="nil"/>
                <w:between w:val="nil"/>
              </w:pBdr>
              <w:jc w:val="center"/>
              <w:rPr>
                <w:rFonts w:ascii="Arial" w:eastAsia="Calibri" w:hAnsi="Arial" w:cs="Arial"/>
                <w:b/>
                <w:color w:val="000000"/>
                <w:lang w:val="es-CR" w:eastAsia="es-CR"/>
              </w:rPr>
            </w:pPr>
            <w:r w:rsidRPr="00F90B8E">
              <w:rPr>
                <w:rFonts w:ascii="Arial" w:eastAsia="Calibri" w:hAnsi="Arial" w:cs="Arial"/>
                <w:b/>
                <w:color w:val="000000"/>
                <w:lang w:val="es-CR" w:eastAsia="es-CR"/>
              </w:rPr>
              <w:t>Políticas Específicas</w:t>
            </w:r>
          </w:p>
        </w:tc>
      </w:tr>
      <w:tr w:rsidR="00F90B8E" w:rsidRPr="00F90B8E" w:rsidTr="001D01D9">
        <w:trPr>
          <w:trHeight w:val="1540"/>
        </w:trPr>
        <w:tc>
          <w:tcPr>
            <w:tcW w:w="4253" w:type="dxa"/>
            <w:tcBorders>
              <w:top w:val="nil"/>
              <w:left w:val="single" w:sz="8" w:space="0" w:color="000000"/>
              <w:bottom w:val="single" w:sz="4" w:space="0" w:color="000000"/>
              <w:right w:val="single" w:sz="4" w:space="0" w:color="000000"/>
            </w:tcBorders>
            <w:shd w:val="clear" w:color="auto" w:fill="auto"/>
            <w:vAlign w:val="center"/>
          </w:tcPr>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r w:rsidRPr="00F90B8E">
              <w:rPr>
                <w:rFonts w:ascii="Arial" w:eastAsia="Arial" w:hAnsi="Arial" w:cs="Arial"/>
                <w:color w:val="4E4E4E"/>
                <w:lang w:val="es-CR" w:eastAsia="es-CR"/>
              </w:rPr>
              <w:t>4. Se planificarán y ejecutarán los procesos académicos, vida estudiantil y apoyo a la academia orientados a favorecer el impacto positivo sobre la salud integral y el ambiente.</w:t>
            </w:r>
          </w:p>
        </w:tc>
        <w:tc>
          <w:tcPr>
            <w:tcW w:w="4111" w:type="dxa"/>
            <w:tcBorders>
              <w:top w:val="nil"/>
              <w:left w:val="nil"/>
              <w:bottom w:val="single" w:sz="4" w:space="0" w:color="000000"/>
              <w:right w:val="single" w:sz="8" w:space="0" w:color="000000"/>
            </w:tcBorders>
            <w:shd w:val="clear" w:color="auto" w:fill="auto"/>
            <w:vAlign w:val="center"/>
          </w:tcPr>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r w:rsidRPr="00F90B8E">
              <w:rPr>
                <w:rFonts w:ascii="Arial" w:eastAsia="Arial" w:hAnsi="Arial" w:cs="Arial"/>
                <w:color w:val="4E4E4E"/>
                <w:lang w:val="es-CR" w:eastAsia="es-CR"/>
              </w:rPr>
              <w:t>4.1 Se fortalecerá el desarrollo de sistemas de gestión de los procesos institucionales que incluyan los aspectos de ambiente, calidad, seguridad y salud integral.</w:t>
            </w:r>
          </w:p>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p>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p>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p>
        </w:tc>
      </w:tr>
      <w:tr w:rsidR="00F90B8E" w:rsidRPr="00F90B8E" w:rsidTr="001D01D9">
        <w:trPr>
          <w:trHeight w:val="2160"/>
        </w:trPr>
        <w:tc>
          <w:tcPr>
            <w:tcW w:w="4253" w:type="dxa"/>
            <w:tcBorders>
              <w:top w:val="single" w:sz="4" w:space="0" w:color="000000"/>
              <w:left w:val="single" w:sz="8" w:space="0" w:color="000000"/>
              <w:right w:val="single" w:sz="4" w:space="0" w:color="000000"/>
            </w:tcBorders>
            <w:shd w:val="clear" w:color="auto" w:fill="auto"/>
            <w:vAlign w:val="center"/>
          </w:tcPr>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r w:rsidRPr="00F90B8E">
              <w:rPr>
                <w:rFonts w:ascii="Arial" w:eastAsia="Arial" w:hAnsi="Arial" w:cs="Arial"/>
                <w:color w:val="4E4E4E"/>
                <w:lang w:val="es-CR" w:eastAsia="es-CR"/>
              </w:rPr>
              <w:t>7. Se desarrollarán proyectos de investigación, extensión, acción social y desarrollo tecnológico, innovadores y de impacto científico, tecnológico y social conforme a los fines, principios, valores institucionales y a los ejes de conocimiento estratégicos.</w:t>
            </w:r>
          </w:p>
        </w:tc>
        <w:tc>
          <w:tcPr>
            <w:tcW w:w="4111" w:type="dxa"/>
            <w:tcBorders>
              <w:top w:val="single" w:sz="4" w:space="0" w:color="000000"/>
              <w:left w:val="nil"/>
              <w:right w:val="single" w:sz="8" w:space="0" w:color="000000"/>
            </w:tcBorders>
            <w:shd w:val="clear" w:color="auto" w:fill="auto"/>
            <w:vAlign w:val="center"/>
          </w:tcPr>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r w:rsidRPr="00F90B8E">
              <w:rPr>
                <w:rFonts w:ascii="Arial" w:eastAsia="Arial" w:hAnsi="Arial" w:cs="Arial"/>
                <w:color w:val="4E4E4E"/>
                <w:lang w:val="es-CR" w:eastAsia="es-CR"/>
              </w:rPr>
              <w:t>7.1 Se mejorarán las capacidades de las distintas instancias institucionales para el desarrollo de los procesos de innovación, investigación, extensión y acción social, según los ejes de conocimiento estratégicos.</w:t>
            </w:r>
          </w:p>
        </w:tc>
      </w:tr>
      <w:tr w:rsidR="00F90B8E" w:rsidRPr="00F90B8E" w:rsidTr="001D01D9">
        <w:trPr>
          <w:trHeight w:val="2780"/>
        </w:trPr>
        <w:tc>
          <w:tcPr>
            <w:tcW w:w="4253" w:type="dxa"/>
            <w:tcBorders>
              <w:left w:val="single" w:sz="8" w:space="0" w:color="000000"/>
              <w:bottom w:val="single" w:sz="4" w:space="0" w:color="000000"/>
              <w:right w:val="single" w:sz="4" w:space="0" w:color="000000"/>
            </w:tcBorders>
            <w:shd w:val="clear" w:color="auto" w:fill="auto"/>
            <w:vAlign w:val="center"/>
          </w:tcPr>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r w:rsidRPr="00F90B8E">
              <w:rPr>
                <w:rFonts w:ascii="Arial" w:eastAsia="Arial" w:hAnsi="Arial" w:cs="Arial"/>
                <w:color w:val="4E4E4E"/>
                <w:lang w:val="es-CR" w:eastAsia="es-CR"/>
              </w:rPr>
              <w:t>8. Se desarrollarán estrategias que contribuyan a mejorar el acceso, la vida estudiantil, la formación integral y el éxito académico para los estudiantes del ITCR, procurando la equidad de condiciones para las poblaciones vulnerables y de bajo nivel socioeconómico.</w:t>
            </w:r>
          </w:p>
        </w:tc>
        <w:tc>
          <w:tcPr>
            <w:tcW w:w="4111" w:type="dxa"/>
            <w:tcBorders>
              <w:left w:val="nil"/>
              <w:bottom w:val="single" w:sz="4" w:space="0" w:color="000000"/>
              <w:right w:val="single" w:sz="8" w:space="0" w:color="000000"/>
            </w:tcBorders>
            <w:shd w:val="clear" w:color="auto" w:fill="auto"/>
            <w:vAlign w:val="center"/>
          </w:tcPr>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r w:rsidRPr="00F90B8E">
              <w:rPr>
                <w:rFonts w:ascii="Arial" w:eastAsia="Arial" w:hAnsi="Arial" w:cs="Arial"/>
                <w:color w:val="4E4E4E"/>
                <w:lang w:val="es-CR" w:eastAsia="es-CR"/>
              </w:rPr>
              <w:t>8.2 Se desarrollarán acciones en la comunidad estudiantil, para lograr una vida estudiantil integral e impulsar la equidad, igualdad de oportunidades, libertad de expresión, diversidad, respeto a la cultura y al origen étnico, de manera que se logre articular y atender las necesidades del estudiante en su contexto socio cultural.</w:t>
            </w:r>
          </w:p>
        </w:tc>
      </w:tr>
      <w:tr w:rsidR="00F90B8E" w:rsidRPr="00F90B8E" w:rsidTr="001D01D9">
        <w:trPr>
          <w:trHeight w:val="1560"/>
        </w:trPr>
        <w:tc>
          <w:tcPr>
            <w:tcW w:w="4253" w:type="dxa"/>
            <w:tcBorders>
              <w:top w:val="nil"/>
              <w:left w:val="single" w:sz="8" w:space="0" w:color="000000"/>
              <w:bottom w:val="single" w:sz="8" w:space="0" w:color="000000"/>
              <w:right w:val="single" w:sz="4" w:space="0" w:color="000000"/>
            </w:tcBorders>
            <w:shd w:val="clear" w:color="auto" w:fill="auto"/>
            <w:vAlign w:val="center"/>
          </w:tcPr>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r w:rsidRPr="00F90B8E">
              <w:rPr>
                <w:rFonts w:ascii="Arial" w:eastAsia="Arial" w:hAnsi="Arial" w:cs="Arial"/>
                <w:color w:val="4E4E4E"/>
                <w:lang w:val="es-CR" w:eastAsia="es-CR"/>
              </w:rPr>
              <w:t>15. Los procesos institucionales se desarrollarán con excelencia, sustentados en la evaluación continua que involucre a los usuarios directos.</w:t>
            </w:r>
          </w:p>
        </w:tc>
        <w:tc>
          <w:tcPr>
            <w:tcW w:w="4111" w:type="dxa"/>
            <w:tcBorders>
              <w:top w:val="nil"/>
              <w:left w:val="nil"/>
              <w:bottom w:val="single" w:sz="8" w:space="0" w:color="000000"/>
              <w:right w:val="single" w:sz="8" w:space="0" w:color="000000"/>
            </w:tcBorders>
            <w:shd w:val="clear" w:color="auto" w:fill="auto"/>
            <w:vAlign w:val="center"/>
          </w:tcPr>
          <w:p w:rsidR="00F90B8E" w:rsidRPr="00F90B8E" w:rsidRDefault="00F90B8E" w:rsidP="00F90B8E">
            <w:pPr>
              <w:pBdr>
                <w:top w:val="nil"/>
                <w:left w:val="nil"/>
                <w:bottom w:val="nil"/>
                <w:right w:val="nil"/>
                <w:between w:val="nil"/>
              </w:pBdr>
              <w:jc w:val="both"/>
              <w:rPr>
                <w:rFonts w:ascii="Arial" w:eastAsia="Arial" w:hAnsi="Arial" w:cs="Arial"/>
                <w:color w:val="4E4E4E"/>
                <w:lang w:val="es-CR" w:eastAsia="es-CR"/>
              </w:rPr>
            </w:pPr>
            <w:r w:rsidRPr="00F90B8E">
              <w:rPr>
                <w:rFonts w:ascii="Arial" w:eastAsia="Arial" w:hAnsi="Arial" w:cs="Arial"/>
                <w:color w:val="4E4E4E"/>
                <w:lang w:val="es-CR" w:eastAsia="es-CR"/>
              </w:rPr>
              <w:t>15.1 Se desarrollarán acciones que permitan evaluar los procesos institucionales para el mejoramiento continuo mediante la utilización de un modelo de excelencia.</w:t>
            </w:r>
          </w:p>
        </w:tc>
      </w:tr>
    </w:tbl>
    <w:p w:rsidR="00F90B8E" w:rsidRPr="00F90B8E" w:rsidRDefault="00F90B8E" w:rsidP="00F90B8E">
      <w:pPr>
        <w:pBdr>
          <w:top w:val="nil"/>
          <w:left w:val="nil"/>
          <w:bottom w:val="nil"/>
          <w:right w:val="nil"/>
          <w:between w:val="nil"/>
        </w:pBdr>
        <w:spacing w:after="160" w:line="259" w:lineRule="auto"/>
        <w:ind w:right="417"/>
        <w:jc w:val="both"/>
        <w:rPr>
          <w:rFonts w:ascii="Arial" w:eastAsia="Calibri" w:hAnsi="Arial" w:cs="Arial"/>
          <w:color w:val="000000"/>
          <w:lang w:val="es-CR" w:eastAsia="es-CR"/>
        </w:rPr>
      </w:pPr>
    </w:p>
    <w:p w:rsidR="00F90B8E" w:rsidRPr="00F90B8E" w:rsidRDefault="00F90B8E" w:rsidP="00F90B8E">
      <w:pPr>
        <w:pBdr>
          <w:top w:val="nil"/>
          <w:left w:val="nil"/>
          <w:bottom w:val="nil"/>
          <w:right w:val="nil"/>
          <w:between w:val="nil"/>
        </w:pBdr>
        <w:spacing w:after="160" w:line="259" w:lineRule="auto"/>
        <w:ind w:left="1440" w:hanging="1440"/>
        <w:jc w:val="both"/>
        <w:rPr>
          <w:rFonts w:ascii="Arial" w:eastAsia="Arial" w:hAnsi="Arial" w:cs="Arial"/>
          <w:b/>
          <w:smallCaps/>
          <w:color w:val="000000"/>
          <w:lang w:val="es-CR" w:eastAsia="es-CR"/>
        </w:rPr>
      </w:pPr>
      <w:r w:rsidRPr="00F90B8E">
        <w:rPr>
          <w:rFonts w:ascii="Arial" w:eastAsia="Arial" w:hAnsi="Arial" w:cs="Arial"/>
          <w:b/>
          <w:smallCaps/>
          <w:color w:val="000000"/>
          <w:lang w:val="es-CR" w:eastAsia="es-CR"/>
        </w:rPr>
        <w:t xml:space="preserve">CONSIDERANDO QUE: </w:t>
      </w:r>
    </w:p>
    <w:p w:rsidR="00F90B8E" w:rsidRPr="00F90B8E" w:rsidRDefault="00F90B8E" w:rsidP="00F90B8E">
      <w:pPr>
        <w:numPr>
          <w:ilvl w:val="0"/>
          <w:numId w:val="26"/>
        </w:numPr>
        <w:pBdr>
          <w:top w:val="nil"/>
          <w:left w:val="nil"/>
          <w:bottom w:val="nil"/>
          <w:right w:val="nil"/>
          <w:between w:val="nil"/>
        </w:pBdr>
        <w:spacing w:after="160" w:line="259" w:lineRule="auto"/>
        <w:ind w:left="284"/>
        <w:contextualSpacing/>
        <w:jc w:val="both"/>
        <w:rPr>
          <w:rFonts w:ascii="Arial" w:eastAsia="Calibri" w:hAnsi="Arial" w:cs="Arial"/>
          <w:color w:val="000000"/>
          <w:lang w:val="es-CR" w:eastAsia="es-CR"/>
        </w:rPr>
      </w:pPr>
      <w:r w:rsidRPr="00F90B8E">
        <w:rPr>
          <w:rFonts w:ascii="Arial" w:eastAsia="Calibri" w:hAnsi="Arial" w:cs="Arial"/>
          <w:color w:val="000000"/>
          <w:lang w:val="es-CR" w:eastAsia="es-CR"/>
        </w:rPr>
        <w:t>El ITCR actualmente atiende las necesidades de alimentación de la comunidad estudiantil principalmente por dos modelos, uno de servicio de comedor institucional, administrado, operado y subvencionado por el ITCR de manera directa, como es el caso del Comedor Institucional en Cartago y el de San Carlos, otro modelo de firma de contrato con terceros para brindar dentro del campus el servicio de alimentación, como el caso de otras sodas en Cartago, la soda de Limón, la soda de San José, la soda de San Carlos, además de existir el caso del Centro Académico de Alajuela, donde no se tiene de manera institucional ningún modelo para atender las necesidades de alimentación del Centro Académico.</w:t>
      </w:r>
    </w:p>
    <w:p w:rsidR="00F90B8E" w:rsidRPr="00F90B8E" w:rsidRDefault="00F90B8E" w:rsidP="00F90B8E">
      <w:pPr>
        <w:pBdr>
          <w:top w:val="nil"/>
          <w:left w:val="nil"/>
          <w:bottom w:val="nil"/>
          <w:right w:val="nil"/>
          <w:between w:val="nil"/>
        </w:pBdr>
        <w:spacing w:line="259" w:lineRule="auto"/>
        <w:ind w:left="720"/>
        <w:contextualSpacing/>
        <w:jc w:val="both"/>
        <w:rPr>
          <w:rFonts w:ascii="Arial" w:eastAsia="Calibri" w:hAnsi="Arial" w:cs="Arial"/>
          <w:color w:val="000000"/>
          <w:lang w:val="es-CR" w:eastAsia="es-CR"/>
        </w:rPr>
      </w:pPr>
    </w:p>
    <w:p w:rsidR="00F90B8E" w:rsidRPr="00F90B8E" w:rsidRDefault="00F90B8E" w:rsidP="00F90B8E">
      <w:pPr>
        <w:numPr>
          <w:ilvl w:val="0"/>
          <w:numId w:val="26"/>
        </w:numPr>
        <w:pBdr>
          <w:top w:val="nil"/>
          <w:left w:val="nil"/>
          <w:bottom w:val="nil"/>
          <w:right w:val="nil"/>
          <w:between w:val="nil"/>
        </w:pBdr>
        <w:spacing w:after="160" w:line="259" w:lineRule="auto"/>
        <w:ind w:left="284"/>
        <w:contextualSpacing/>
        <w:jc w:val="both"/>
        <w:rPr>
          <w:rFonts w:ascii="Arial" w:eastAsia="Calibri" w:hAnsi="Arial" w:cs="Arial"/>
          <w:color w:val="000000"/>
          <w:lang w:val="es-CR" w:eastAsia="es-CR"/>
        </w:rPr>
      </w:pPr>
      <w:r w:rsidRPr="00F90B8E">
        <w:rPr>
          <w:rFonts w:ascii="Arial" w:eastAsia="Calibri" w:hAnsi="Arial" w:cs="Arial"/>
          <w:color w:val="000000"/>
          <w:lang w:val="es-CR" w:eastAsia="es-CR"/>
        </w:rPr>
        <w:t xml:space="preserve">El ITCR actualmente atiende las necesidades de limpieza y seguridad de dos maneras, a través de colaboradores directos y otra a través de contratos privados por licitaciones públicas. </w:t>
      </w:r>
    </w:p>
    <w:p w:rsidR="00F90B8E" w:rsidRPr="00F90B8E" w:rsidRDefault="00F90B8E" w:rsidP="00F90B8E">
      <w:pPr>
        <w:pBdr>
          <w:top w:val="nil"/>
          <w:left w:val="nil"/>
          <w:bottom w:val="nil"/>
          <w:right w:val="nil"/>
          <w:between w:val="nil"/>
        </w:pBdr>
        <w:spacing w:line="259" w:lineRule="auto"/>
        <w:ind w:left="720"/>
        <w:contextualSpacing/>
        <w:jc w:val="both"/>
        <w:rPr>
          <w:rFonts w:ascii="Arial" w:eastAsia="Calibri" w:hAnsi="Arial" w:cs="Arial"/>
          <w:color w:val="000000"/>
          <w:lang w:val="es-CR" w:eastAsia="es-CR"/>
        </w:rPr>
      </w:pPr>
    </w:p>
    <w:p w:rsidR="00F90B8E" w:rsidRPr="00F90B8E" w:rsidRDefault="00F90B8E" w:rsidP="00F90B8E">
      <w:pPr>
        <w:numPr>
          <w:ilvl w:val="0"/>
          <w:numId w:val="26"/>
        </w:numPr>
        <w:pBdr>
          <w:top w:val="nil"/>
          <w:left w:val="nil"/>
          <w:bottom w:val="nil"/>
          <w:right w:val="nil"/>
          <w:between w:val="nil"/>
        </w:pBdr>
        <w:spacing w:after="160" w:line="259" w:lineRule="auto"/>
        <w:ind w:left="284"/>
        <w:contextualSpacing/>
        <w:jc w:val="both"/>
        <w:rPr>
          <w:rFonts w:ascii="Arial" w:eastAsia="Calibri" w:hAnsi="Arial" w:cs="Arial"/>
          <w:color w:val="000000"/>
          <w:lang w:val="es-CR" w:eastAsia="es-CR"/>
        </w:rPr>
      </w:pPr>
      <w:r w:rsidRPr="00F90B8E">
        <w:rPr>
          <w:rFonts w:ascii="Arial" w:eastAsia="Calibri" w:hAnsi="Arial" w:cs="Arial"/>
          <w:color w:val="000000"/>
          <w:lang w:val="es-CR" w:eastAsia="es-CR"/>
        </w:rPr>
        <w:t>El ITCR resaltó dentro de sus Políticas Generales y Específicas tanto el funcionamiento a través de un modelo de excelencia, como la evaluación constante por los usuarios directos de los servicios.</w:t>
      </w:r>
    </w:p>
    <w:p w:rsidR="00F90B8E" w:rsidRPr="00F90B8E" w:rsidRDefault="00F90B8E" w:rsidP="00F90B8E">
      <w:pPr>
        <w:pBdr>
          <w:top w:val="nil"/>
          <w:left w:val="nil"/>
          <w:bottom w:val="nil"/>
          <w:right w:val="nil"/>
          <w:between w:val="nil"/>
        </w:pBdr>
        <w:spacing w:line="259" w:lineRule="auto"/>
        <w:ind w:left="720"/>
        <w:jc w:val="both"/>
        <w:rPr>
          <w:rFonts w:ascii="Arial" w:eastAsia="Calibri" w:hAnsi="Arial" w:cs="Arial"/>
          <w:color w:val="000000"/>
          <w:lang w:val="es-CR" w:eastAsia="es-CR"/>
        </w:rPr>
      </w:pPr>
      <w:r w:rsidRPr="00F90B8E">
        <w:rPr>
          <w:rFonts w:ascii="Arial" w:eastAsia="Calibri" w:hAnsi="Arial" w:cs="Arial"/>
          <w:color w:val="000000"/>
          <w:lang w:val="es-CR" w:eastAsia="es-CR"/>
        </w:rPr>
        <w:t xml:space="preserve"> </w:t>
      </w:r>
    </w:p>
    <w:p w:rsidR="00F90B8E" w:rsidRPr="00F90B8E" w:rsidRDefault="00F90B8E" w:rsidP="00F90B8E">
      <w:pPr>
        <w:numPr>
          <w:ilvl w:val="0"/>
          <w:numId w:val="26"/>
        </w:numPr>
        <w:pBdr>
          <w:top w:val="nil"/>
          <w:left w:val="nil"/>
          <w:bottom w:val="nil"/>
          <w:right w:val="nil"/>
          <w:between w:val="nil"/>
        </w:pBdr>
        <w:spacing w:after="160" w:line="259" w:lineRule="auto"/>
        <w:ind w:left="284"/>
        <w:contextualSpacing/>
        <w:jc w:val="both"/>
        <w:rPr>
          <w:rFonts w:ascii="Arial" w:eastAsia="Calibri" w:hAnsi="Arial" w:cs="Arial"/>
          <w:color w:val="000000"/>
          <w:lang w:val="es-CR" w:eastAsia="es-CR"/>
        </w:rPr>
      </w:pPr>
      <w:r w:rsidRPr="00F90B8E">
        <w:rPr>
          <w:rFonts w:ascii="Arial" w:eastAsia="Calibri" w:hAnsi="Arial" w:cs="Arial"/>
          <w:color w:val="000000"/>
          <w:lang w:val="es-CR" w:eastAsia="es-CR"/>
        </w:rPr>
        <w:t xml:space="preserve">Dada la variedad de modelos con que operan los servicios de alimentación, limpieza y seguridad en el ITCR, y la no evaluación por los usuarios directos en ninguno de los casos se vuelve necesaria la definición de un modelo institucional para el servicio de alimentación, limpieza y seguridad en las distintas Sedes y Centros Académicos. </w:t>
      </w:r>
    </w:p>
    <w:p w:rsidR="00F90B8E" w:rsidRPr="00F90B8E" w:rsidRDefault="00F90B8E" w:rsidP="00F90B8E">
      <w:pPr>
        <w:pBdr>
          <w:top w:val="nil"/>
          <w:left w:val="nil"/>
          <w:bottom w:val="nil"/>
          <w:right w:val="nil"/>
          <w:between w:val="nil"/>
        </w:pBdr>
        <w:spacing w:line="259" w:lineRule="auto"/>
        <w:ind w:left="720"/>
        <w:jc w:val="both"/>
        <w:rPr>
          <w:rFonts w:ascii="Arial" w:eastAsia="Calibri" w:hAnsi="Arial" w:cs="Arial"/>
          <w:color w:val="000000"/>
          <w:lang w:val="es-CR" w:eastAsia="es-CR"/>
        </w:rPr>
      </w:pPr>
    </w:p>
    <w:p w:rsidR="00F90B8E" w:rsidRPr="00F90B8E" w:rsidRDefault="00F90B8E" w:rsidP="00F90B8E">
      <w:pPr>
        <w:numPr>
          <w:ilvl w:val="0"/>
          <w:numId w:val="26"/>
        </w:numPr>
        <w:pBdr>
          <w:top w:val="nil"/>
          <w:left w:val="nil"/>
          <w:bottom w:val="nil"/>
          <w:right w:val="nil"/>
          <w:between w:val="nil"/>
        </w:pBdr>
        <w:spacing w:after="160" w:line="259" w:lineRule="auto"/>
        <w:ind w:left="284"/>
        <w:contextualSpacing/>
        <w:jc w:val="both"/>
        <w:rPr>
          <w:rFonts w:ascii="Arial" w:eastAsia="Calibri" w:hAnsi="Arial" w:cs="Arial"/>
          <w:color w:val="000000"/>
          <w:lang w:val="es-CR" w:eastAsia="es-CR"/>
        </w:rPr>
      </w:pPr>
      <w:r w:rsidRPr="00F90B8E">
        <w:rPr>
          <w:rFonts w:ascii="Arial" w:eastAsia="Calibri" w:hAnsi="Arial" w:cs="Arial"/>
          <w:color w:val="000000"/>
          <w:lang w:val="es-CR" w:eastAsia="es-CR"/>
        </w:rPr>
        <w:t xml:space="preserve"> La no existencia de un modelo institucional general en los servicios de alimentación, limpieza y seguridad, no permite tener claridad respecto al costo – beneficio de brindar cada servicio de una forma u otra.</w:t>
      </w:r>
    </w:p>
    <w:p w:rsidR="00F90B8E" w:rsidRPr="00F90B8E" w:rsidRDefault="00F90B8E" w:rsidP="00F90B8E">
      <w:pPr>
        <w:pBdr>
          <w:top w:val="nil"/>
          <w:left w:val="nil"/>
          <w:bottom w:val="nil"/>
          <w:right w:val="nil"/>
          <w:between w:val="nil"/>
        </w:pBdr>
        <w:spacing w:after="160" w:line="259" w:lineRule="auto"/>
        <w:contextualSpacing/>
        <w:jc w:val="both"/>
        <w:rPr>
          <w:rFonts w:ascii="Arial" w:eastAsia="Calibri" w:hAnsi="Arial" w:cs="Arial"/>
          <w:color w:val="000000"/>
          <w:lang w:val="es-CR" w:eastAsia="es-CR"/>
        </w:rPr>
      </w:pPr>
    </w:p>
    <w:p w:rsidR="00F90B8E" w:rsidRPr="00F90B8E" w:rsidRDefault="00F90B8E" w:rsidP="00F90B8E">
      <w:pPr>
        <w:pBdr>
          <w:top w:val="nil"/>
          <w:left w:val="nil"/>
          <w:bottom w:val="nil"/>
          <w:right w:val="nil"/>
          <w:between w:val="nil"/>
        </w:pBdr>
        <w:spacing w:after="160" w:line="259" w:lineRule="auto"/>
        <w:rPr>
          <w:rFonts w:ascii="Arial" w:eastAsia="Arial" w:hAnsi="Arial" w:cs="Arial"/>
          <w:b/>
          <w:color w:val="000000"/>
          <w:lang w:val="es-CR" w:eastAsia="es-CR"/>
        </w:rPr>
      </w:pPr>
      <w:r w:rsidRPr="00F90B8E">
        <w:rPr>
          <w:rFonts w:ascii="Arial" w:eastAsia="Arial" w:hAnsi="Arial" w:cs="Arial"/>
          <w:b/>
          <w:color w:val="000000"/>
          <w:lang w:val="es-CR" w:eastAsia="es-CR"/>
        </w:rPr>
        <w:t>SE</w:t>
      </w:r>
      <w:r>
        <w:rPr>
          <w:rFonts w:ascii="Arial" w:eastAsia="Arial" w:hAnsi="Arial" w:cs="Arial"/>
          <w:b/>
          <w:color w:val="000000"/>
          <w:lang w:val="es-CR" w:eastAsia="es-CR"/>
        </w:rPr>
        <w:t xml:space="preserve"> ACUERDA</w:t>
      </w:r>
      <w:r w:rsidRPr="00F90B8E">
        <w:rPr>
          <w:rFonts w:ascii="Arial" w:eastAsia="Arial" w:hAnsi="Arial" w:cs="Arial"/>
          <w:b/>
          <w:color w:val="000000"/>
          <w:lang w:val="es-CR" w:eastAsia="es-CR"/>
        </w:rPr>
        <w:t>:</w:t>
      </w:r>
    </w:p>
    <w:p w:rsidR="00F90B8E" w:rsidRPr="00F90B8E" w:rsidRDefault="00F90B8E" w:rsidP="00F90B8E">
      <w:pPr>
        <w:numPr>
          <w:ilvl w:val="0"/>
          <w:numId w:val="28"/>
        </w:numPr>
        <w:pBdr>
          <w:top w:val="nil"/>
          <w:left w:val="nil"/>
          <w:bottom w:val="nil"/>
          <w:right w:val="nil"/>
          <w:between w:val="nil"/>
        </w:pBdr>
        <w:spacing w:after="160" w:line="259" w:lineRule="auto"/>
        <w:ind w:left="284"/>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Solicitar a la Administración que presente antes del 30 de junio del 2018, un informe sobre cómo se brindan actualmente en cada Sede y Centro Académico los servicios de alimentación, limpieza y seguridad, que incluya:</w:t>
      </w:r>
    </w:p>
    <w:p w:rsidR="00F90B8E" w:rsidRPr="00F90B8E" w:rsidRDefault="00F90B8E" w:rsidP="00F90B8E">
      <w:pPr>
        <w:pBdr>
          <w:top w:val="nil"/>
          <w:left w:val="nil"/>
          <w:bottom w:val="nil"/>
          <w:right w:val="nil"/>
          <w:between w:val="nil"/>
        </w:pBdr>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Calibri" w:hAnsi="Arial" w:cs="Arial"/>
          <w:color w:val="000000"/>
          <w:lang w:val="es-CR" w:eastAsia="es-CR"/>
        </w:rPr>
      </w:pPr>
      <w:r w:rsidRPr="00F90B8E">
        <w:rPr>
          <w:rFonts w:ascii="Arial" w:eastAsia="Arial" w:hAnsi="Arial" w:cs="Arial"/>
          <w:color w:val="000000"/>
          <w:lang w:val="es-CR" w:eastAsia="es-CR"/>
        </w:rPr>
        <w:t xml:space="preserve">a.1.  Para los tres servicios, el costo institucional que actualmente tienen estos servicios en cada uno de sus modos de operación. </w:t>
      </w:r>
    </w:p>
    <w:p w:rsidR="00F90B8E" w:rsidRPr="00F90B8E" w:rsidRDefault="00F90B8E" w:rsidP="00F90B8E">
      <w:pPr>
        <w:pBdr>
          <w:top w:val="nil"/>
          <w:left w:val="nil"/>
          <w:bottom w:val="nil"/>
          <w:right w:val="nil"/>
          <w:between w:val="nil"/>
        </w:pBdr>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Calibri" w:hAnsi="Arial" w:cs="Arial"/>
          <w:color w:val="000000"/>
          <w:lang w:val="es-CR" w:eastAsia="es-CR"/>
        </w:rPr>
      </w:pPr>
      <w:r w:rsidRPr="00F90B8E">
        <w:rPr>
          <w:rFonts w:ascii="Arial" w:eastAsia="Arial" w:hAnsi="Arial" w:cs="Arial"/>
          <w:color w:val="000000"/>
          <w:lang w:val="es-CR" w:eastAsia="es-CR"/>
        </w:rPr>
        <w:t>a.2.</w:t>
      </w:r>
      <w:r w:rsidRPr="00F90B8E">
        <w:rPr>
          <w:rFonts w:ascii="Arial" w:eastAsia="Arial" w:hAnsi="Arial" w:cs="Arial"/>
          <w:color w:val="000000"/>
          <w:lang w:val="es-CR" w:eastAsia="es-CR"/>
        </w:rPr>
        <w:tab/>
        <w:t>En el caso del servicio de alimentación, consulta de satisfacción a los usuarios directos, que incluya su evaluación sobre la calidad de los alimentos, valor nutricional, instalaciones, precios y otros aspectos que puedan ser relevantes.</w:t>
      </w:r>
    </w:p>
    <w:p w:rsidR="00F90B8E" w:rsidRPr="00F90B8E" w:rsidRDefault="00F90B8E" w:rsidP="00F90B8E">
      <w:pPr>
        <w:pBdr>
          <w:top w:val="nil"/>
          <w:left w:val="nil"/>
          <w:bottom w:val="nil"/>
          <w:right w:val="nil"/>
          <w:between w:val="nil"/>
        </w:pBdr>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a.3.</w:t>
      </w:r>
      <w:r w:rsidRPr="00F90B8E">
        <w:rPr>
          <w:rFonts w:ascii="Arial" w:eastAsia="Arial" w:hAnsi="Arial" w:cs="Arial"/>
          <w:color w:val="000000"/>
          <w:lang w:val="es-CR" w:eastAsia="es-CR"/>
        </w:rPr>
        <w:tab/>
        <w:t>En el caso de los servicios de limpieza y seguridad, consulta de satisfacción a los usuarios directos, que incluya su evaluación sobre los servicios y la calidad que perciben en estos.</w:t>
      </w:r>
    </w:p>
    <w:p w:rsidR="00F90B8E" w:rsidRPr="00F90B8E" w:rsidRDefault="00F90B8E" w:rsidP="00F90B8E">
      <w:pPr>
        <w:pBdr>
          <w:top w:val="nil"/>
          <w:left w:val="nil"/>
          <w:bottom w:val="nil"/>
          <w:right w:val="nil"/>
          <w:between w:val="nil"/>
        </w:pBdr>
        <w:ind w:left="426"/>
        <w:jc w:val="both"/>
        <w:rPr>
          <w:rFonts w:ascii="Arial" w:eastAsia="Arial" w:hAnsi="Arial" w:cs="Arial"/>
          <w:color w:val="000000"/>
          <w:lang w:val="es-CR" w:eastAsia="es-CR"/>
        </w:rPr>
      </w:pPr>
    </w:p>
    <w:p w:rsidR="00F90B8E" w:rsidRPr="00F90B8E" w:rsidRDefault="00F90B8E" w:rsidP="00F90B8E">
      <w:pPr>
        <w:numPr>
          <w:ilvl w:val="0"/>
          <w:numId w:val="28"/>
        </w:numPr>
        <w:pBdr>
          <w:top w:val="nil"/>
          <w:left w:val="nil"/>
          <w:bottom w:val="nil"/>
          <w:right w:val="nil"/>
          <w:between w:val="nil"/>
        </w:pBdr>
        <w:spacing w:after="160" w:line="259" w:lineRule="auto"/>
        <w:ind w:left="284"/>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Solicitar a la Administración presentar ante el Consejo Institucional, antes del 15 de diciembre del 2018, al menos tres propuestas de modelos con los que se pueden atender las necesidades de alimentación del ITCR en todas las Sedes y Centros Académicos, que incluya para cada propuesta:</w:t>
      </w:r>
    </w:p>
    <w:p w:rsidR="00F90B8E" w:rsidRPr="00F90B8E" w:rsidRDefault="00F90B8E" w:rsidP="00F90B8E">
      <w:pPr>
        <w:pBdr>
          <w:top w:val="nil"/>
          <w:left w:val="nil"/>
          <w:bottom w:val="nil"/>
          <w:right w:val="nil"/>
          <w:between w:val="nil"/>
        </w:pBdr>
        <w:ind w:left="-76"/>
        <w:contextualSpacing/>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b.1.  Método de subvención por parte del ITCR</w:t>
      </w: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b.2.  Mecanismo de evaluación del servicio por medio de los usuarios directos</w:t>
      </w: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 xml:space="preserve">b.3. Costo – beneficio institucional </w:t>
      </w: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b.4. Mecanismos de control y fiscalización en los precios de venta al consumidor</w:t>
      </w: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b.</w:t>
      </w:r>
      <w:r w:rsidR="00D12772">
        <w:rPr>
          <w:rFonts w:ascii="Arial" w:eastAsia="Arial" w:hAnsi="Arial" w:cs="Arial"/>
          <w:color w:val="000000"/>
          <w:lang w:val="es-CR" w:eastAsia="es-CR"/>
        </w:rPr>
        <w:t>5</w:t>
      </w:r>
      <w:bookmarkStart w:id="0" w:name="_GoBack"/>
      <w:bookmarkEnd w:id="0"/>
      <w:r w:rsidRPr="00F90B8E">
        <w:rPr>
          <w:rFonts w:ascii="Arial" w:eastAsia="Arial" w:hAnsi="Arial" w:cs="Arial"/>
          <w:color w:val="000000"/>
          <w:lang w:val="es-CR" w:eastAsia="es-CR"/>
        </w:rPr>
        <w:t>.  Políticas de uso del servicio</w:t>
      </w:r>
    </w:p>
    <w:p w:rsidR="00F90B8E" w:rsidRPr="00F90B8E" w:rsidRDefault="00F90B8E" w:rsidP="00F90B8E">
      <w:pPr>
        <w:pBdr>
          <w:top w:val="nil"/>
          <w:left w:val="nil"/>
          <w:bottom w:val="nil"/>
          <w:right w:val="nil"/>
          <w:between w:val="nil"/>
        </w:pBdr>
        <w:spacing w:line="259" w:lineRule="auto"/>
        <w:jc w:val="both"/>
        <w:rPr>
          <w:rFonts w:ascii="Arial" w:eastAsia="Arial" w:hAnsi="Arial" w:cs="Arial"/>
          <w:color w:val="000000"/>
          <w:lang w:val="es-CR" w:eastAsia="es-CR"/>
        </w:rPr>
      </w:pPr>
    </w:p>
    <w:p w:rsidR="00F90B8E" w:rsidRPr="00F90B8E" w:rsidRDefault="00F90B8E" w:rsidP="00F90B8E">
      <w:pPr>
        <w:numPr>
          <w:ilvl w:val="0"/>
          <w:numId w:val="28"/>
        </w:numPr>
        <w:pBdr>
          <w:top w:val="nil"/>
          <w:left w:val="nil"/>
          <w:bottom w:val="nil"/>
          <w:right w:val="nil"/>
          <w:between w:val="nil"/>
        </w:pBdr>
        <w:spacing w:after="160" w:line="259" w:lineRule="auto"/>
        <w:ind w:left="284"/>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Solicitar a la Administración, presentar ante el Consejo Institucional, antes del 15 de diciembre del 2018, al menos tres propuestas de modelos que permitan atender las necesidades de limpieza y seguridad del ITCR en todas las Sedes y Centros Académicos, que incluya para cada propuesta:</w:t>
      </w:r>
    </w:p>
    <w:p w:rsidR="00F90B8E" w:rsidRPr="00F90B8E" w:rsidRDefault="00F90B8E" w:rsidP="00F90B8E">
      <w:pPr>
        <w:pBdr>
          <w:top w:val="nil"/>
          <w:left w:val="nil"/>
          <w:bottom w:val="nil"/>
          <w:right w:val="nil"/>
          <w:between w:val="nil"/>
        </w:pBdr>
        <w:spacing w:line="259" w:lineRule="auto"/>
        <w:ind w:left="720"/>
        <w:contextualSpacing/>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spacing w:line="259" w:lineRule="auto"/>
        <w:ind w:left="284"/>
        <w:jc w:val="both"/>
        <w:rPr>
          <w:rFonts w:ascii="Arial" w:eastAsia="Arial" w:hAnsi="Arial" w:cs="Arial"/>
          <w:color w:val="000000"/>
          <w:lang w:val="es-CR" w:eastAsia="es-CR"/>
        </w:rPr>
      </w:pPr>
      <w:r w:rsidRPr="00F90B8E">
        <w:rPr>
          <w:rFonts w:ascii="Arial" w:eastAsia="Arial" w:hAnsi="Arial" w:cs="Arial"/>
          <w:color w:val="000000"/>
          <w:lang w:val="es-CR" w:eastAsia="es-CR"/>
        </w:rPr>
        <w:t>c.1.  Mecanismo de evaluación del servicio por medio de los usuarios directos</w:t>
      </w:r>
    </w:p>
    <w:p w:rsidR="00F90B8E" w:rsidRPr="00F90B8E" w:rsidRDefault="00F90B8E" w:rsidP="00F90B8E">
      <w:pPr>
        <w:pBdr>
          <w:top w:val="nil"/>
          <w:left w:val="nil"/>
          <w:bottom w:val="nil"/>
          <w:right w:val="nil"/>
          <w:between w:val="nil"/>
        </w:pBdr>
        <w:spacing w:line="259" w:lineRule="auto"/>
        <w:ind w:left="284"/>
        <w:jc w:val="both"/>
        <w:rPr>
          <w:rFonts w:ascii="Arial" w:eastAsia="Calibri" w:hAnsi="Arial" w:cs="Arial"/>
          <w:color w:val="000000"/>
          <w:lang w:val="es-CR" w:eastAsia="es-CR"/>
        </w:rPr>
      </w:pPr>
    </w:p>
    <w:p w:rsidR="00F90B8E" w:rsidRPr="00F90B8E" w:rsidRDefault="00F90B8E" w:rsidP="00F90B8E">
      <w:pPr>
        <w:pBdr>
          <w:top w:val="nil"/>
          <w:left w:val="nil"/>
          <w:bottom w:val="nil"/>
          <w:right w:val="nil"/>
          <w:between w:val="nil"/>
        </w:pBdr>
        <w:spacing w:line="259" w:lineRule="auto"/>
        <w:ind w:left="284"/>
        <w:contextualSpacing/>
        <w:jc w:val="both"/>
        <w:rPr>
          <w:rFonts w:ascii="Arial" w:eastAsia="Calibri" w:hAnsi="Arial" w:cs="Arial"/>
          <w:color w:val="000000"/>
          <w:lang w:val="es-CR" w:eastAsia="es-CR"/>
        </w:rPr>
      </w:pPr>
      <w:r w:rsidRPr="00F90B8E">
        <w:rPr>
          <w:rFonts w:ascii="Arial" w:eastAsia="Arial" w:hAnsi="Arial" w:cs="Arial"/>
          <w:color w:val="000000"/>
          <w:lang w:val="es-CR" w:eastAsia="es-CR"/>
        </w:rPr>
        <w:t xml:space="preserve">c.2.  Costo – beneficio institucional. </w:t>
      </w:r>
    </w:p>
    <w:p w:rsidR="00F90B8E" w:rsidRPr="00F90B8E" w:rsidRDefault="00F90B8E" w:rsidP="00F90B8E">
      <w:pPr>
        <w:pBdr>
          <w:top w:val="nil"/>
          <w:left w:val="nil"/>
          <w:bottom w:val="nil"/>
          <w:right w:val="nil"/>
          <w:between w:val="nil"/>
        </w:pBdr>
        <w:spacing w:line="259" w:lineRule="auto"/>
        <w:ind w:left="2880"/>
        <w:jc w:val="both"/>
        <w:rPr>
          <w:rFonts w:ascii="Arial" w:eastAsia="Arial" w:hAnsi="Arial" w:cs="Arial"/>
          <w:color w:val="000000"/>
          <w:lang w:val="es-CR" w:eastAsia="es-CR"/>
        </w:rPr>
      </w:pPr>
    </w:p>
    <w:p w:rsidR="00F90B8E" w:rsidRPr="00F90B8E" w:rsidRDefault="00F90B8E" w:rsidP="00F90B8E">
      <w:pPr>
        <w:numPr>
          <w:ilvl w:val="0"/>
          <w:numId w:val="28"/>
        </w:numPr>
        <w:pBdr>
          <w:top w:val="nil"/>
          <w:left w:val="nil"/>
          <w:bottom w:val="nil"/>
          <w:right w:val="nil"/>
          <w:between w:val="nil"/>
        </w:pBdr>
        <w:spacing w:after="160" w:line="259" w:lineRule="auto"/>
        <w:ind w:left="284"/>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Solicitar a la Administración presentar ante el Consejo Institucional, antes del 15 de diciembre del 2018, una proyección de cinco años de:</w:t>
      </w:r>
    </w:p>
    <w:p w:rsidR="00F90B8E" w:rsidRPr="00F90B8E" w:rsidRDefault="00F90B8E" w:rsidP="00F90B8E">
      <w:pPr>
        <w:pBdr>
          <w:top w:val="nil"/>
          <w:left w:val="nil"/>
          <w:bottom w:val="nil"/>
          <w:right w:val="nil"/>
          <w:between w:val="nil"/>
        </w:pBdr>
        <w:spacing w:line="259" w:lineRule="auto"/>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d.1. Crecimiento en el número de usuarios del servicio de alimentación, así como el crecimiento en la oferta del servicio y las acciones por realizarse para ajustar ambos aspectos al modelo institucional, esto para cada Sede y Centro Académico del ITCR.</w:t>
      </w:r>
    </w:p>
    <w:p w:rsidR="00F90B8E" w:rsidRPr="00F90B8E" w:rsidRDefault="00F90B8E" w:rsidP="00F90B8E">
      <w:pPr>
        <w:pBdr>
          <w:top w:val="nil"/>
          <w:left w:val="nil"/>
          <w:bottom w:val="nil"/>
          <w:right w:val="nil"/>
          <w:between w:val="nil"/>
        </w:pBdr>
        <w:spacing w:line="259" w:lineRule="auto"/>
        <w:jc w:val="both"/>
        <w:rPr>
          <w:rFonts w:ascii="Arial" w:eastAsia="Arial" w:hAnsi="Arial" w:cs="Arial"/>
          <w:color w:val="000000"/>
          <w:lang w:val="es-CR" w:eastAsia="es-CR"/>
        </w:rPr>
      </w:pPr>
    </w:p>
    <w:p w:rsidR="00F90B8E" w:rsidRPr="00F90B8E" w:rsidRDefault="00F90B8E" w:rsidP="00F90B8E">
      <w:pPr>
        <w:pBdr>
          <w:top w:val="nil"/>
          <w:left w:val="nil"/>
          <w:bottom w:val="nil"/>
          <w:right w:val="nil"/>
          <w:between w:val="nil"/>
        </w:pBdr>
        <w:ind w:left="851" w:hanging="491"/>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d.2.  Crecimiento en la demanda de servicios de seguridad y limpieza en cada sede y centro académico y el ajuste de esto al modelo institucional.</w:t>
      </w:r>
    </w:p>
    <w:p w:rsidR="00F90B8E" w:rsidRPr="00F90B8E" w:rsidRDefault="00F90B8E" w:rsidP="00F90B8E">
      <w:pPr>
        <w:pBdr>
          <w:top w:val="nil"/>
          <w:left w:val="nil"/>
          <w:bottom w:val="nil"/>
          <w:right w:val="nil"/>
          <w:between w:val="nil"/>
        </w:pBdr>
        <w:spacing w:line="259" w:lineRule="auto"/>
        <w:jc w:val="both"/>
        <w:rPr>
          <w:rFonts w:ascii="Arial" w:eastAsia="Arial" w:hAnsi="Arial" w:cs="Arial"/>
          <w:color w:val="000000"/>
          <w:lang w:val="es-CR" w:eastAsia="es-CR"/>
        </w:rPr>
      </w:pPr>
    </w:p>
    <w:p w:rsidR="00CF2896" w:rsidRPr="00F90B8E" w:rsidRDefault="00F90B8E" w:rsidP="00F90B8E">
      <w:pPr>
        <w:numPr>
          <w:ilvl w:val="0"/>
          <w:numId w:val="28"/>
        </w:numPr>
        <w:pBdr>
          <w:top w:val="nil"/>
          <w:left w:val="nil"/>
          <w:bottom w:val="nil"/>
          <w:right w:val="nil"/>
          <w:between w:val="nil"/>
        </w:pBdr>
        <w:spacing w:after="160" w:line="259" w:lineRule="auto"/>
        <w:ind w:left="284"/>
        <w:contextualSpacing/>
        <w:jc w:val="both"/>
        <w:rPr>
          <w:rFonts w:ascii="Arial" w:eastAsia="Arial" w:hAnsi="Arial" w:cs="Arial"/>
          <w:color w:val="000000"/>
          <w:lang w:val="es-CR" w:eastAsia="es-CR"/>
        </w:rPr>
      </w:pPr>
      <w:r w:rsidRPr="00F90B8E">
        <w:rPr>
          <w:rFonts w:ascii="Arial" w:eastAsia="Arial" w:hAnsi="Arial" w:cs="Arial"/>
          <w:color w:val="000000"/>
          <w:lang w:val="es-CR" w:eastAsia="es-CR"/>
        </w:rPr>
        <w:t>Comunicar.</w:t>
      </w:r>
    </w:p>
    <w:p w:rsidR="0041439E" w:rsidRDefault="0041439E" w:rsidP="007742A1">
      <w:pPr>
        <w:jc w:val="both"/>
        <w:rPr>
          <w:rFonts w:ascii="Arial" w:eastAsia="Cambria" w:hAnsi="Arial" w:cs="Arial"/>
          <w:lang w:val="es-ES_tradnl" w:eastAsia="en-US"/>
        </w:rPr>
      </w:pPr>
    </w:p>
    <w:p w:rsidR="004F7EB0" w:rsidRDefault="002204D7" w:rsidP="00F90B8E">
      <w:pPr>
        <w:numPr>
          <w:ilvl w:val="0"/>
          <w:numId w:val="28"/>
        </w:numPr>
        <w:pBdr>
          <w:top w:val="nil"/>
          <w:left w:val="nil"/>
          <w:bottom w:val="nil"/>
          <w:right w:val="nil"/>
          <w:between w:val="nil"/>
        </w:pBdr>
        <w:spacing w:after="160" w:line="259" w:lineRule="auto"/>
        <w:ind w:left="284"/>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F2896" w:rsidRDefault="00CF2896" w:rsidP="00CF2896">
      <w:pPr>
        <w:jc w:val="both"/>
        <w:rPr>
          <w:rFonts w:ascii="Arial" w:hAnsi="Arial" w:cs="Arial"/>
          <w:b/>
          <w:lang w:val="es-CR"/>
        </w:rPr>
      </w:pPr>
    </w:p>
    <w:p w:rsidR="00F90B8E" w:rsidRPr="00F90B8E" w:rsidRDefault="00F90B8E" w:rsidP="00F90B8E">
      <w:pPr>
        <w:pBdr>
          <w:top w:val="nil"/>
          <w:left w:val="nil"/>
          <w:bottom w:val="nil"/>
          <w:right w:val="nil"/>
          <w:between w:val="nil"/>
        </w:pBdr>
        <w:spacing w:after="160" w:line="259" w:lineRule="auto"/>
        <w:jc w:val="both"/>
        <w:rPr>
          <w:rFonts w:ascii="Arial" w:eastAsia="Arial" w:hAnsi="Arial" w:cs="Arial"/>
          <w:b/>
          <w:color w:val="000000"/>
          <w:lang w:val="es-CR" w:eastAsia="es-CR"/>
        </w:rPr>
      </w:pPr>
      <w:r w:rsidRPr="00F90B8E">
        <w:rPr>
          <w:rFonts w:ascii="Arial" w:eastAsia="Arial" w:hAnsi="Arial" w:cs="Arial"/>
          <w:b/>
          <w:color w:val="000000"/>
          <w:lang w:val="es-CR" w:eastAsia="es-CR"/>
        </w:rPr>
        <w:t xml:space="preserve">Palabras Clave:  Solicitud – modelos –atención – servicios alimentación – limpieza – seguridad – Sedes – Centros Académicos </w:t>
      </w:r>
    </w:p>
    <w:p w:rsidR="00CF2896" w:rsidRPr="00CF2896" w:rsidRDefault="00CF2896" w:rsidP="00CF2896">
      <w:pPr>
        <w:ind w:left="567"/>
        <w:contextualSpacing/>
        <w:jc w:val="both"/>
        <w:rPr>
          <w:rFonts w:ascii="Arial" w:hAnsi="Arial" w:cs="Arial"/>
          <w:color w:val="FF0000"/>
          <w:lang w:val="es-CR"/>
        </w:rPr>
      </w:pPr>
    </w:p>
    <w:p w:rsidR="00DB25EE" w:rsidRPr="00DB25EE" w:rsidRDefault="00DB25EE" w:rsidP="00DB25EE">
      <w:pPr>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F90B8E" w:rsidRPr="00474B22" w:rsidTr="001D01D9">
        <w:trPr>
          <w:trHeight w:val="183"/>
        </w:trPr>
        <w:tc>
          <w:tcPr>
            <w:tcW w:w="4361" w:type="dxa"/>
          </w:tcPr>
          <w:p w:rsidR="00F90B8E" w:rsidRPr="00474B22" w:rsidRDefault="00F90B8E" w:rsidP="001D01D9">
            <w:pPr>
              <w:ind w:left="-567" w:firstLine="567"/>
              <w:jc w:val="both"/>
              <w:rPr>
                <w:rFonts w:ascii="Arial" w:eastAsia="Cambria" w:hAnsi="Arial" w:cs="Arial"/>
                <w:b/>
                <w:sz w:val="16"/>
                <w:szCs w:val="16"/>
                <w:lang w:val="es-ES_tradnl"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p>
        </w:tc>
        <w:tc>
          <w:tcPr>
            <w:tcW w:w="5103" w:type="dxa"/>
            <w:gridSpan w:val="2"/>
          </w:tcPr>
          <w:p w:rsidR="00F90B8E" w:rsidRPr="00474B22" w:rsidRDefault="00F90B8E" w:rsidP="001D01D9">
            <w:pPr>
              <w:jc w:val="both"/>
              <w:rPr>
                <w:rFonts w:ascii="Arial" w:eastAsia="Cambria" w:hAnsi="Arial" w:cs="Arial"/>
                <w:b/>
                <w:sz w:val="16"/>
                <w:szCs w:val="16"/>
                <w:lang w:val="es-ES_tradnl" w:eastAsia="en-US"/>
              </w:rPr>
            </w:pPr>
          </w:p>
        </w:tc>
      </w:tr>
      <w:tr w:rsidR="00F90B8E" w:rsidRPr="00474B22" w:rsidTr="001D01D9">
        <w:trPr>
          <w:gridAfter w:val="1"/>
          <w:wAfter w:w="4361" w:type="dxa"/>
          <w:trHeight w:val="183"/>
        </w:trPr>
        <w:tc>
          <w:tcPr>
            <w:tcW w:w="4361" w:type="dxa"/>
          </w:tcPr>
          <w:p w:rsidR="00F90B8E" w:rsidRDefault="00F90B8E" w:rsidP="001D01D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Docencia</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F90B8E"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90B8E" w:rsidRPr="00474B22"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F90B8E" w:rsidRPr="00474B22" w:rsidRDefault="00F90B8E" w:rsidP="001D01D9">
            <w:pPr>
              <w:ind w:left="-567" w:firstLine="567"/>
              <w:jc w:val="both"/>
              <w:rPr>
                <w:rFonts w:ascii="Arial" w:eastAsia="Cambria" w:hAnsi="Arial" w:cs="Arial"/>
                <w:b/>
                <w:sz w:val="16"/>
                <w:szCs w:val="16"/>
                <w:lang w:val="es-ES_tradnl"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p>
          <w:p w:rsidR="00F90B8E" w:rsidRPr="00474B22" w:rsidRDefault="00F90B8E" w:rsidP="001D01D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F90B8E" w:rsidRPr="00474B22" w:rsidRDefault="00F90B8E" w:rsidP="001D01D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F90B8E" w:rsidRPr="00474B22" w:rsidRDefault="00F90B8E" w:rsidP="001D01D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F90B8E" w:rsidRPr="00474B22" w:rsidRDefault="00F90B8E" w:rsidP="001D01D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90B8E" w:rsidRPr="00474B22" w:rsidRDefault="00F90B8E" w:rsidP="001D01D9">
            <w:pPr>
              <w:ind w:left="720" w:hanging="720"/>
              <w:jc w:val="both"/>
              <w:rPr>
                <w:rFonts w:ascii="Arial" w:eastAsia="Cambria" w:hAnsi="Arial" w:cs="Arial"/>
                <w:b/>
                <w:sz w:val="16"/>
                <w:szCs w:val="16"/>
                <w:lang w:val="es-CR" w:eastAsia="en-US"/>
              </w:rPr>
            </w:pPr>
          </w:p>
        </w:tc>
        <w:tc>
          <w:tcPr>
            <w:tcW w:w="4361" w:type="dxa"/>
          </w:tcPr>
          <w:p w:rsidR="00F90B8E" w:rsidRPr="00474B22" w:rsidRDefault="00F90B8E" w:rsidP="001D01D9">
            <w:pPr>
              <w:jc w:val="both"/>
              <w:rPr>
                <w:rFonts w:ascii="Arial" w:eastAsia="Cambria" w:hAnsi="Arial" w:cs="Arial"/>
                <w:b/>
                <w:sz w:val="16"/>
                <w:szCs w:val="16"/>
                <w:lang w:val="es-ES_tradnl" w:eastAsia="en-US"/>
              </w:rPr>
            </w:pPr>
          </w:p>
        </w:tc>
        <w:tc>
          <w:tcPr>
            <w:tcW w:w="5103" w:type="dxa"/>
            <w:gridSpan w:val="2"/>
          </w:tcPr>
          <w:p w:rsidR="00F90B8E" w:rsidRPr="00474B22" w:rsidRDefault="00F90B8E" w:rsidP="001D01D9">
            <w:pPr>
              <w:jc w:val="both"/>
              <w:rPr>
                <w:rFonts w:ascii="Arial" w:eastAsia="Cambria" w:hAnsi="Arial" w:cs="Arial"/>
                <w:b/>
                <w:sz w:val="16"/>
                <w:szCs w:val="16"/>
                <w:lang w:val="es-ES_tradnl" w:eastAsia="en-US"/>
              </w:rPr>
            </w:pPr>
          </w:p>
        </w:tc>
      </w:tr>
    </w:tbl>
    <w:p w:rsidR="00F41044" w:rsidRPr="00F41044" w:rsidRDefault="00F90B8E" w:rsidP="00DB25EE">
      <w:pPr>
        <w:jc w:val="both"/>
        <w:rPr>
          <w:rFonts w:ascii="Arial" w:eastAsia="Cambria" w:hAnsi="Arial" w:cs="Arial"/>
          <w:sz w:val="22"/>
          <w:szCs w:val="22"/>
          <w:lang w:eastAsia="en-US"/>
        </w:rPr>
      </w:pPr>
      <w:r>
        <w:rPr>
          <w:rFonts w:ascii="Arial" w:eastAsia="Cambria" w:hAnsi="Arial" w:cs="Arial"/>
          <w:sz w:val="22"/>
          <w:szCs w:val="22"/>
          <w:lang w:eastAsia="en-US"/>
        </w:rPr>
        <w:t xml:space="preserve"> </w:t>
      </w:r>
      <w:proofErr w:type="spellStart"/>
      <w:r>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F9" w:rsidRDefault="00501AF9">
      <w:r>
        <w:separator/>
      </w:r>
    </w:p>
  </w:endnote>
  <w:endnote w:type="continuationSeparator" w:id="0">
    <w:p w:rsidR="00501AF9" w:rsidRDefault="0050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865388t00">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F9" w:rsidRDefault="00501AF9">
      <w:r>
        <w:separator/>
      </w:r>
    </w:p>
  </w:footnote>
  <w:footnote w:type="continuationSeparator" w:id="0">
    <w:p w:rsidR="00501AF9" w:rsidRDefault="0050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DB25EE">
      <w:rPr>
        <w:rFonts w:ascii="Arial" w:eastAsia="Cambria" w:hAnsi="Arial" w:cs="Arial"/>
        <w:i/>
        <w:sz w:val="18"/>
        <w:szCs w:val="18"/>
        <w:lang w:val="es-ES_tradnl" w:eastAsia="x-none"/>
      </w:rPr>
      <w:t>5</w:t>
    </w:r>
    <w:r w:rsidR="001705D8">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F90B8E">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F2896">
      <w:rPr>
        <w:rFonts w:ascii="Arial" w:eastAsia="Cambria" w:hAnsi="Arial" w:cs="Arial"/>
        <w:i/>
        <w:sz w:val="18"/>
        <w:szCs w:val="18"/>
        <w:lang w:val="es-ES_tradnl" w:eastAsia="x-none"/>
      </w:rPr>
      <w:t>1</w:t>
    </w:r>
    <w:r w:rsidR="001705D8">
      <w:rPr>
        <w:rFonts w:ascii="Arial" w:eastAsia="Cambria" w:hAnsi="Arial" w:cs="Arial"/>
        <w:i/>
        <w:sz w:val="18"/>
        <w:szCs w:val="18"/>
        <w:lang w:val="es-ES_tradnl" w:eastAsia="x-none"/>
      </w:rPr>
      <w:t>7</w:t>
    </w:r>
    <w:r>
      <w:rPr>
        <w:rFonts w:ascii="Arial" w:eastAsia="Cambria" w:hAnsi="Arial" w:cs="Arial"/>
        <w:i/>
        <w:sz w:val="18"/>
        <w:szCs w:val="18"/>
        <w:lang w:val="es-ES_tradnl" w:eastAsia="x-none"/>
      </w:rPr>
      <w:t xml:space="preserve"> de e</w:t>
    </w:r>
    <w:r w:rsidR="001705D8">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1705D8">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12772">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53CC0"/>
    <w:multiLevelType w:val="hybridMultilevel"/>
    <w:tmpl w:val="B5ECD664"/>
    <w:lvl w:ilvl="0" w:tplc="140A001B">
      <w:start w:val="1"/>
      <w:numFmt w:val="lowerRoman"/>
      <w:lvlText w:val="%1."/>
      <w:lvlJc w:val="right"/>
      <w:pPr>
        <w:ind w:left="2340" w:hanging="360"/>
      </w:pPr>
    </w:lvl>
    <w:lvl w:ilvl="1" w:tplc="140A0019" w:tentative="1">
      <w:start w:val="1"/>
      <w:numFmt w:val="lowerLetter"/>
      <w:lvlText w:val="%2."/>
      <w:lvlJc w:val="left"/>
      <w:pPr>
        <w:ind w:left="3060" w:hanging="360"/>
      </w:pPr>
    </w:lvl>
    <w:lvl w:ilvl="2" w:tplc="140A001B" w:tentative="1">
      <w:start w:val="1"/>
      <w:numFmt w:val="lowerRoman"/>
      <w:lvlText w:val="%3."/>
      <w:lvlJc w:val="right"/>
      <w:pPr>
        <w:ind w:left="3780" w:hanging="180"/>
      </w:pPr>
    </w:lvl>
    <w:lvl w:ilvl="3" w:tplc="140A000F" w:tentative="1">
      <w:start w:val="1"/>
      <w:numFmt w:val="decimal"/>
      <w:lvlText w:val="%4."/>
      <w:lvlJc w:val="left"/>
      <w:pPr>
        <w:ind w:left="4500" w:hanging="360"/>
      </w:pPr>
    </w:lvl>
    <w:lvl w:ilvl="4" w:tplc="140A0019" w:tentative="1">
      <w:start w:val="1"/>
      <w:numFmt w:val="lowerLetter"/>
      <w:lvlText w:val="%5."/>
      <w:lvlJc w:val="left"/>
      <w:pPr>
        <w:ind w:left="5220" w:hanging="360"/>
      </w:pPr>
    </w:lvl>
    <w:lvl w:ilvl="5" w:tplc="140A001B" w:tentative="1">
      <w:start w:val="1"/>
      <w:numFmt w:val="lowerRoman"/>
      <w:lvlText w:val="%6."/>
      <w:lvlJc w:val="right"/>
      <w:pPr>
        <w:ind w:left="5940" w:hanging="180"/>
      </w:pPr>
    </w:lvl>
    <w:lvl w:ilvl="6" w:tplc="140A000F" w:tentative="1">
      <w:start w:val="1"/>
      <w:numFmt w:val="decimal"/>
      <w:lvlText w:val="%7."/>
      <w:lvlJc w:val="left"/>
      <w:pPr>
        <w:ind w:left="6660" w:hanging="360"/>
      </w:pPr>
    </w:lvl>
    <w:lvl w:ilvl="7" w:tplc="140A0019" w:tentative="1">
      <w:start w:val="1"/>
      <w:numFmt w:val="lowerLetter"/>
      <w:lvlText w:val="%8."/>
      <w:lvlJc w:val="left"/>
      <w:pPr>
        <w:ind w:left="7380" w:hanging="360"/>
      </w:pPr>
    </w:lvl>
    <w:lvl w:ilvl="8" w:tplc="140A001B" w:tentative="1">
      <w:start w:val="1"/>
      <w:numFmt w:val="lowerRoman"/>
      <w:lvlText w:val="%9."/>
      <w:lvlJc w:val="right"/>
      <w:pPr>
        <w:ind w:left="8100" w:hanging="180"/>
      </w:pPr>
    </w:lvl>
  </w:abstractNum>
  <w:abstractNum w:abstractNumId="2" w15:restartNumberingAfterBreak="0">
    <w:nsid w:val="10D20D5F"/>
    <w:multiLevelType w:val="hybridMultilevel"/>
    <w:tmpl w:val="5DEA507E"/>
    <w:lvl w:ilvl="0" w:tplc="6010A5D4">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3A7496"/>
    <w:multiLevelType w:val="hybridMultilevel"/>
    <w:tmpl w:val="D32E1A78"/>
    <w:lvl w:ilvl="0" w:tplc="C7A454B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681ACC"/>
    <w:multiLevelType w:val="hybridMultilevel"/>
    <w:tmpl w:val="B7527026"/>
    <w:lvl w:ilvl="0" w:tplc="DC0E9A64">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CD4CE4"/>
    <w:multiLevelType w:val="multilevel"/>
    <w:tmpl w:val="1E609FE6"/>
    <w:lvl w:ilvl="0">
      <w:start w:val="1"/>
      <w:numFmt w:val="lowerLetter"/>
      <w:lvlText w:val="%1."/>
      <w:lvlJc w:val="left"/>
      <w:pPr>
        <w:ind w:left="720" w:hanging="360"/>
      </w:pPr>
      <w:rPr>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04586"/>
    <w:multiLevelType w:val="multilevel"/>
    <w:tmpl w:val="1E609FE6"/>
    <w:lvl w:ilvl="0">
      <w:start w:val="1"/>
      <w:numFmt w:val="lowerLetter"/>
      <w:lvlText w:val="%1."/>
      <w:lvlJc w:val="left"/>
      <w:pPr>
        <w:ind w:left="720" w:hanging="360"/>
      </w:pPr>
      <w:rPr>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E0B19"/>
    <w:multiLevelType w:val="multilevel"/>
    <w:tmpl w:val="D0AE18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1554AA"/>
    <w:multiLevelType w:val="multilevel"/>
    <w:tmpl w:val="967A3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437A38"/>
    <w:multiLevelType w:val="multilevel"/>
    <w:tmpl w:val="0832B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235C0F"/>
    <w:multiLevelType w:val="hybridMultilevel"/>
    <w:tmpl w:val="E1E84136"/>
    <w:lvl w:ilvl="0" w:tplc="140A0019">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45318B1"/>
    <w:multiLevelType w:val="multilevel"/>
    <w:tmpl w:val="66CAC2D4"/>
    <w:lvl w:ilvl="0">
      <w:start w:val="1"/>
      <w:numFmt w:val="decimal"/>
      <w:lvlText w:val="%1."/>
      <w:lvlJc w:val="left"/>
      <w:pPr>
        <w:ind w:left="720" w:hanging="360"/>
      </w:pPr>
      <w:rPr>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175615"/>
    <w:multiLevelType w:val="hybridMultilevel"/>
    <w:tmpl w:val="1FA215B4"/>
    <w:lvl w:ilvl="0" w:tplc="F732C6A4">
      <w:start w:val="6"/>
      <w:numFmt w:val="lowerLetter"/>
      <w:lvlText w:val="%1."/>
      <w:lvlJc w:val="left"/>
      <w:pPr>
        <w:ind w:left="720" w:hanging="360"/>
      </w:pPr>
      <w:rPr>
        <w:rFonts w:ascii="Verdana" w:hAnsi="Verdana" w:cs="Times New Roman" w:hint="default"/>
        <w:i w:val="0"/>
        <w:sz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35D0333"/>
    <w:multiLevelType w:val="hybridMultilevel"/>
    <w:tmpl w:val="401024B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68F1E67"/>
    <w:multiLevelType w:val="multilevel"/>
    <w:tmpl w:val="27AC5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6B0868"/>
    <w:multiLevelType w:val="hybridMultilevel"/>
    <w:tmpl w:val="AA087374"/>
    <w:lvl w:ilvl="0" w:tplc="836E7A7A">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7" w15:restartNumberingAfterBreak="0">
    <w:nsid w:val="4DB90040"/>
    <w:multiLevelType w:val="hybridMultilevel"/>
    <w:tmpl w:val="040222D2"/>
    <w:lvl w:ilvl="0" w:tplc="401AA0F8">
      <w:start w:val="1"/>
      <w:numFmt w:val="lowerLetter"/>
      <w:lvlText w:val="%1."/>
      <w:lvlJc w:val="left"/>
      <w:pPr>
        <w:ind w:left="1004" w:hanging="360"/>
      </w:pPr>
      <w:rPr>
        <w:rFonts w:hint="default"/>
        <w:b w:val="0"/>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8" w15:restartNumberingAfterBreak="0">
    <w:nsid w:val="4DDF32AA"/>
    <w:multiLevelType w:val="hybridMultilevel"/>
    <w:tmpl w:val="A4200BC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05A64B7"/>
    <w:multiLevelType w:val="hybridMultilevel"/>
    <w:tmpl w:val="DF78919C"/>
    <w:lvl w:ilvl="0" w:tplc="9AEA909A">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3BE5747"/>
    <w:multiLevelType w:val="hybridMultilevel"/>
    <w:tmpl w:val="0262D6CA"/>
    <w:lvl w:ilvl="0" w:tplc="7C4C0E9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6EE28D0"/>
    <w:multiLevelType w:val="hybridMultilevel"/>
    <w:tmpl w:val="44AC0C7C"/>
    <w:lvl w:ilvl="0" w:tplc="578876E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416048"/>
    <w:multiLevelType w:val="hybridMultilevel"/>
    <w:tmpl w:val="44BEBA0E"/>
    <w:lvl w:ilvl="0" w:tplc="22A222F4">
      <w:start w:val="1"/>
      <w:numFmt w:val="lowerLetter"/>
      <w:lvlText w:val="%1."/>
      <w:lvlJc w:val="left"/>
      <w:pPr>
        <w:ind w:left="720" w:hanging="360"/>
      </w:pPr>
      <w:rPr>
        <w:rFonts w:ascii="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C763A0C"/>
    <w:multiLevelType w:val="hybridMultilevel"/>
    <w:tmpl w:val="21262536"/>
    <w:lvl w:ilvl="0" w:tplc="0F406762">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AFA2CDA"/>
    <w:multiLevelType w:val="multilevel"/>
    <w:tmpl w:val="EEFA7710"/>
    <w:lvl w:ilvl="0">
      <w:start w:val="1"/>
      <w:numFmt w:val="decimal"/>
      <w:lvlText w:val="%1."/>
      <w:lvlJc w:val="left"/>
      <w:pPr>
        <w:ind w:left="720" w:hanging="360"/>
      </w:pPr>
      <w:rPr>
        <w:rFonts w:ascii="Arial" w:eastAsia="Arial" w:hAnsi="Arial" w:cs="Arial"/>
        <w:b/>
        <w:color w:val="4E4E4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B47AC0"/>
    <w:multiLevelType w:val="multilevel"/>
    <w:tmpl w:val="0832B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096887"/>
    <w:multiLevelType w:val="hybridMultilevel"/>
    <w:tmpl w:val="B15489A2"/>
    <w:lvl w:ilvl="0" w:tplc="A6CC64B8">
      <w:start w:val="1"/>
      <w:numFmt w:val="lowerLetter"/>
      <w:lvlText w:val="%1."/>
      <w:lvlJc w:val="left"/>
      <w:pPr>
        <w:ind w:left="36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F401F0F"/>
    <w:multiLevelType w:val="hybridMultilevel"/>
    <w:tmpl w:val="F1B8A9DE"/>
    <w:lvl w:ilvl="0" w:tplc="5AEA387C">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3"/>
  </w:num>
  <w:num w:numId="5">
    <w:abstractNumId w:val="17"/>
  </w:num>
  <w:num w:numId="6">
    <w:abstractNumId w:val="4"/>
  </w:num>
  <w:num w:numId="7">
    <w:abstractNumId w:val="10"/>
  </w:num>
  <w:num w:numId="8">
    <w:abstractNumId w:val="15"/>
  </w:num>
  <w:num w:numId="9">
    <w:abstractNumId w:val="2"/>
  </w:num>
  <w:num w:numId="10">
    <w:abstractNumId w:val="23"/>
  </w:num>
  <w:num w:numId="11">
    <w:abstractNumId w:val="19"/>
  </w:num>
  <w:num w:numId="12">
    <w:abstractNumId w:val="28"/>
  </w:num>
  <w:num w:numId="13">
    <w:abstractNumId w:val="22"/>
  </w:num>
  <w:num w:numId="14">
    <w:abstractNumId w:val="12"/>
  </w:num>
  <w:num w:numId="15">
    <w:abstractNumId w:val="14"/>
  </w:num>
  <w:num w:numId="16">
    <w:abstractNumId w:val="8"/>
  </w:num>
  <w:num w:numId="17">
    <w:abstractNumId w:val="9"/>
  </w:num>
  <w:num w:numId="18">
    <w:abstractNumId w:val="5"/>
  </w:num>
  <w:num w:numId="19">
    <w:abstractNumId w:val="13"/>
  </w:num>
  <w:num w:numId="20">
    <w:abstractNumId w:val="18"/>
  </w:num>
  <w:num w:numId="21">
    <w:abstractNumId w:val="21"/>
  </w:num>
  <w:num w:numId="22">
    <w:abstractNumId w:val="20"/>
  </w:num>
  <w:num w:numId="23">
    <w:abstractNumId w:val="26"/>
  </w:num>
  <w:num w:numId="24">
    <w:abstractNumId w:val="6"/>
  </w:num>
  <w:num w:numId="25">
    <w:abstractNumId w:val="1"/>
  </w:num>
  <w:num w:numId="26">
    <w:abstractNumId w:val="25"/>
  </w:num>
  <w:num w:numId="27">
    <w:abstractNumId w:val="11"/>
  </w:num>
  <w:num w:numId="28">
    <w:abstractNumId w:val="7"/>
  </w:num>
  <w:num w:numId="2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9D4"/>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6DBF"/>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05D8"/>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D5546"/>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AF4"/>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1E40"/>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4F9"/>
    <w:rsid w:val="004D6CA2"/>
    <w:rsid w:val="004E1FC9"/>
    <w:rsid w:val="004E23CB"/>
    <w:rsid w:val="004E3D7B"/>
    <w:rsid w:val="004E65FB"/>
    <w:rsid w:val="004E6E23"/>
    <w:rsid w:val="004F319C"/>
    <w:rsid w:val="004F6BA9"/>
    <w:rsid w:val="004F7EB0"/>
    <w:rsid w:val="00501AF9"/>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3211"/>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5E54"/>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4810"/>
    <w:rsid w:val="00816407"/>
    <w:rsid w:val="00823CC6"/>
    <w:rsid w:val="00825809"/>
    <w:rsid w:val="00825F93"/>
    <w:rsid w:val="00831982"/>
    <w:rsid w:val="0083257F"/>
    <w:rsid w:val="00835E65"/>
    <w:rsid w:val="00836144"/>
    <w:rsid w:val="00836DF7"/>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1678"/>
    <w:rsid w:val="008757CC"/>
    <w:rsid w:val="008765DF"/>
    <w:rsid w:val="00876EC4"/>
    <w:rsid w:val="00877453"/>
    <w:rsid w:val="0088064F"/>
    <w:rsid w:val="008833CD"/>
    <w:rsid w:val="0088783A"/>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3191"/>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14F3"/>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09D"/>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896"/>
    <w:rsid w:val="00CF2D7E"/>
    <w:rsid w:val="00CF3F70"/>
    <w:rsid w:val="00D0233D"/>
    <w:rsid w:val="00D023EE"/>
    <w:rsid w:val="00D0240D"/>
    <w:rsid w:val="00D040A1"/>
    <w:rsid w:val="00D0436A"/>
    <w:rsid w:val="00D111F5"/>
    <w:rsid w:val="00D12772"/>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25EE"/>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1ADE"/>
    <w:rsid w:val="00E22D17"/>
    <w:rsid w:val="00E26992"/>
    <w:rsid w:val="00E30502"/>
    <w:rsid w:val="00E359B9"/>
    <w:rsid w:val="00E37B8A"/>
    <w:rsid w:val="00E41D82"/>
    <w:rsid w:val="00E42135"/>
    <w:rsid w:val="00E42492"/>
    <w:rsid w:val="00E426E5"/>
    <w:rsid w:val="00E42914"/>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6D8"/>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0B8E"/>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03510"/>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basedOn w:val="Normal"/>
    <w:rsid w:val="00836DF7"/>
    <w:pPr>
      <w:autoSpaceDE w:val="0"/>
      <w:autoSpaceDN w:val="0"/>
      <w:spacing w:line="288" w:lineRule="auto"/>
    </w:pPr>
    <w:rPr>
      <w:rFonts w:eastAsia="Calibri"/>
      <w:color w:val="00000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38487157">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94478239">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6315-866E-4820-B15E-E9157CDC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4</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201</cp:revision>
  <cp:lastPrinted>2018-01-17T20:12:00Z</cp:lastPrinted>
  <dcterms:created xsi:type="dcterms:W3CDTF">2016-10-05T20:00:00Z</dcterms:created>
  <dcterms:modified xsi:type="dcterms:W3CDTF">2018-01-18T15:22:00Z</dcterms:modified>
</cp:coreProperties>
</file>