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72E2E">
        <w:rPr>
          <w:rFonts w:ascii="Arial" w:hAnsi="Arial" w:cs="Arial"/>
          <w:b/>
          <w:bCs/>
          <w:iCs/>
          <w:sz w:val="26"/>
          <w:szCs w:val="22"/>
          <w:lang w:val="es-CR"/>
        </w:rPr>
        <w:t>108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772E2E" w:rsidRDefault="00772E2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de Recursos Humanos </w:t>
            </w:r>
          </w:p>
          <w:p w:rsidR="00A65BB9" w:rsidRDefault="00A65BB9" w:rsidP="00A65BB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w:t>
            </w:r>
            <w:r w:rsidRPr="005A43B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Fernández </w:t>
            </w:r>
            <w:r w:rsidRPr="005A43BC">
              <w:rPr>
                <w:rFonts w:ascii="Arial" w:eastAsia="Cambria" w:hAnsi="Arial" w:cs="Arial"/>
                <w:sz w:val="22"/>
                <w:szCs w:val="22"/>
                <w:lang w:val="es-ES_tradnl" w:eastAsia="en-US"/>
              </w:rPr>
              <w:t>Directora</w:t>
            </w:r>
            <w:r>
              <w:rPr>
                <w:rFonts w:ascii="Arial" w:eastAsia="Cambria" w:hAnsi="Arial" w:cs="Arial"/>
                <w:sz w:val="22"/>
                <w:szCs w:val="22"/>
                <w:lang w:val="es-ES_tradnl" w:eastAsia="en-US"/>
              </w:rPr>
              <w:t xml:space="preserve"> </w:t>
            </w:r>
            <w:r w:rsidRPr="005A43BC">
              <w:rPr>
                <w:rFonts w:ascii="Arial" w:eastAsia="Cambria" w:hAnsi="Arial" w:cs="Arial"/>
                <w:sz w:val="22"/>
                <w:szCs w:val="22"/>
                <w:lang w:val="es-ES_tradnl" w:eastAsia="en-US"/>
              </w:rPr>
              <w:t xml:space="preserve">Oficina de Planificación Institucional </w:t>
            </w:r>
          </w:p>
          <w:p w:rsidR="00302A99" w:rsidRPr="00302A99" w:rsidRDefault="00302A99" w:rsidP="0020478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20478D"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8002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0478D">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480029">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480029">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480029">
              <w:rPr>
                <w:rFonts w:ascii="Arial" w:eastAsia="Calibri" w:hAnsi="Arial" w:cs="Arial"/>
                <w:b/>
                <w:sz w:val="22"/>
                <w:szCs w:val="22"/>
              </w:rPr>
              <w:t>5</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480029">
              <w:rPr>
                <w:rFonts w:ascii="Arial" w:eastAsia="Calibri" w:hAnsi="Arial" w:cs="Arial"/>
                <w:b/>
                <w:sz w:val="22"/>
                <w:szCs w:val="22"/>
              </w:rPr>
              <w:t>14</w:t>
            </w:r>
            <w:r w:rsidR="0020478D">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480029">
              <w:rPr>
                <w:rFonts w:ascii="Arial" w:eastAsia="Calibri" w:hAnsi="Arial" w:cs="Arial"/>
                <w:b/>
                <w:sz w:val="22"/>
                <w:szCs w:val="22"/>
              </w:rPr>
              <w:t>Modificación del inciso a, del acuerdo de la Sesión Ordinaria No. 3025, Artículo 14, del 07 de junio de 2017.  Renovación y Reconversión de plazas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772E2E" w:rsidRPr="00772E2E" w:rsidRDefault="00772E2E" w:rsidP="00772E2E">
      <w:pPr>
        <w:rPr>
          <w:rFonts w:ascii="Arial" w:hAnsi="Arial" w:cs="Arial"/>
          <w:b/>
        </w:rPr>
      </w:pPr>
      <w:r w:rsidRPr="00772E2E">
        <w:rPr>
          <w:rFonts w:ascii="Arial" w:hAnsi="Arial" w:cs="Arial"/>
          <w:b/>
        </w:rPr>
        <w:t>RESULTANDO QUE:</w:t>
      </w:r>
    </w:p>
    <w:p w:rsidR="00772E2E" w:rsidRPr="00772E2E" w:rsidRDefault="00772E2E" w:rsidP="00772E2E">
      <w:pPr>
        <w:rPr>
          <w:rFonts w:ascii="Arial" w:hAnsi="Arial" w:cs="Arial"/>
          <w:b/>
          <w:sz w:val="28"/>
        </w:rPr>
      </w:pPr>
    </w:p>
    <w:p w:rsidR="00772E2E" w:rsidRPr="00772E2E" w:rsidRDefault="00772E2E" w:rsidP="00772E2E">
      <w:pPr>
        <w:numPr>
          <w:ilvl w:val="0"/>
          <w:numId w:val="9"/>
        </w:numPr>
        <w:contextualSpacing/>
        <w:jc w:val="both"/>
        <w:rPr>
          <w:rFonts w:ascii="Arial" w:eastAsia="Calibri" w:hAnsi="Arial" w:cs="Arial"/>
          <w:lang w:val="es-CR" w:eastAsia="en-US"/>
        </w:rPr>
      </w:pPr>
      <w:r w:rsidRPr="00772E2E">
        <w:rPr>
          <w:rFonts w:ascii="Arial" w:eastAsia="Calibri" w:hAnsi="Arial" w:cs="Arial"/>
          <w:lang w:val="es-CR" w:eastAsia="en-US"/>
        </w:rPr>
        <w:t>El Artículo 21 del Reglamento del Consejo Institucional indica lo siguiente:</w:t>
      </w:r>
    </w:p>
    <w:p w:rsidR="00772E2E" w:rsidRPr="00772E2E" w:rsidRDefault="00772E2E" w:rsidP="00772E2E">
      <w:pPr>
        <w:ind w:left="709"/>
        <w:jc w:val="both"/>
        <w:rPr>
          <w:rFonts w:ascii="Arial" w:eastAsia="Calibri" w:hAnsi="Arial" w:cs="Arial"/>
          <w:i/>
          <w:lang w:val="es-CR" w:eastAsia="en-US"/>
        </w:rPr>
      </w:pPr>
    </w:p>
    <w:p w:rsidR="00772E2E" w:rsidRPr="00772E2E" w:rsidRDefault="00772E2E" w:rsidP="00772E2E">
      <w:pPr>
        <w:ind w:left="993" w:right="333"/>
        <w:jc w:val="both"/>
        <w:rPr>
          <w:rFonts w:ascii="Arial" w:eastAsia="Calibri" w:hAnsi="Arial" w:cs="Arial"/>
          <w:i/>
          <w:lang w:val="es-CR" w:eastAsia="en-US"/>
        </w:rPr>
      </w:pPr>
      <w:r w:rsidRPr="00772E2E">
        <w:rPr>
          <w:rFonts w:ascii="Arial" w:eastAsia="Calibri" w:hAnsi="Arial" w:cs="Arial"/>
          <w:i/>
          <w:lang w:val="es-CR" w:eastAsia="en-US"/>
        </w:rPr>
        <w:t xml:space="preserve">“Son asuntos propios del análisis y dictamen de la Comisión de Planificación y Administración según su competencia los siguientes: </w:t>
      </w:r>
    </w:p>
    <w:p w:rsidR="00772E2E" w:rsidRPr="00772E2E" w:rsidRDefault="00772E2E" w:rsidP="00772E2E">
      <w:pPr>
        <w:ind w:left="360" w:right="333"/>
        <w:jc w:val="both"/>
        <w:rPr>
          <w:rFonts w:ascii="Arial" w:eastAsia="Calibri" w:hAnsi="Arial" w:cs="Arial"/>
          <w:i/>
          <w:lang w:val="es-CR" w:eastAsia="en-US"/>
        </w:rPr>
      </w:pPr>
      <w:r w:rsidRPr="00772E2E">
        <w:rPr>
          <w:rFonts w:ascii="Arial" w:eastAsia="Calibri" w:hAnsi="Arial" w:cs="Arial"/>
          <w:i/>
          <w:lang w:val="es-CR" w:eastAsia="en-US"/>
        </w:rPr>
        <w:t>…</w:t>
      </w:r>
    </w:p>
    <w:p w:rsidR="00772E2E" w:rsidRPr="00772E2E" w:rsidRDefault="00772E2E" w:rsidP="00772E2E">
      <w:pPr>
        <w:ind w:left="993" w:right="333"/>
        <w:jc w:val="both"/>
        <w:rPr>
          <w:rFonts w:ascii="Arial" w:eastAsia="Calibri" w:hAnsi="Arial" w:cs="Arial"/>
          <w:i/>
          <w:lang w:val="es-CR" w:eastAsia="en-US"/>
        </w:rPr>
      </w:pPr>
      <w:r w:rsidRPr="00772E2E">
        <w:rPr>
          <w:rFonts w:ascii="Arial" w:eastAsia="Calibri" w:hAnsi="Arial" w:cs="Arial"/>
          <w:i/>
          <w:lang w:val="es-CR" w:eastAsia="en-US"/>
        </w:rPr>
        <w:t>c. La creación, modificación y eliminación de plazas.”</w:t>
      </w:r>
    </w:p>
    <w:p w:rsidR="00772E2E" w:rsidRPr="00772E2E" w:rsidRDefault="00772E2E" w:rsidP="00772E2E">
      <w:pPr>
        <w:ind w:left="709"/>
        <w:jc w:val="both"/>
        <w:rPr>
          <w:rFonts w:ascii="Arial" w:eastAsia="Calibri" w:hAnsi="Arial" w:cs="Arial"/>
          <w:lang w:val="es-CR" w:eastAsia="en-US"/>
        </w:rPr>
      </w:pPr>
    </w:p>
    <w:p w:rsidR="00772E2E" w:rsidRPr="00772E2E" w:rsidRDefault="00772E2E" w:rsidP="00772E2E">
      <w:pPr>
        <w:numPr>
          <w:ilvl w:val="0"/>
          <w:numId w:val="9"/>
        </w:numPr>
        <w:contextualSpacing/>
        <w:jc w:val="both"/>
        <w:rPr>
          <w:rFonts w:ascii="Arial" w:eastAsia="Calibri" w:hAnsi="Arial" w:cs="Arial"/>
          <w:lang w:val="es-CR" w:eastAsia="en-US"/>
        </w:rPr>
      </w:pPr>
      <w:r w:rsidRPr="00772E2E">
        <w:rPr>
          <w:rFonts w:ascii="Arial" w:eastAsia="Calibri" w:hAnsi="Arial" w:cs="Arial"/>
          <w:lang w:val="es-CR" w:eastAsia="en-US"/>
        </w:rPr>
        <w:t>Las Normas de Contratación y Remuneración del Personal del Instituto Tecnológico de Costa Rica, indican en su Artículo 2, inciso a, lo siguiente:</w:t>
      </w:r>
    </w:p>
    <w:p w:rsidR="00772E2E" w:rsidRPr="00772E2E" w:rsidRDefault="00772E2E" w:rsidP="00772E2E">
      <w:pPr>
        <w:ind w:left="708"/>
        <w:jc w:val="both"/>
        <w:rPr>
          <w:rFonts w:ascii="Arial" w:eastAsia="Calibri" w:hAnsi="Arial" w:cs="Arial"/>
          <w:lang w:val="es-CR" w:eastAsia="en-US"/>
        </w:rPr>
      </w:pPr>
    </w:p>
    <w:p w:rsidR="00772E2E" w:rsidRPr="00772E2E" w:rsidRDefault="00772E2E" w:rsidP="00772E2E">
      <w:pPr>
        <w:ind w:left="360" w:right="333"/>
        <w:jc w:val="both"/>
        <w:rPr>
          <w:rFonts w:ascii="Arial" w:eastAsia="Calibri" w:hAnsi="Arial" w:cs="Arial"/>
          <w:i/>
          <w:lang w:val="es-CR" w:eastAsia="en-US"/>
        </w:rPr>
      </w:pPr>
      <w:r w:rsidRPr="00772E2E">
        <w:rPr>
          <w:rFonts w:ascii="Arial" w:eastAsia="Calibri" w:hAnsi="Arial" w:cs="Arial"/>
          <w:i/>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772E2E" w:rsidRPr="00772E2E" w:rsidRDefault="00772E2E" w:rsidP="00772E2E">
      <w:pPr>
        <w:ind w:left="426"/>
        <w:jc w:val="both"/>
        <w:rPr>
          <w:rFonts w:ascii="Arial" w:eastAsia="Calibri" w:hAnsi="Arial" w:cs="Arial"/>
          <w:lang w:val="es-CR" w:eastAsia="en-US"/>
        </w:rPr>
      </w:pPr>
    </w:p>
    <w:p w:rsidR="00772E2E" w:rsidRPr="00772E2E" w:rsidRDefault="00772E2E" w:rsidP="00772E2E">
      <w:pPr>
        <w:numPr>
          <w:ilvl w:val="0"/>
          <w:numId w:val="9"/>
        </w:numPr>
        <w:contextualSpacing/>
        <w:jc w:val="both"/>
        <w:rPr>
          <w:rFonts w:ascii="Arial" w:eastAsia="Calibri" w:hAnsi="Arial" w:cs="Arial"/>
          <w:lang w:val="es-CR" w:eastAsia="en-US"/>
        </w:rPr>
      </w:pPr>
      <w:r w:rsidRPr="00772E2E">
        <w:rPr>
          <w:rFonts w:ascii="Arial" w:eastAsia="Calibri" w:hAnsi="Arial" w:cs="Arial"/>
          <w:lang w:val="es-CR" w:eastAsia="en-US"/>
        </w:rPr>
        <w:t>El Consejo Institucional en la Sesión Ordinaria No. 3025, Artículo 14, del 07 de junio de 2017, tomó el acuerdo “Renovación y Reconversión de plazas 2018”, en el inciso d) acordó:</w:t>
      </w:r>
    </w:p>
    <w:p w:rsidR="00772E2E" w:rsidRPr="00772E2E" w:rsidRDefault="00772E2E" w:rsidP="00772E2E">
      <w:pPr>
        <w:ind w:left="360"/>
        <w:contextualSpacing/>
        <w:jc w:val="both"/>
        <w:rPr>
          <w:rFonts w:ascii="Arial" w:eastAsia="Calibri" w:hAnsi="Arial" w:cs="Arial"/>
          <w:lang w:val="es-CR" w:eastAsia="en-US"/>
        </w:rPr>
      </w:pPr>
    </w:p>
    <w:p w:rsidR="00772E2E" w:rsidRDefault="00772E2E" w:rsidP="00772E2E">
      <w:pPr>
        <w:ind w:left="1418" w:right="474"/>
        <w:contextualSpacing/>
        <w:jc w:val="both"/>
        <w:rPr>
          <w:rFonts w:ascii="Arial" w:eastAsia="Calibri" w:hAnsi="Arial" w:cs="Arial"/>
          <w:i/>
          <w:sz w:val="22"/>
          <w:szCs w:val="22"/>
          <w:lang w:val="es-ES_tradnl" w:eastAsia="en-US"/>
        </w:rPr>
      </w:pPr>
      <w:r w:rsidRPr="00772E2E">
        <w:rPr>
          <w:rFonts w:ascii="Arial" w:eastAsia="Calibri" w:hAnsi="Arial" w:cs="Arial"/>
          <w:i/>
          <w:sz w:val="22"/>
          <w:szCs w:val="22"/>
          <w:lang w:val="es-CR" w:eastAsia="en-US"/>
        </w:rPr>
        <w:t>“</w:t>
      </w:r>
      <w:r w:rsidRPr="00772E2E">
        <w:rPr>
          <w:rFonts w:ascii="Arial" w:eastAsia="Calibri" w:hAnsi="Arial" w:cs="Arial"/>
          <w:i/>
          <w:sz w:val="22"/>
          <w:szCs w:val="22"/>
          <w:lang w:val="es-ES_tradnl" w:eastAsia="en-US"/>
        </w:rPr>
        <w:t>d)  Indicar a la Administración realizar los ajustes necesarios en la codificación de las plazas, en caso de ser necesario.”</w:t>
      </w:r>
    </w:p>
    <w:p w:rsidR="00772E2E" w:rsidRPr="00772E2E" w:rsidRDefault="00772E2E" w:rsidP="00772E2E">
      <w:pPr>
        <w:ind w:left="1418" w:right="474"/>
        <w:contextualSpacing/>
        <w:jc w:val="both"/>
        <w:rPr>
          <w:rFonts w:ascii="Arial" w:eastAsia="Calibri" w:hAnsi="Arial" w:cs="Arial"/>
          <w:i/>
          <w:sz w:val="22"/>
          <w:szCs w:val="22"/>
          <w:lang w:val="es-ES_tradnl" w:eastAsia="en-US"/>
        </w:rPr>
      </w:pPr>
    </w:p>
    <w:p w:rsidR="00772E2E" w:rsidRPr="00772E2E" w:rsidRDefault="00772E2E" w:rsidP="00772E2E">
      <w:pPr>
        <w:ind w:left="708"/>
        <w:contextualSpacing/>
        <w:jc w:val="both"/>
        <w:rPr>
          <w:rFonts w:ascii="Arial" w:eastAsia="Calibri" w:hAnsi="Arial" w:cs="Arial"/>
          <w:lang w:val="es-CR" w:eastAsia="en-US"/>
        </w:rPr>
      </w:pPr>
    </w:p>
    <w:p w:rsidR="00772E2E" w:rsidRPr="00772E2E" w:rsidRDefault="00772E2E" w:rsidP="00772E2E">
      <w:pPr>
        <w:rPr>
          <w:rFonts w:ascii="Arial" w:hAnsi="Arial" w:cs="Arial"/>
          <w:b/>
          <w:sz w:val="28"/>
        </w:rPr>
      </w:pPr>
      <w:r w:rsidRPr="00772E2E">
        <w:rPr>
          <w:rFonts w:ascii="Arial" w:hAnsi="Arial" w:cs="Arial"/>
          <w:b/>
          <w:sz w:val="28"/>
        </w:rPr>
        <w:lastRenderedPageBreak/>
        <w:t>CONSIDERANDO QUE:</w:t>
      </w:r>
    </w:p>
    <w:p w:rsidR="00772E2E" w:rsidRPr="00772E2E" w:rsidRDefault="00772E2E" w:rsidP="00772E2E">
      <w:pPr>
        <w:rPr>
          <w:rFonts w:ascii="Arial" w:hAnsi="Arial" w:cs="Arial"/>
          <w:b/>
          <w:sz w:val="28"/>
        </w:rPr>
      </w:pPr>
    </w:p>
    <w:p w:rsidR="00772E2E" w:rsidRPr="00772E2E" w:rsidRDefault="00772E2E" w:rsidP="00772E2E">
      <w:pPr>
        <w:numPr>
          <w:ilvl w:val="0"/>
          <w:numId w:val="24"/>
        </w:numPr>
        <w:ind w:left="357" w:right="-91" w:hanging="357"/>
        <w:contextualSpacing/>
        <w:jc w:val="both"/>
        <w:rPr>
          <w:rFonts w:ascii="Arial" w:eastAsia="Calibri" w:hAnsi="Arial" w:cs="Arial"/>
          <w:sz w:val="22"/>
          <w:szCs w:val="22"/>
          <w:lang w:val="es-CR" w:eastAsia="en-US"/>
        </w:rPr>
      </w:pPr>
      <w:r w:rsidRPr="00772E2E">
        <w:rPr>
          <w:rFonts w:ascii="Arial" w:hAnsi="Arial" w:cs="Arial"/>
          <w:lang w:val="es-ES_tradnl" w:eastAsia="en-US"/>
        </w:rPr>
        <w:t xml:space="preserve">La Secretaría del Consejo Institucional recibe oficio RH-1221-2017, con fecha de recibido 08 de diciembre de 2017, suscrito por el MBA. Harold Blanco, Director del Departamento de Recursos Humanos, dirigido a la Licda. Bertalía Sánchez Salas, Directora Ejecutiva Secretaría del Consejo Institucional, en el cual </w:t>
      </w:r>
      <w:r w:rsidRPr="00772E2E">
        <w:rPr>
          <w:rFonts w:ascii="Arial" w:eastAsia="Calibri" w:hAnsi="Arial" w:cs="Arial"/>
          <w:lang w:val="es-CR" w:eastAsia="en-US"/>
        </w:rPr>
        <w:t xml:space="preserve">solicita realizar el trámite correspondiente para la recodificación de las plazas aprobadas mediante acuerdo del Consejo Institucional, Sesión No. 3025, del 8 de diciembre de 2017, según el siguiente cuadro: </w:t>
      </w:r>
    </w:p>
    <w:p w:rsidR="00772E2E" w:rsidRPr="00772E2E" w:rsidRDefault="00772E2E" w:rsidP="00772E2E">
      <w:pPr>
        <w:spacing w:line="360" w:lineRule="auto"/>
        <w:ind w:left="708" w:right="-91"/>
        <w:contextualSpacing/>
        <w:jc w:val="both"/>
        <w:rPr>
          <w:rFonts w:ascii="Arial" w:eastAsia="Calibri" w:hAnsi="Arial" w:cs="Arial"/>
          <w:sz w:val="22"/>
          <w:szCs w:val="22"/>
          <w:lang w:val="es-CR" w:eastAsia="en-US"/>
        </w:rPr>
      </w:pPr>
    </w:p>
    <w:tbl>
      <w:tblPr>
        <w:tblW w:w="97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363"/>
        <w:gridCol w:w="710"/>
        <w:gridCol w:w="843"/>
        <w:gridCol w:w="1305"/>
        <w:gridCol w:w="330"/>
        <w:gridCol w:w="550"/>
        <w:gridCol w:w="449"/>
        <w:gridCol w:w="567"/>
        <w:gridCol w:w="7"/>
        <w:gridCol w:w="1061"/>
        <w:gridCol w:w="1581"/>
        <w:gridCol w:w="1385"/>
      </w:tblGrid>
      <w:tr w:rsidR="00772E2E" w:rsidRPr="00772E2E" w:rsidTr="00532B7D">
        <w:trPr>
          <w:trHeight w:val="225"/>
        </w:trPr>
        <w:tc>
          <w:tcPr>
            <w:tcW w:w="620" w:type="dxa"/>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w:t>
            </w:r>
          </w:p>
        </w:tc>
        <w:tc>
          <w:tcPr>
            <w:tcW w:w="363" w:type="dxa"/>
            <w:vMerge w:val="restart"/>
            <w:shd w:val="clear" w:color="auto" w:fill="8496B0"/>
            <w:textDirection w:val="btLr"/>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Programa</w:t>
            </w:r>
          </w:p>
        </w:tc>
        <w:tc>
          <w:tcPr>
            <w:tcW w:w="710" w:type="dxa"/>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Actual</w:t>
            </w:r>
          </w:p>
        </w:tc>
        <w:tc>
          <w:tcPr>
            <w:tcW w:w="843" w:type="dxa"/>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Nuevo</w:t>
            </w:r>
          </w:p>
        </w:tc>
        <w:tc>
          <w:tcPr>
            <w:tcW w:w="1305" w:type="dxa"/>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Puesto</w:t>
            </w:r>
          </w:p>
        </w:tc>
        <w:tc>
          <w:tcPr>
            <w:tcW w:w="330" w:type="dxa"/>
            <w:vMerge w:val="restart"/>
            <w:shd w:val="clear" w:color="auto" w:fill="8496B0"/>
            <w:textDirection w:val="btLr"/>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Categoría</w:t>
            </w:r>
          </w:p>
        </w:tc>
        <w:tc>
          <w:tcPr>
            <w:tcW w:w="550" w:type="dxa"/>
            <w:vMerge w:val="restart"/>
            <w:shd w:val="clear" w:color="auto" w:fill="8496B0"/>
            <w:textDirection w:val="btLr"/>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Jornada</w:t>
            </w:r>
          </w:p>
        </w:tc>
        <w:tc>
          <w:tcPr>
            <w:tcW w:w="449" w:type="dxa"/>
            <w:vMerge w:val="restart"/>
            <w:shd w:val="clear" w:color="auto" w:fill="8496B0"/>
            <w:textDirection w:val="btLr"/>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Periodo (meses)</w:t>
            </w:r>
          </w:p>
        </w:tc>
        <w:tc>
          <w:tcPr>
            <w:tcW w:w="567" w:type="dxa"/>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TCE</w:t>
            </w:r>
          </w:p>
        </w:tc>
        <w:tc>
          <w:tcPr>
            <w:tcW w:w="1068" w:type="dxa"/>
            <w:gridSpan w:val="2"/>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Nombramiento</w:t>
            </w:r>
          </w:p>
        </w:tc>
        <w:tc>
          <w:tcPr>
            <w:tcW w:w="1581" w:type="dxa"/>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Adscrita a:</w:t>
            </w:r>
          </w:p>
        </w:tc>
        <w:tc>
          <w:tcPr>
            <w:tcW w:w="1385" w:type="dxa"/>
            <w:vMerge w:val="restart"/>
            <w:shd w:val="clear" w:color="auto" w:fill="8496B0"/>
            <w:vAlign w:val="center"/>
            <w:hideMark/>
          </w:tcPr>
          <w:p w:rsidR="00772E2E" w:rsidRPr="00772E2E" w:rsidRDefault="00772E2E" w:rsidP="00772E2E">
            <w:pPr>
              <w:jc w:val="center"/>
              <w:rPr>
                <w:rFonts w:ascii="Calibri" w:hAnsi="Calibri" w:cs="Calibri"/>
                <w:b/>
                <w:bCs/>
                <w:color w:val="000000"/>
                <w:sz w:val="16"/>
                <w:szCs w:val="16"/>
                <w:lang w:val="es-CR" w:eastAsia="es-CR"/>
              </w:rPr>
            </w:pPr>
            <w:r w:rsidRPr="00772E2E">
              <w:rPr>
                <w:rFonts w:ascii="Calibri" w:hAnsi="Calibri" w:cs="Calibri"/>
                <w:b/>
                <w:bCs/>
                <w:color w:val="000000"/>
                <w:sz w:val="16"/>
                <w:szCs w:val="16"/>
                <w:lang w:val="es-CR" w:eastAsia="es-CR"/>
              </w:rPr>
              <w:t>Observaciones</w:t>
            </w:r>
          </w:p>
        </w:tc>
      </w:tr>
      <w:tr w:rsidR="00772E2E" w:rsidRPr="00772E2E" w:rsidTr="00532B7D">
        <w:trPr>
          <w:trHeight w:val="593"/>
        </w:trPr>
        <w:tc>
          <w:tcPr>
            <w:tcW w:w="620" w:type="dxa"/>
            <w:vMerge/>
            <w:vAlign w:val="center"/>
            <w:hideMark/>
          </w:tcPr>
          <w:p w:rsidR="00772E2E" w:rsidRPr="00772E2E" w:rsidRDefault="00772E2E" w:rsidP="00772E2E">
            <w:pPr>
              <w:rPr>
                <w:rFonts w:ascii="Calibri" w:hAnsi="Calibri" w:cs="Calibri"/>
                <w:b/>
                <w:bCs/>
                <w:sz w:val="16"/>
                <w:szCs w:val="16"/>
                <w:lang w:val="es-CR" w:eastAsia="es-CR"/>
              </w:rPr>
            </w:pPr>
          </w:p>
        </w:tc>
        <w:tc>
          <w:tcPr>
            <w:tcW w:w="363" w:type="dxa"/>
            <w:vMerge/>
            <w:vAlign w:val="center"/>
            <w:hideMark/>
          </w:tcPr>
          <w:p w:rsidR="00772E2E" w:rsidRPr="00772E2E" w:rsidRDefault="00772E2E" w:rsidP="00772E2E">
            <w:pPr>
              <w:rPr>
                <w:rFonts w:ascii="Calibri" w:hAnsi="Calibri" w:cs="Calibri"/>
                <w:b/>
                <w:bCs/>
                <w:sz w:val="16"/>
                <w:szCs w:val="16"/>
                <w:lang w:val="es-CR" w:eastAsia="es-CR"/>
              </w:rPr>
            </w:pPr>
          </w:p>
        </w:tc>
        <w:tc>
          <w:tcPr>
            <w:tcW w:w="710" w:type="dxa"/>
            <w:shd w:val="clear" w:color="auto" w:fill="8496B0"/>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Cód. plaza </w:t>
            </w:r>
          </w:p>
        </w:tc>
        <w:tc>
          <w:tcPr>
            <w:tcW w:w="843" w:type="dxa"/>
            <w:shd w:val="clear" w:color="auto" w:fill="8496B0"/>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Cód. plaza  año 2018</w:t>
            </w:r>
          </w:p>
        </w:tc>
        <w:tc>
          <w:tcPr>
            <w:tcW w:w="1305" w:type="dxa"/>
            <w:vMerge/>
            <w:vAlign w:val="center"/>
            <w:hideMark/>
          </w:tcPr>
          <w:p w:rsidR="00772E2E" w:rsidRPr="00772E2E" w:rsidRDefault="00772E2E" w:rsidP="00772E2E">
            <w:pPr>
              <w:rPr>
                <w:rFonts w:ascii="Calibri" w:hAnsi="Calibri" w:cs="Calibri"/>
                <w:b/>
                <w:bCs/>
                <w:sz w:val="16"/>
                <w:szCs w:val="16"/>
                <w:lang w:val="es-CR" w:eastAsia="es-CR"/>
              </w:rPr>
            </w:pPr>
          </w:p>
        </w:tc>
        <w:tc>
          <w:tcPr>
            <w:tcW w:w="330" w:type="dxa"/>
            <w:vMerge/>
            <w:vAlign w:val="center"/>
            <w:hideMark/>
          </w:tcPr>
          <w:p w:rsidR="00772E2E" w:rsidRPr="00772E2E" w:rsidRDefault="00772E2E" w:rsidP="00772E2E">
            <w:pPr>
              <w:rPr>
                <w:rFonts w:ascii="Calibri" w:hAnsi="Calibri" w:cs="Calibri"/>
                <w:b/>
                <w:bCs/>
                <w:sz w:val="16"/>
                <w:szCs w:val="16"/>
                <w:lang w:val="es-CR" w:eastAsia="es-CR"/>
              </w:rPr>
            </w:pPr>
          </w:p>
        </w:tc>
        <w:tc>
          <w:tcPr>
            <w:tcW w:w="550" w:type="dxa"/>
            <w:vMerge/>
            <w:vAlign w:val="center"/>
            <w:hideMark/>
          </w:tcPr>
          <w:p w:rsidR="00772E2E" w:rsidRPr="00772E2E" w:rsidRDefault="00772E2E" w:rsidP="00772E2E">
            <w:pPr>
              <w:rPr>
                <w:rFonts w:ascii="Calibri" w:hAnsi="Calibri" w:cs="Calibri"/>
                <w:b/>
                <w:bCs/>
                <w:sz w:val="16"/>
                <w:szCs w:val="16"/>
                <w:lang w:val="es-CR" w:eastAsia="es-CR"/>
              </w:rPr>
            </w:pPr>
          </w:p>
        </w:tc>
        <w:tc>
          <w:tcPr>
            <w:tcW w:w="449" w:type="dxa"/>
            <w:vMerge/>
            <w:vAlign w:val="center"/>
            <w:hideMark/>
          </w:tcPr>
          <w:p w:rsidR="00772E2E" w:rsidRPr="00772E2E" w:rsidRDefault="00772E2E" w:rsidP="00772E2E">
            <w:pPr>
              <w:rPr>
                <w:rFonts w:ascii="Calibri" w:hAnsi="Calibri" w:cs="Calibri"/>
                <w:b/>
                <w:bCs/>
                <w:sz w:val="16"/>
                <w:szCs w:val="16"/>
                <w:lang w:val="es-CR" w:eastAsia="es-CR"/>
              </w:rPr>
            </w:pPr>
          </w:p>
        </w:tc>
        <w:tc>
          <w:tcPr>
            <w:tcW w:w="567" w:type="dxa"/>
            <w:vMerge/>
            <w:vAlign w:val="center"/>
            <w:hideMark/>
          </w:tcPr>
          <w:p w:rsidR="00772E2E" w:rsidRPr="00772E2E" w:rsidRDefault="00772E2E" w:rsidP="00772E2E">
            <w:pPr>
              <w:rPr>
                <w:rFonts w:ascii="Calibri" w:hAnsi="Calibri" w:cs="Calibri"/>
                <w:b/>
                <w:bCs/>
                <w:sz w:val="16"/>
                <w:szCs w:val="16"/>
                <w:lang w:val="es-CR" w:eastAsia="es-CR"/>
              </w:rPr>
            </w:pPr>
          </w:p>
        </w:tc>
        <w:tc>
          <w:tcPr>
            <w:tcW w:w="1068" w:type="dxa"/>
            <w:gridSpan w:val="2"/>
            <w:vMerge/>
            <w:vAlign w:val="center"/>
            <w:hideMark/>
          </w:tcPr>
          <w:p w:rsidR="00772E2E" w:rsidRPr="00772E2E" w:rsidRDefault="00772E2E" w:rsidP="00772E2E">
            <w:pPr>
              <w:rPr>
                <w:rFonts w:ascii="Calibri" w:hAnsi="Calibri" w:cs="Calibri"/>
                <w:b/>
                <w:bCs/>
                <w:sz w:val="16"/>
                <w:szCs w:val="16"/>
                <w:lang w:val="es-CR" w:eastAsia="es-CR"/>
              </w:rPr>
            </w:pPr>
          </w:p>
        </w:tc>
        <w:tc>
          <w:tcPr>
            <w:tcW w:w="1581" w:type="dxa"/>
            <w:vMerge/>
            <w:vAlign w:val="center"/>
            <w:hideMark/>
          </w:tcPr>
          <w:p w:rsidR="00772E2E" w:rsidRPr="00772E2E" w:rsidRDefault="00772E2E" w:rsidP="00772E2E">
            <w:pPr>
              <w:rPr>
                <w:rFonts w:ascii="Calibri" w:hAnsi="Calibri" w:cs="Calibri"/>
                <w:b/>
                <w:bCs/>
                <w:sz w:val="16"/>
                <w:szCs w:val="16"/>
                <w:lang w:val="es-CR" w:eastAsia="es-CR"/>
              </w:rPr>
            </w:pPr>
          </w:p>
        </w:tc>
        <w:tc>
          <w:tcPr>
            <w:tcW w:w="1385" w:type="dxa"/>
            <w:vMerge/>
            <w:vAlign w:val="center"/>
            <w:hideMark/>
          </w:tcPr>
          <w:p w:rsidR="00772E2E" w:rsidRPr="00772E2E" w:rsidRDefault="00772E2E" w:rsidP="00772E2E">
            <w:pPr>
              <w:rPr>
                <w:rFonts w:ascii="Calibri" w:hAnsi="Calibri" w:cs="Calibri"/>
                <w:b/>
                <w:bCs/>
                <w:sz w:val="16"/>
                <w:szCs w:val="16"/>
                <w:lang w:val="es-CR" w:eastAsia="es-CR"/>
              </w:rPr>
            </w:pPr>
          </w:p>
        </w:tc>
      </w:tr>
      <w:tr w:rsidR="00772E2E" w:rsidRPr="00772E2E" w:rsidTr="00532B7D">
        <w:trPr>
          <w:trHeight w:val="69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1.1</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CT0344</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CF2990</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Profesional en Tecnologías de Información y Comunicación </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67"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8"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DATIC</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Profesional en Diseño Web</w:t>
            </w:r>
          </w:p>
        </w:tc>
      </w:tr>
      <w:tr w:rsidR="00772E2E" w:rsidRPr="00772E2E" w:rsidTr="00532B7D">
        <w:trPr>
          <w:trHeight w:val="114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16</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CT0254</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CF2991</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Profesional en Administración</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67"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8"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Departamento de Aprovisionamiento</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Para fiscalizar los contratos de tercerización que tiene la institución.</w:t>
            </w:r>
          </w:p>
        </w:tc>
      </w:tr>
      <w:tr w:rsidR="00772E2E" w:rsidRPr="00772E2E" w:rsidTr="00532B7D">
        <w:trPr>
          <w:trHeight w:val="147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20</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SE048</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CF2989</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Técnico Administración</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16</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67"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8"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Dirección Vicerrectoría de Administración/ Departamento de Recursos Humanos  </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Se requiere renovar como plaza por Cargos Fijos y no servicios especiales.</w:t>
            </w:r>
          </w:p>
        </w:tc>
      </w:tr>
      <w:tr w:rsidR="00772E2E" w:rsidRPr="00772E2E" w:rsidTr="00532B7D">
        <w:trPr>
          <w:trHeight w:val="91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22</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1.3</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CF2763</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Técnico(a) en Mantenimiento o Artes Gráficas</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14</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67"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8"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Dirección Centro Académico San José</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Ampliación de jornada de 50% a 100%</w:t>
            </w:r>
          </w:p>
        </w:tc>
      </w:tr>
      <w:tr w:rsidR="00772E2E" w:rsidRPr="00772E2E" w:rsidTr="00532B7D">
        <w:trPr>
          <w:trHeight w:val="1339"/>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54</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CT0397</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CF2992</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Ing. En Computación Limón</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Ing. En Computación Centro Académico Limón. Para dar estabilidad laboral al personal CAL.</w:t>
            </w:r>
          </w:p>
        </w:tc>
      </w:tr>
      <w:tr w:rsidR="00772E2E" w:rsidRPr="00772E2E" w:rsidTr="00532B7D">
        <w:trPr>
          <w:trHeight w:val="159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57</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CT0400</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CF2993</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Ing. En PI Limón</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Ing. Producción Industrial Centro Académico Limón. Para dar estabilidad laboral al personal CAL.</w:t>
            </w:r>
          </w:p>
        </w:tc>
      </w:tr>
      <w:tr w:rsidR="00772E2E" w:rsidRPr="00772E2E" w:rsidTr="00532B7D">
        <w:trPr>
          <w:trHeight w:val="155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60</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CT0403</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CF2994</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Ing. En AE Limón</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Carrera de Administración de Empresas Centro Académico Limón. Para dar estabilidad laboral al personal CAL. </w:t>
            </w:r>
          </w:p>
        </w:tc>
      </w:tr>
      <w:tr w:rsidR="00772E2E" w:rsidRPr="00772E2E" w:rsidTr="00532B7D">
        <w:trPr>
          <w:trHeight w:val="114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67</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3</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CF2389</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Profesional en Asesoría Legal</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Dirección Vida Estudiantil y Servicios Académicos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Ampliación de jornada de 50% a 100%  del defensor de los estudiantes</w:t>
            </w:r>
          </w:p>
        </w:tc>
      </w:tr>
      <w:tr w:rsidR="00772E2E" w:rsidRPr="00772E2E" w:rsidTr="00532B7D">
        <w:trPr>
          <w:trHeight w:val="181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lastRenderedPageBreak/>
              <w:t>68</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3</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CF2566</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Profesional en Asesoría estudiantil</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DOP . Comisión Institucional de Equiparación de oportunidades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Ampliación de jornada de 50% a 100% para el Programa de la Comisión Institucional de Equiparación de oportunidades.</w:t>
            </w:r>
          </w:p>
        </w:tc>
      </w:tr>
      <w:tr w:rsidR="00772E2E" w:rsidRPr="00772E2E" w:rsidTr="00532B7D">
        <w:trPr>
          <w:trHeight w:val="834"/>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116</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4</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NT0215</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Director</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Dirección Vicerrectoría de Investigación y Extensión</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Para la Dirección de Extensión</w:t>
            </w:r>
          </w:p>
        </w:tc>
      </w:tr>
      <w:tr w:rsidR="00772E2E" w:rsidRPr="00772E2E" w:rsidTr="00532B7D">
        <w:trPr>
          <w:trHeight w:val="1683"/>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117</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4</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NT0222</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Profesional en Administración</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 NT</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Dirección de Proyectos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Se mantiene NT, ya que fue una plaza que se le dio para asistencia al Vicerrector de Investigación y de nombramiento discrecional.</w:t>
            </w:r>
          </w:p>
        </w:tc>
      </w:tr>
      <w:tr w:rsidR="00772E2E" w:rsidRPr="00772E2E" w:rsidTr="00532B7D">
        <w:trPr>
          <w:trHeight w:val="1414"/>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118</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CF2174</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NT0235</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 NT</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Escuela de Agronomia</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Para asignarla al Director de la Escuela de Agronomía, Pasar al director actual a esta nueva plaza.</w:t>
            </w:r>
          </w:p>
        </w:tc>
      </w:tr>
      <w:tr w:rsidR="00772E2E" w:rsidRPr="00772E2E" w:rsidTr="00532B7D">
        <w:trPr>
          <w:trHeight w:val="3390"/>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119</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CT0405</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CF2995</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Producción Industrial - San Carlos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Reconvertir en plaza de condición de Cargo Fijo para cubrir los cursos propios de la Unidad Desconcentrada de Producción Industrial - San Carlos y el aumento de la población estudiantil, en la Sede Regional de San Carlos.</w:t>
            </w:r>
          </w:p>
        </w:tc>
      </w:tr>
      <w:tr w:rsidR="00772E2E" w:rsidRPr="00772E2E" w:rsidTr="00532B7D">
        <w:trPr>
          <w:trHeight w:val="3109"/>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120</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CT0406</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CF2996</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Producción Industrial - San Carlos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Reconvertir en plaza de condición de Cargo Fijo para cubrir los cursos propios de la Unidad Desconcentrada de Producción Industrial - San Carlos y el aumento de la población estudiantil, en la Sede Regional de San Carlos.</w:t>
            </w:r>
          </w:p>
        </w:tc>
      </w:tr>
      <w:tr w:rsidR="00772E2E" w:rsidRPr="00772E2E" w:rsidTr="00532B7D">
        <w:trPr>
          <w:trHeight w:val="3959"/>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lastRenderedPageBreak/>
              <w:t>121</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CT0407</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CF2997</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Electrónica - San Carlos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Reconvertir en plaza de condición de Cargo Fijo (puede ser en condición NT, para nombramientos definidos pero de cargo fijo) para cubrir los cursos propios de la Unidad Desconcentrada de Electrónica  - San Carlos y el aumento de la población estudiantil, en la Sede Regional de San Carlos.</w:t>
            </w:r>
          </w:p>
        </w:tc>
      </w:tr>
      <w:tr w:rsidR="00772E2E" w:rsidRPr="00772E2E" w:rsidTr="00532B7D">
        <w:trPr>
          <w:trHeight w:val="396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122</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CT0408</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CF2998</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Electrónica - San Carlos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Reconvertir en plaza de condición de Cargo Fijo (puede ser en condición NT, para nombramientos definidos pero de cargo fijo) para cubrir los cursos propios de la Unidad Desconcentrada de Electrónica  - San Carlos y el aumento de la población estudiantil, en la Sede Regional de San Carlos.</w:t>
            </w:r>
          </w:p>
        </w:tc>
      </w:tr>
      <w:tr w:rsidR="00772E2E" w:rsidRPr="00772E2E" w:rsidTr="00532B7D">
        <w:trPr>
          <w:trHeight w:val="2959"/>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123</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CT0409</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CF2999</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Profesor (a)</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Unidad Desconcentrada de Electrónica - San Carlos</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Reconvertir en plaza de condición de Cargo Fijo para cubrir los cursos propios de la Unidad Desconcentrada de Electrónica  - San Carlos y el aumento de la población estudiantil, en la Sede Regional de San Carlos.</w:t>
            </w:r>
          </w:p>
        </w:tc>
      </w:tr>
      <w:tr w:rsidR="00772E2E" w:rsidRPr="00772E2E" w:rsidTr="00532B7D">
        <w:trPr>
          <w:trHeight w:val="91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124</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CF2435</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Profesional en Asesoría Estudiantil</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23</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DEVESA</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Ampliar de 50% a 100%</w:t>
            </w:r>
          </w:p>
        </w:tc>
      </w:tr>
      <w:tr w:rsidR="00772E2E" w:rsidRPr="00772E2E" w:rsidTr="00532B7D">
        <w:trPr>
          <w:trHeight w:val="915"/>
        </w:trPr>
        <w:tc>
          <w:tcPr>
            <w:tcW w:w="620"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125</w:t>
            </w:r>
          </w:p>
        </w:tc>
        <w:tc>
          <w:tcPr>
            <w:tcW w:w="363"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5</w:t>
            </w:r>
          </w:p>
        </w:tc>
        <w:tc>
          <w:tcPr>
            <w:tcW w:w="71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CF1085  </w:t>
            </w:r>
          </w:p>
        </w:tc>
        <w:tc>
          <w:tcPr>
            <w:tcW w:w="843" w:type="dxa"/>
            <w:shd w:val="clear" w:color="auto" w:fill="auto"/>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Se mantiene el mismo código</w:t>
            </w:r>
          </w:p>
        </w:tc>
        <w:tc>
          <w:tcPr>
            <w:tcW w:w="1305"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 xml:space="preserve">Profesional en Salud O1 </w:t>
            </w:r>
          </w:p>
        </w:tc>
        <w:tc>
          <w:tcPr>
            <w:tcW w:w="33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25</w:t>
            </w:r>
          </w:p>
        </w:tc>
        <w:tc>
          <w:tcPr>
            <w:tcW w:w="550"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100%</w:t>
            </w:r>
          </w:p>
        </w:tc>
        <w:tc>
          <w:tcPr>
            <w:tcW w:w="449"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12</w:t>
            </w:r>
          </w:p>
        </w:tc>
        <w:tc>
          <w:tcPr>
            <w:tcW w:w="574" w:type="dxa"/>
            <w:gridSpan w:val="2"/>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1</w:t>
            </w:r>
          </w:p>
        </w:tc>
        <w:tc>
          <w:tcPr>
            <w:tcW w:w="1061" w:type="dxa"/>
            <w:shd w:val="clear" w:color="auto" w:fill="auto"/>
            <w:noWrap/>
            <w:vAlign w:val="center"/>
            <w:hideMark/>
          </w:tcPr>
          <w:p w:rsidR="00772E2E" w:rsidRPr="00772E2E" w:rsidRDefault="00772E2E" w:rsidP="00772E2E">
            <w:pPr>
              <w:jc w:val="center"/>
              <w:rPr>
                <w:rFonts w:ascii="Calibri" w:hAnsi="Calibri" w:cs="Calibri"/>
                <w:b/>
                <w:bCs/>
                <w:sz w:val="16"/>
                <w:szCs w:val="16"/>
                <w:lang w:val="es-CR" w:eastAsia="es-CR"/>
              </w:rPr>
            </w:pPr>
            <w:r w:rsidRPr="00772E2E">
              <w:rPr>
                <w:rFonts w:ascii="Calibri" w:hAnsi="Calibri" w:cs="Calibri"/>
                <w:b/>
                <w:bCs/>
                <w:sz w:val="16"/>
                <w:szCs w:val="16"/>
                <w:lang w:val="es-CR" w:eastAsia="es-CR"/>
              </w:rPr>
              <w:t>Permanente</w:t>
            </w:r>
          </w:p>
        </w:tc>
        <w:tc>
          <w:tcPr>
            <w:tcW w:w="1581" w:type="dxa"/>
            <w:shd w:val="clear" w:color="auto" w:fill="auto"/>
            <w:vAlign w:val="center"/>
            <w:hideMark/>
          </w:tcPr>
          <w:p w:rsidR="00772E2E" w:rsidRPr="00772E2E" w:rsidRDefault="00772E2E" w:rsidP="00772E2E">
            <w:pPr>
              <w:rPr>
                <w:rFonts w:ascii="Calibri" w:hAnsi="Calibri" w:cs="Calibri"/>
                <w:b/>
                <w:bCs/>
                <w:sz w:val="16"/>
                <w:szCs w:val="16"/>
                <w:lang w:val="es-CR" w:eastAsia="es-CR"/>
              </w:rPr>
            </w:pPr>
            <w:r w:rsidRPr="00772E2E">
              <w:rPr>
                <w:rFonts w:ascii="Calibri" w:hAnsi="Calibri" w:cs="Calibri"/>
                <w:b/>
                <w:bCs/>
                <w:sz w:val="16"/>
                <w:szCs w:val="16"/>
                <w:lang w:val="es-CR" w:eastAsia="es-CR"/>
              </w:rPr>
              <w:t>DEVESA</w:t>
            </w:r>
          </w:p>
        </w:tc>
        <w:tc>
          <w:tcPr>
            <w:tcW w:w="1385" w:type="dxa"/>
            <w:shd w:val="clear" w:color="auto" w:fill="auto"/>
            <w:vAlign w:val="center"/>
            <w:hideMark/>
          </w:tcPr>
          <w:p w:rsidR="00772E2E" w:rsidRPr="00772E2E" w:rsidRDefault="00772E2E" w:rsidP="00772E2E">
            <w:pPr>
              <w:jc w:val="both"/>
              <w:rPr>
                <w:rFonts w:ascii="Calibri" w:hAnsi="Calibri" w:cs="Calibri"/>
                <w:b/>
                <w:bCs/>
                <w:sz w:val="16"/>
                <w:szCs w:val="16"/>
                <w:lang w:val="es-CR" w:eastAsia="es-CR"/>
              </w:rPr>
            </w:pPr>
            <w:r w:rsidRPr="00772E2E">
              <w:rPr>
                <w:rFonts w:ascii="Calibri" w:hAnsi="Calibri" w:cs="Calibri"/>
                <w:b/>
                <w:bCs/>
                <w:sz w:val="16"/>
                <w:szCs w:val="16"/>
                <w:lang w:val="es-CR" w:eastAsia="es-CR"/>
              </w:rPr>
              <w:t>Ampliar de 20% a 100%. Odontología</w:t>
            </w:r>
          </w:p>
        </w:tc>
      </w:tr>
    </w:tbl>
    <w:p w:rsidR="00772E2E" w:rsidRPr="00772E2E" w:rsidRDefault="00772E2E" w:rsidP="00772E2E">
      <w:pPr>
        <w:spacing w:line="360" w:lineRule="auto"/>
        <w:ind w:left="360"/>
        <w:jc w:val="both"/>
        <w:rPr>
          <w:rFonts w:ascii="ArialMT" w:hAnsi="ArialMT" w:cs="ArialMT"/>
        </w:rPr>
      </w:pPr>
    </w:p>
    <w:p w:rsidR="00772E2E" w:rsidRPr="00772E2E" w:rsidRDefault="00772E2E" w:rsidP="00772E2E">
      <w:pPr>
        <w:numPr>
          <w:ilvl w:val="0"/>
          <w:numId w:val="24"/>
        </w:numPr>
        <w:ind w:left="284"/>
        <w:contextualSpacing/>
        <w:jc w:val="both"/>
        <w:rPr>
          <w:rFonts w:ascii="Arial" w:eastAsia="Calibri" w:hAnsi="Arial" w:cs="Arial"/>
          <w:lang w:val="es-CR" w:eastAsia="en-US"/>
        </w:rPr>
      </w:pPr>
      <w:r w:rsidRPr="00772E2E">
        <w:rPr>
          <w:rFonts w:ascii="Arial" w:eastAsia="Calibri" w:hAnsi="Arial" w:cs="Arial"/>
          <w:lang w:val="es-CR" w:eastAsia="en-US"/>
        </w:rPr>
        <w:t xml:space="preserve">La Comisión de Planificación y Administración en la reunión No. 755-2018, realizada el 8 de febrero de 2018, revisa la solicitud del Departamento de Recursos </w:t>
      </w:r>
      <w:r w:rsidRPr="00772E2E">
        <w:rPr>
          <w:rFonts w:ascii="Arial" w:eastAsia="Calibri" w:hAnsi="Arial" w:cs="Arial"/>
          <w:lang w:val="es-CR" w:eastAsia="en-US"/>
        </w:rPr>
        <w:lastRenderedPageBreak/>
        <w:t xml:space="preserve">Humanos, adjunta al oficio RH-1221-2017 y </w:t>
      </w:r>
      <w:r w:rsidRPr="00772E2E">
        <w:rPr>
          <w:rFonts w:ascii="Arial" w:hAnsi="Arial" w:cs="Arial"/>
          <w:lang w:val="es-ES_tradnl" w:eastAsia="en-US"/>
        </w:rPr>
        <w:t>dispone</w:t>
      </w:r>
      <w:r w:rsidRPr="00772E2E">
        <w:rPr>
          <w:rFonts w:ascii="Arial" w:eastAsia="Calibri" w:hAnsi="Arial" w:cs="Arial"/>
          <w:lang w:val="es-CR" w:eastAsia="en-US"/>
        </w:rPr>
        <w:t xml:space="preserve"> elevar la propuesta al pleno sobre la modificación del acuerdo del Consejo Institucional No. 3025, Artículo 14, para corregir los códigos de las citadas plazas.</w:t>
      </w:r>
    </w:p>
    <w:p w:rsidR="00772E2E" w:rsidRPr="00772E2E" w:rsidRDefault="00772E2E" w:rsidP="00772E2E">
      <w:pPr>
        <w:ind w:left="-436"/>
        <w:contextualSpacing/>
        <w:jc w:val="both"/>
        <w:rPr>
          <w:rFonts w:ascii="Arial" w:eastAsia="Calibri" w:hAnsi="Arial" w:cs="Arial"/>
          <w:b/>
          <w:sz w:val="28"/>
          <w:szCs w:val="22"/>
          <w:lang w:val="es-CR" w:eastAsia="en-US"/>
        </w:rPr>
      </w:pPr>
    </w:p>
    <w:p w:rsidR="00772E2E" w:rsidRPr="00772E2E" w:rsidRDefault="00772E2E" w:rsidP="00772E2E">
      <w:pPr>
        <w:contextualSpacing/>
        <w:jc w:val="both"/>
        <w:rPr>
          <w:rFonts w:ascii="Arial" w:eastAsia="Calibri" w:hAnsi="Arial" w:cs="Arial"/>
          <w:b/>
          <w:sz w:val="28"/>
          <w:szCs w:val="22"/>
          <w:lang w:val="es-CR" w:eastAsia="en-US"/>
        </w:rPr>
      </w:pPr>
      <w:r w:rsidRPr="00772E2E">
        <w:rPr>
          <w:rFonts w:ascii="Arial" w:eastAsia="Calibri" w:hAnsi="Arial" w:cs="Arial"/>
          <w:b/>
          <w:sz w:val="28"/>
          <w:szCs w:val="22"/>
          <w:lang w:val="es-CR" w:eastAsia="en-US"/>
        </w:rPr>
        <w:t>SE</w:t>
      </w:r>
      <w:r>
        <w:rPr>
          <w:rFonts w:ascii="Arial" w:eastAsia="Calibri" w:hAnsi="Arial" w:cs="Arial"/>
          <w:b/>
          <w:sz w:val="28"/>
          <w:szCs w:val="22"/>
          <w:lang w:val="es-CR" w:eastAsia="en-US"/>
        </w:rPr>
        <w:t xml:space="preserve"> ACUERDA</w:t>
      </w:r>
      <w:r w:rsidRPr="00772E2E">
        <w:rPr>
          <w:rFonts w:ascii="Arial" w:eastAsia="Calibri" w:hAnsi="Arial" w:cs="Arial"/>
          <w:b/>
          <w:sz w:val="28"/>
          <w:szCs w:val="22"/>
          <w:lang w:val="es-CR" w:eastAsia="en-US"/>
        </w:rPr>
        <w:t>:</w:t>
      </w:r>
    </w:p>
    <w:p w:rsidR="00772E2E" w:rsidRPr="00772E2E" w:rsidRDefault="00772E2E" w:rsidP="00772E2E">
      <w:pPr>
        <w:rPr>
          <w:rFonts w:ascii="Arial" w:hAnsi="Arial" w:cs="Arial"/>
          <w:sz w:val="20"/>
          <w:szCs w:val="20"/>
        </w:rPr>
      </w:pPr>
    </w:p>
    <w:p w:rsidR="00772E2E" w:rsidRPr="00772E2E" w:rsidRDefault="00772E2E" w:rsidP="00772E2E">
      <w:pPr>
        <w:numPr>
          <w:ilvl w:val="0"/>
          <w:numId w:val="23"/>
        </w:numPr>
        <w:ind w:left="284" w:hanging="357"/>
        <w:contextualSpacing/>
        <w:jc w:val="both"/>
        <w:rPr>
          <w:rFonts w:ascii="Arial" w:eastAsia="Calibri" w:hAnsi="Arial" w:cs="Arial"/>
          <w:lang w:eastAsia="en-US"/>
        </w:rPr>
      </w:pPr>
      <w:r w:rsidRPr="00772E2E">
        <w:rPr>
          <w:rFonts w:ascii="Arial" w:eastAsia="Calibri" w:hAnsi="Arial" w:cs="Arial"/>
          <w:lang w:eastAsia="en-US"/>
        </w:rPr>
        <w:t>Modificar el inciso a) del acuerdo de la Sesión Ordinaria No. 3025, Artículo 14, del 07 de junio de 2017, “Renovación y Reconversión de Plazas 2018”, para corregir los códigos de plaza de las siguientes plazas</w:t>
      </w:r>
    </w:p>
    <w:p w:rsidR="00772E2E" w:rsidRPr="00772E2E" w:rsidRDefault="00772E2E" w:rsidP="00772E2E">
      <w:pPr>
        <w:spacing w:after="200" w:line="360" w:lineRule="auto"/>
        <w:ind w:left="708"/>
        <w:jc w:val="both"/>
        <w:rPr>
          <w:rFonts w:ascii="Arial" w:eastAsia="Calibri" w:hAnsi="Arial" w:cs="Arial"/>
          <w:sz w:val="22"/>
          <w:szCs w:val="22"/>
          <w:lang w:val="es-CR" w:eastAsia="en-US"/>
        </w:rPr>
      </w:pPr>
    </w:p>
    <w:tbl>
      <w:tblPr>
        <w:tblW w:w="6408"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959"/>
        <w:gridCol w:w="1636"/>
        <w:gridCol w:w="3136"/>
      </w:tblGrid>
      <w:tr w:rsidR="00772E2E" w:rsidRPr="00772E2E" w:rsidTr="00532B7D">
        <w:trPr>
          <w:trHeight w:val="1099"/>
        </w:trPr>
        <w:tc>
          <w:tcPr>
            <w:tcW w:w="677" w:type="dxa"/>
            <w:shd w:val="clear" w:color="auto" w:fill="8496B0"/>
            <w:vAlign w:val="center"/>
            <w:hideMark/>
          </w:tcPr>
          <w:p w:rsidR="00772E2E" w:rsidRPr="00772E2E" w:rsidRDefault="00772E2E" w:rsidP="00772E2E">
            <w:pPr>
              <w:jc w:val="center"/>
              <w:rPr>
                <w:rFonts w:ascii="Arial" w:hAnsi="Arial" w:cs="Arial"/>
                <w:b/>
                <w:bCs/>
                <w:color w:val="000000"/>
                <w:sz w:val="20"/>
                <w:szCs w:val="20"/>
                <w:lang w:val="es-CR" w:eastAsia="es-CR"/>
              </w:rPr>
            </w:pPr>
            <w:r w:rsidRPr="00772E2E">
              <w:rPr>
                <w:rFonts w:ascii="Arial" w:hAnsi="Arial" w:cs="Arial"/>
                <w:b/>
                <w:bCs/>
                <w:color w:val="000000"/>
                <w:sz w:val="20"/>
                <w:szCs w:val="20"/>
                <w:lang w:val="es-CR" w:eastAsia="es-CR"/>
              </w:rPr>
              <w:t>#</w:t>
            </w:r>
          </w:p>
        </w:tc>
        <w:tc>
          <w:tcPr>
            <w:tcW w:w="959" w:type="dxa"/>
            <w:shd w:val="clear" w:color="auto" w:fill="8496B0"/>
            <w:textDirection w:val="btLr"/>
            <w:vAlign w:val="center"/>
            <w:hideMark/>
          </w:tcPr>
          <w:p w:rsidR="00772E2E" w:rsidRPr="00772E2E" w:rsidRDefault="00772E2E" w:rsidP="00772E2E">
            <w:pPr>
              <w:jc w:val="center"/>
              <w:rPr>
                <w:rFonts w:ascii="Arial" w:hAnsi="Arial" w:cs="Arial"/>
                <w:b/>
                <w:bCs/>
                <w:color w:val="000000"/>
                <w:sz w:val="20"/>
                <w:szCs w:val="20"/>
                <w:lang w:val="es-CR" w:eastAsia="es-CR"/>
              </w:rPr>
            </w:pPr>
            <w:r w:rsidRPr="00772E2E">
              <w:rPr>
                <w:rFonts w:ascii="Arial" w:hAnsi="Arial" w:cs="Arial"/>
                <w:b/>
                <w:bCs/>
                <w:color w:val="000000"/>
                <w:sz w:val="20"/>
                <w:szCs w:val="20"/>
                <w:lang w:val="es-CR" w:eastAsia="es-CR"/>
              </w:rPr>
              <w:t>Programa</w:t>
            </w:r>
          </w:p>
        </w:tc>
        <w:tc>
          <w:tcPr>
            <w:tcW w:w="1636" w:type="dxa"/>
            <w:shd w:val="clear" w:color="auto" w:fill="8496B0"/>
            <w:vAlign w:val="center"/>
            <w:hideMark/>
          </w:tcPr>
          <w:p w:rsidR="00772E2E" w:rsidRPr="00772E2E" w:rsidRDefault="00772E2E" w:rsidP="00772E2E">
            <w:pPr>
              <w:jc w:val="center"/>
              <w:rPr>
                <w:rFonts w:ascii="Arial" w:hAnsi="Arial" w:cs="Arial"/>
                <w:b/>
                <w:bCs/>
                <w:sz w:val="20"/>
                <w:szCs w:val="16"/>
                <w:lang w:val="es-CR" w:eastAsia="es-CR"/>
              </w:rPr>
            </w:pPr>
            <w:r w:rsidRPr="00772E2E">
              <w:rPr>
                <w:rFonts w:ascii="Arial" w:hAnsi="Arial" w:cs="Arial"/>
                <w:b/>
                <w:bCs/>
                <w:sz w:val="20"/>
                <w:szCs w:val="16"/>
                <w:lang w:val="es-CR" w:eastAsia="es-CR"/>
              </w:rPr>
              <w:t xml:space="preserve">Código de plaza </w:t>
            </w:r>
          </w:p>
          <w:p w:rsidR="00772E2E" w:rsidRPr="00772E2E" w:rsidRDefault="00772E2E" w:rsidP="00772E2E">
            <w:pPr>
              <w:jc w:val="center"/>
              <w:rPr>
                <w:rFonts w:ascii="Arial" w:hAnsi="Arial" w:cs="Arial"/>
                <w:b/>
                <w:bCs/>
                <w:color w:val="000000"/>
                <w:sz w:val="20"/>
                <w:szCs w:val="16"/>
                <w:lang w:val="es-CR" w:eastAsia="es-CR"/>
              </w:rPr>
            </w:pPr>
            <w:r w:rsidRPr="00772E2E">
              <w:rPr>
                <w:rFonts w:ascii="Arial" w:hAnsi="Arial" w:cs="Arial"/>
                <w:b/>
                <w:bCs/>
                <w:sz w:val="20"/>
                <w:szCs w:val="16"/>
                <w:lang w:val="es-CR" w:eastAsia="es-CR"/>
              </w:rPr>
              <w:t>Actual</w:t>
            </w:r>
          </w:p>
        </w:tc>
        <w:tc>
          <w:tcPr>
            <w:tcW w:w="3136" w:type="dxa"/>
            <w:shd w:val="clear" w:color="auto" w:fill="8496B0"/>
            <w:vAlign w:val="center"/>
            <w:hideMark/>
          </w:tcPr>
          <w:p w:rsidR="00772E2E" w:rsidRPr="00772E2E" w:rsidRDefault="00772E2E" w:rsidP="00772E2E">
            <w:pPr>
              <w:jc w:val="center"/>
              <w:rPr>
                <w:rFonts w:ascii="Arial" w:hAnsi="Arial" w:cs="Arial"/>
                <w:b/>
                <w:bCs/>
                <w:color w:val="000000"/>
                <w:sz w:val="20"/>
                <w:szCs w:val="16"/>
                <w:lang w:val="es-CR" w:eastAsia="es-CR"/>
              </w:rPr>
            </w:pPr>
            <w:r w:rsidRPr="00772E2E">
              <w:rPr>
                <w:rFonts w:ascii="Arial" w:hAnsi="Arial" w:cs="Arial"/>
                <w:b/>
                <w:bCs/>
                <w:sz w:val="20"/>
                <w:szCs w:val="16"/>
                <w:lang w:val="es-CR" w:eastAsia="es-CR"/>
              </w:rPr>
              <w:t>Código de plaza  nuevo (2018)</w:t>
            </w:r>
          </w:p>
        </w:tc>
      </w:tr>
      <w:tr w:rsidR="00772E2E" w:rsidRPr="00772E2E" w:rsidTr="00532B7D">
        <w:trPr>
          <w:trHeight w:val="473"/>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1.1</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CT0344</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CF2990</w:t>
            </w:r>
          </w:p>
        </w:tc>
      </w:tr>
      <w:tr w:rsidR="00772E2E" w:rsidRPr="00772E2E" w:rsidTr="00532B7D">
        <w:trPr>
          <w:trHeight w:val="409"/>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16</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1.2</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CT0254</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CF2991</w:t>
            </w:r>
          </w:p>
        </w:tc>
      </w:tr>
      <w:tr w:rsidR="00772E2E" w:rsidRPr="00772E2E" w:rsidTr="00532B7D">
        <w:trPr>
          <w:trHeight w:val="414"/>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22</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1.3</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CF2763</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CF2763</w:t>
            </w:r>
          </w:p>
        </w:tc>
      </w:tr>
      <w:tr w:rsidR="00772E2E" w:rsidRPr="00772E2E" w:rsidTr="00532B7D">
        <w:trPr>
          <w:trHeight w:val="42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54</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2</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CT0397</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CF2992</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57</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2</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CT0400</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CF2993</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60</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2</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CT0403</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CF2994</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118</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CF2174</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NT0235</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119</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CT0405</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CF2995</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120</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CT0406</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CF2996</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121</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CT0407</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CF2997</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122</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CT0408</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CF2998</w:t>
            </w:r>
          </w:p>
        </w:tc>
      </w:tr>
      <w:tr w:rsidR="00772E2E" w:rsidRPr="00772E2E" w:rsidTr="00532B7D">
        <w:trPr>
          <w:trHeight w:val="551"/>
        </w:trPr>
        <w:tc>
          <w:tcPr>
            <w:tcW w:w="677" w:type="dxa"/>
            <w:shd w:val="clear" w:color="auto" w:fill="auto"/>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123</w:t>
            </w:r>
          </w:p>
        </w:tc>
        <w:tc>
          <w:tcPr>
            <w:tcW w:w="959" w:type="dxa"/>
            <w:shd w:val="clear" w:color="auto" w:fill="auto"/>
            <w:noWrap/>
            <w:vAlign w:val="center"/>
            <w:hideMark/>
          </w:tcPr>
          <w:p w:rsidR="00772E2E" w:rsidRPr="00772E2E" w:rsidRDefault="00772E2E" w:rsidP="00772E2E">
            <w:pPr>
              <w:jc w:val="center"/>
              <w:rPr>
                <w:rFonts w:ascii="Arial" w:hAnsi="Arial" w:cs="Arial"/>
                <w:bCs/>
                <w:sz w:val="20"/>
                <w:szCs w:val="20"/>
                <w:lang w:val="es-CR" w:eastAsia="es-CR"/>
              </w:rPr>
            </w:pPr>
            <w:r w:rsidRPr="00772E2E">
              <w:rPr>
                <w:rFonts w:ascii="Arial" w:hAnsi="Arial" w:cs="Arial"/>
                <w:bCs/>
                <w:sz w:val="20"/>
                <w:szCs w:val="20"/>
                <w:lang w:val="es-CR" w:eastAsia="es-CR"/>
              </w:rPr>
              <w:t>5</w:t>
            </w:r>
          </w:p>
        </w:tc>
        <w:tc>
          <w:tcPr>
            <w:tcW w:w="1636" w:type="dxa"/>
            <w:shd w:val="clear" w:color="auto" w:fill="auto"/>
            <w:noWrap/>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CT0409</w:t>
            </w:r>
          </w:p>
        </w:tc>
        <w:tc>
          <w:tcPr>
            <w:tcW w:w="3136" w:type="dxa"/>
            <w:shd w:val="clear" w:color="auto" w:fill="auto"/>
            <w:vAlign w:val="center"/>
            <w:hideMark/>
          </w:tcPr>
          <w:p w:rsidR="00772E2E" w:rsidRPr="00772E2E" w:rsidRDefault="00772E2E" w:rsidP="00772E2E">
            <w:pPr>
              <w:jc w:val="center"/>
              <w:rPr>
                <w:rFonts w:ascii="Arial" w:hAnsi="Arial" w:cs="Arial"/>
                <w:bCs/>
                <w:lang w:val="es-CR" w:eastAsia="es-CR"/>
              </w:rPr>
            </w:pPr>
            <w:r w:rsidRPr="00772E2E">
              <w:rPr>
                <w:rFonts w:ascii="Arial" w:hAnsi="Arial" w:cs="Arial"/>
                <w:bCs/>
                <w:lang w:val="es-CR" w:eastAsia="es-CR"/>
              </w:rPr>
              <w:t>CF2999</w:t>
            </w:r>
          </w:p>
        </w:tc>
      </w:tr>
    </w:tbl>
    <w:p w:rsidR="00772E2E" w:rsidRPr="00772E2E" w:rsidRDefault="00772E2E" w:rsidP="00772E2E">
      <w:pPr>
        <w:spacing w:line="360" w:lineRule="auto"/>
        <w:jc w:val="both"/>
        <w:rPr>
          <w:rFonts w:ascii="ArialMT" w:hAnsi="ArialMT" w:cs="ArialMT"/>
        </w:rPr>
      </w:pPr>
    </w:p>
    <w:p w:rsidR="00772E2E" w:rsidRDefault="00772E2E" w:rsidP="007742A1">
      <w:pPr>
        <w:jc w:val="both"/>
        <w:rPr>
          <w:rFonts w:ascii="Arial" w:eastAsia="Cambria" w:hAnsi="Arial" w:cs="Arial"/>
          <w:lang w:val="es-ES_tradnl" w:eastAsia="en-US"/>
        </w:rPr>
      </w:pPr>
    </w:p>
    <w:p w:rsidR="00887FCC" w:rsidRDefault="002204D7" w:rsidP="00772E2E">
      <w:pPr>
        <w:numPr>
          <w:ilvl w:val="0"/>
          <w:numId w:val="23"/>
        </w:numPr>
        <w:ind w:left="284" w:hanging="357"/>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3629D" w:rsidRDefault="0073629D" w:rsidP="0073629D">
      <w:pPr>
        <w:jc w:val="both"/>
        <w:rPr>
          <w:rFonts w:ascii="Arial" w:eastAsia="Calibri" w:hAnsi="Arial" w:cs="Arial"/>
          <w:b/>
          <w:sz w:val="22"/>
          <w:szCs w:val="22"/>
          <w:lang w:val="es-CR" w:eastAsia="en-US"/>
        </w:rPr>
      </w:pPr>
    </w:p>
    <w:p w:rsidR="00772E2E" w:rsidRDefault="00772E2E" w:rsidP="00772E2E">
      <w:pPr>
        <w:tabs>
          <w:tab w:val="left" w:pos="760"/>
        </w:tabs>
        <w:spacing w:line="276" w:lineRule="auto"/>
        <w:jc w:val="both"/>
        <w:rPr>
          <w:rFonts w:ascii="Arial" w:hAnsi="Arial" w:cs="Arial"/>
          <w:b/>
          <w:sz w:val="22"/>
          <w:szCs w:val="22"/>
        </w:rPr>
      </w:pPr>
    </w:p>
    <w:p w:rsidR="00772E2E" w:rsidRPr="00772E2E" w:rsidRDefault="00772E2E" w:rsidP="00772E2E">
      <w:pPr>
        <w:tabs>
          <w:tab w:val="left" w:pos="760"/>
        </w:tabs>
        <w:spacing w:line="276" w:lineRule="auto"/>
        <w:jc w:val="both"/>
        <w:rPr>
          <w:rFonts w:ascii="Arial" w:hAnsi="Arial" w:cs="Arial"/>
        </w:rPr>
      </w:pPr>
      <w:r w:rsidRPr="00772E2E">
        <w:rPr>
          <w:rFonts w:ascii="Arial" w:hAnsi="Arial" w:cs="Arial"/>
          <w:b/>
          <w:sz w:val="22"/>
          <w:szCs w:val="22"/>
        </w:rPr>
        <w:t xml:space="preserve">Palabras clave: Modificación – recodificación – plazas – S 3025 </w:t>
      </w:r>
    </w:p>
    <w:p w:rsidR="00772E2E" w:rsidRPr="00772E2E" w:rsidRDefault="00772E2E" w:rsidP="00772E2E">
      <w:pPr>
        <w:tabs>
          <w:tab w:val="left" w:pos="760"/>
        </w:tabs>
        <w:spacing w:line="276" w:lineRule="auto"/>
        <w:jc w:val="both"/>
        <w:rPr>
          <w:rFonts w:ascii="Arial" w:hAnsi="Arial" w:cs="Arial"/>
          <w:sz w:val="16"/>
          <w:szCs w:val="16"/>
        </w:rPr>
      </w:pPr>
    </w:p>
    <w:p w:rsidR="00772E2E" w:rsidRPr="00772E2E" w:rsidRDefault="00772E2E" w:rsidP="00772E2E">
      <w:pPr>
        <w:jc w:val="both"/>
        <w:rPr>
          <w:rFonts w:ascii="Arial" w:eastAsia="Cambria" w:hAnsi="Arial" w:cs="Arial"/>
          <w:lang w:eastAsia="en-US"/>
        </w:rPr>
      </w:pPr>
    </w:p>
    <w:p w:rsidR="00772E2E" w:rsidRPr="00772E2E" w:rsidRDefault="00772E2E" w:rsidP="0073629D">
      <w:pPr>
        <w:jc w:val="both"/>
        <w:rPr>
          <w:rFonts w:ascii="Arial" w:eastAsia="Calibri" w:hAnsi="Arial" w:cs="Arial"/>
          <w:b/>
          <w:sz w:val="22"/>
          <w:szCs w:val="22"/>
          <w:lang w:eastAsia="en-US"/>
        </w:rPr>
      </w:pPr>
    </w:p>
    <w:p w:rsidR="00772E2E" w:rsidRDefault="00772E2E" w:rsidP="0073629D">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Pr="00474B22" w:rsidRDefault="00CE7F7E" w:rsidP="00A65BB9">
            <w:pPr>
              <w:jc w:val="both"/>
              <w:rPr>
                <w:rFonts w:ascii="Arial" w:eastAsia="Cambria" w:hAnsi="Arial" w:cs="Arial"/>
                <w:b/>
                <w:sz w:val="16"/>
                <w:szCs w:val="16"/>
                <w:lang w:val="es-ES_tradnl" w:eastAsia="en-US"/>
              </w:rPr>
            </w:pPr>
          </w:p>
        </w:tc>
        <w:tc>
          <w:tcPr>
            <w:tcW w:w="4361" w:type="dxa"/>
          </w:tcPr>
          <w:p w:rsidR="00CE7F7E" w:rsidRPr="00474B22" w:rsidRDefault="00CE7F7E" w:rsidP="00A65BB9">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772E2E" w:rsidRPr="00474B22" w:rsidRDefault="00A65BB9" w:rsidP="00772E2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772E2E" w:rsidRPr="00474B22" w:rsidTr="00532B7D">
        <w:trPr>
          <w:trHeight w:val="183"/>
        </w:trPr>
        <w:tc>
          <w:tcPr>
            <w:tcW w:w="4361" w:type="dxa"/>
          </w:tcPr>
          <w:p w:rsidR="00772E2E" w:rsidRPr="00474B22" w:rsidRDefault="00772E2E" w:rsidP="00532B7D">
            <w:pPr>
              <w:ind w:left="-567" w:firstLine="567"/>
              <w:jc w:val="both"/>
              <w:rPr>
                <w:rFonts w:ascii="Arial" w:eastAsia="Cambria" w:hAnsi="Arial" w:cs="Arial"/>
                <w:b/>
                <w:sz w:val="16"/>
                <w:szCs w:val="16"/>
                <w:lang w:val="es-ES_tradnl" w:eastAsia="en-US"/>
              </w:rPr>
            </w:pPr>
          </w:p>
        </w:tc>
        <w:tc>
          <w:tcPr>
            <w:tcW w:w="4361" w:type="dxa"/>
          </w:tcPr>
          <w:p w:rsidR="00772E2E" w:rsidRPr="00474B22" w:rsidRDefault="00772E2E" w:rsidP="00532B7D">
            <w:pPr>
              <w:jc w:val="both"/>
              <w:rPr>
                <w:rFonts w:ascii="Arial" w:eastAsia="Cambria" w:hAnsi="Arial" w:cs="Arial"/>
                <w:b/>
                <w:sz w:val="16"/>
                <w:szCs w:val="16"/>
                <w:lang w:val="es-ES_tradnl" w:eastAsia="en-US"/>
              </w:rPr>
            </w:pPr>
          </w:p>
        </w:tc>
        <w:tc>
          <w:tcPr>
            <w:tcW w:w="4361" w:type="dxa"/>
          </w:tcPr>
          <w:p w:rsidR="00772E2E" w:rsidRPr="00474B22" w:rsidRDefault="00772E2E" w:rsidP="00532B7D">
            <w:pPr>
              <w:jc w:val="both"/>
              <w:rPr>
                <w:rFonts w:ascii="Arial" w:eastAsia="Cambria" w:hAnsi="Arial" w:cs="Arial"/>
                <w:b/>
                <w:sz w:val="16"/>
                <w:szCs w:val="16"/>
                <w:lang w:val="es-ES_tradnl" w:eastAsia="en-US"/>
              </w:rPr>
            </w:pPr>
          </w:p>
        </w:tc>
        <w:tc>
          <w:tcPr>
            <w:tcW w:w="4361" w:type="dxa"/>
          </w:tcPr>
          <w:p w:rsidR="00772E2E" w:rsidRPr="00474B22" w:rsidRDefault="00772E2E" w:rsidP="00532B7D">
            <w:pPr>
              <w:jc w:val="both"/>
              <w:rPr>
                <w:rFonts w:ascii="Arial" w:eastAsia="Cambria" w:hAnsi="Arial" w:cs="Arial"/>
                <w:b/>
                <w:sz w:val="16"/>
                <w:szCs w:val="16"/>
                <w:lang w:val="es-ES_tradnl" w:eastAsia="en-US"/>
              </w:rPr>
            </w:pPr>
          </w:p>
        </w:tc>
        <w:tc>
          <w:tcPr>
            <w:tcW w:w="5103" w:type="dxa"/>
            <w:gridSpan w:val="2"/>
          </w:tcPr>
          <w:p w:rsidR="00772E2E" w:rsidRPr="00474B22" w:rsidRDefault="00772E2E" w:rsidP="00532B7D">
            <w:pPr>
              <w:jc w:val="both"/>
              <w:rPr>
                <w:rFonts w:ascii="Arial" w:eastAsia="Cambria" w:hAnsi="Arial" w:cs="Arial"/>
                <w:b/>
                <w:sz w:val="16"/>
                <w:szCs w:val="16"/>
                <w:lang w:val="es-ES_tradnl" w:eastAsia="en-US"/>
              </w:rPr>
            </w:pPr>
          </w:p>
        </w:tc>
      </w:tr>
      <w:tr w:rsidR="00772E2E" w:rsidRPr="00474B22" w:rsidTr="00532B7D">
        <w:trPr>
          <w:gridAfter w:val="1"/>
          <w:wAfter w:w="4361" w:type="dxa"/>
          <w:trHeight w:val="183"/>
        </w:trPr>
        <w:tc>
          <w:tcPr>
            <w:tcW w:w="4361" w:type="dxa"/>
          </w:tcPr>
          <w:p w:rsidR="00772E2E" w:rsidRDefault="00772E2E" w:rsidP="00532B7D">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772E2E" w:rsidRDefault="00772E2E"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772E2E" w:rsidRPr="00474B22" w:rsidRDefault="00772E2E" w:rsidP="00772E2E">
            <w:pPr>
              <w:ind w:left="-567" w:firstLine="567"/>
              <w:jc w:val="both"/>
              <w:rPr>
                <w:rFonts w:ascii="Arial" w:eastAsia="Cambria" w:hAnsi="Arial" w:cs="Arial"/>
                <w:b/>
                <w:sz w:val="16"/>
                <w:szCs w:val="16"/>
                <w:lang w:val="es-ES_tradnl" w:eastAsia="en-US"/>
              </w:rPr>
            </w:pPr>
            <w:bookmarkStart w:id="0" w:name="_GoBack"/>
            <w:bookmarkEnd w:id="0"/>
          </w:p>
        </w:tc>
        <w:tc>
          <w:tcPr>
            <w:tcW w:w="4361" w:type="dxa"/>
          </w:tcPr>
          <w:p w:rsidR="00772E2E" w:rsidRPr="00474B22" w:rsidRDefault="00772E2E" w:rsidP="00532B7D">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Pr>
                <w:rFonts w:ascii="Arial" w:eastAsia="Cambria" w:hAnsi="Arial" w:cs="Arial"/>
                <w:b/>
                <w:sz w:val="16"/>
                <w:szCs w:val="16"/>
                <w:lang w:val="es-ES_tradnl" w:eastAsia="en-US"/>
              </w:rPr>
              <w:t xml:space="preserve"> </w:t>
            </w:r>
          </w:p>
          <w:p w:rsidR="00772E2E" w:rsidRPr="00474B22" w:rsidRDefault="00772E2E" w:rsidP="00532B7D">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772E2E" w:rsidRPr="00474B22" w:rsidRDefault="00772E2E"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Pr>
                <w:rFonts w:ascii="Arial" w:eastAsia="Cambria" w:hAnsi="Arial" w:cs="Arial"/>
                <w:b/>
                <w:sz w:val="16"/>
                <w:szCs w:val="16"/>
                <w:lang w:val="es-ES_tradnl" w:eastAsia="en-US"/>
              </w:rPr>
              <w:t xml:space="preserve"> </w:t>
            </w:r>
          </w:p>
          <w:p w:rsidR="00772E2E" w:rsidRPr="00474B22" w:rsidRDefault="00772E2E"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772E2E" w:rsidRPr="00474B22" w:rsidRDefault="00772E2E" w:rsidP="00532B7D">
            <w:pPr>
              <w:ind w:left="-567" w:firstLine="567"/>
              <w:jc w:val="both"/>
              <w:rPr>
                <w:rFonts w:ascii="Arial" w:eastAsia="Cambria" w:hAnsi="Arial" w:cs="Arial"/>
                <w:b/>
                <w:sz w:val="16"/>
                <w:szCs w:val="16"/>
                <w:lang w:val="es-CR" w:eastAsia="en-US"/>
              </w:rPr>
            </w:pPr>
          </w:p>
        </w:tc>
        <w:tc>
          <w:tcPr>
            <w:tcW w:w="4361" w:type="dxa"/>
          </w:tcPr>
          <w:p w:rsidR="00772E2E" w:rsidRPr="00474B22" w:rsidRDefault="00772E2E" w:rsidP="00532B7D">
            <w:pPr>
              <w:jc w:val="both"/>
              <w:rPr>
                <w:rFonts w:ascii="Arial" w:eastAsia="Cambria" w:hAnsi="Arial" w:cs="Arial"/>
                <w:b/>
                <w:sz w:val="16"/>
                <w:szCs w:val="16"/>
                <w:lang w:val="es-ES_tradnl" w:eastAsia="en-US"/>
              </w:rPr>
            </w:pPr>
          </w:p>
        </w:tc>
        <w:tc>
          <w:tcPr>
            <w:tcW w:w="5103" w:type="dxa"/>
            <w:gridSpan w:val="2"/>
          </w:tcPr>
          <w:p w:rsidR="00772E2E" w:rsidRPr="00474B22" w:rsidRDefault="00772E2E" w:rsidP="00532B7D">
            <w:pPr>
              <w:jc w:val="both"/>
              <w:rPr>
                <w:rFonts w:ascii="Arial" w:eastAsia="Cambria" w:hAnsi="Arial" w:cs="Arial"/>
                <w:b/>
                <w:sz w:val="16"/>
                <w:szCs w:val="16"/>
                <w:lang w:val="es-ES_tradnl" w:eastAsia="en-US"/>
              </w:rPr>
            </w:pPr>
          </w:p>
        </w:tc>
      </w:tr>
    </w:tbl>
    <w:p w:rsidR="00A65BB9" w:rsidRPr="00772E2E" w:rsidRDefault="00A65BB9" w:rsidP="00772E2E">
      <w:pPr>
        <w:jc w:val="both"/>
        <w:rPr>
          <w:rFonts w:ascii="Arial" w:eastAsia="Cambria" w:hAnsi="Arial" w:cs="Arial"/>
          <w:b/>
          <w:sz w:val="16"/>
          <w:szCs w:val="16"/>
          <w:lang w:eastAsia="en-US"/>
        </w:rPr>
      </w:pPr>
    </w:p>
    <w:p w:rsidR="00E00132" w:rsidRPr="00A65BB9"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ars</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1D" w:rsidRDefault="00273A1D">
      <w:r>
        <w:separator/>
      </w:r>
    </w:p>
  </w:endnote>
  <w:endnote w:type="continuationSeparator" w:id="0">
    <w:p w:rsidR="00273A1D" w:rsidRDefault="0027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1D" w:rsidRDefault="00273A1D">
      <w:r>
        <w:separator/>
      </w:r>
    </w:p>
  </w:footnote>
  <w:footnote w:type="continuationSeparator" w:id="0">
    <w:p w:rsidR="00273A1D" w:rsidRDefault="0027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48002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480029">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80029">
      <w:rPr>
        <w:rFonts w:ascii="Arial" w:eastAsia="Cambria" w:hAnsi="Arial" w:cs="Arial"/>
        <w:i/>
        <w:sz w:val="18"/>
        <w:szCs w:val="18"/>
        <w:lang w:val="es-ES_tradnl" w:eastAsia="x-none"/>
      </w:rPr>
      <w:t>14</w:t>
    </w:r>
    <w:r w:rsidR="0020478D">
      <w:rPr>
        <w:rFonts w:ascii="Arial" w:eastAsia="Cambria" w:hAnsi="Arial" w:cs="Arial"/>
        <w:i/>
        <w:sz w:val="18"/>
        <w:szCs w:val="18"/>
        <w:lang w:val="es-ES_tradnl" w:eastAsia="x-none"/>
      </w:rPr>
      <w:t xml:space="preserve"> de febrero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72E2E">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BF256C"/>
    <w:multiLevelType w:val="hybridMultilevel"/>
    <w:tmpl w:val="2DD6CC08"/>
    <w:lvl w:ilvl="0" w:tplc="D89A395A">
      <w:start w:val="1"/>
      <w:numFmt w:val="decimal"/>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7D3DC6"/>
    <w:multiLevelType w:val="hybridMultilevel"/>
    <w:tmpl w:val="456CC712"/>
    <w:lvl w:ilvl="0" w:tplc="968A9CEA">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5537EB8"/>
    <w:multiLevelType w:val="hybridMultilevel"/>
    <w:tmpl w:val="552A8036"/>
    <w:lvl w:ilvl="0" w:tplc="3022147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0"/>
  </w:num>
  <w:num w:numId="8">
    <w:abstractNumId w:val="12"/>
  </w:num>
  <w:num w:numId="9">
    <w:abstractNumId w:val="23"/>
  </w:num>
  <w:num w:numId="10">
    <w:abstractNumId w:val="4"/>
  </w:num>
  <w:num w:numId="11">
    <w:abstractNumId w:val="14"/>
  </w:num>
  <w:num w:numId="12">
    <w:abstractNumId w:val="11"/>
  </w:num>
  <w:num w:numId="13">
    <w:abstractNumId w:val="15"/>
  </w:num>
  <w:num w:numId="14">
    <w:abstractNumId w:val="6"/>
  </w:num>
  <w:num w:numId="15">
    <w:abstractNumId w:val="22"/>
  </w:num>
  <w:num w:numId="16">
    <w:abstractNumId w:val="0"/>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6"/>
  </w:num>
  <w:num w:numId="22">
    <w:abstractNumId w:val="5"/>
  </w:num>
  <w:num w:numId="23">
    <w:abstractNumId w:val="7"/>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78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3A1D"/>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849"/>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73C"/>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029"/>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2E2E"/>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27C"/>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5BB9"/>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035F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772E2E"/>
    <w:pPr>
      <w:numPr>
        <w:numId w:val="22"/>
      </w:numPr>
      <w:jc w:val="center"/>
    </w:pPr>
    <w:rPr>
      <w:b/>
      <w:bCs/>
      <w:color w:val="003300"/>
      <w:sz w:val="32"/>
    </w:rPr>
  </w:style>
  <w:style w:type="character" w:customStyle="1" w:styleId="SubttuloCar">
    <w:name w:val="Subtítulo Car"/>
    <w:basedOn w:val="Fuentedeprrafopredeter"/>
    <w:link w:val="Subttulo"/>
    <w:rsid w:val="00772E2E"/>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1129-0CCA-468A-806E-B79DD7ED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cp:revision>
  <cp:lastPrinted>2018-02-14T21:43:00Z</cp:lastPrinted>
  <dcterms:created xsi:type="dcterms:W3CDTF">2018-01-31T17:57:00Z</dcterms:created>
  <dcterms:modified xsi:type="dcterms:W3CDTF">2018-02-14T21:43:00Z</dcterms:modified>
</cp:coreProperties>
</file>