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07C4A">
        <w:rPr>
          <w:rFonts w:ascii="Arial" w:hAnsi="Arial" w:cs="Arial"/>
          <w:b/>
          <w:bCs/>
          <w:iCs/>
          <w:sz w:val="26"/>
          <w:szCs w:val="22"/>
          <w:lang w:val="es-CR"/>
        </w:rPr>
        <w:t>21</w:t>
      </w:r>
      <w:r w:rsidR="002C07A2">
        <w:rPr>
          <w:rFonts w:ascii="Arial" w:hAnsi="Arial" w:cs="Arial"/>
          <w:b/>
          <w:bCs/>
          <w:iCs/>
          <w:sz w:val="26"/>
          <w:szCs w:val="22"/>
          <w:lang w:val="es-CR"/>
        </w:rPr>
        <w:t>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B705D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74D66">
              <w:rPr>
                <w:rFonts w:ascii="Arial" w:eastAsia="Cambria" w:hAnsi="Arial" w:cs="Arial"/>
                <w:sz w:val="22"/>
                <w:szCs w:val="22"/>
                <w:lang w:val="es-ES_tradnl" w:eastAsia="en-US"/>
              </w:rPr>
              <w:t xml:space="preserve"> </w:t>
            </w:r>
            <w:r w:rsidR="0090700F" w:rsidRPr="003F0538">
              <w:rPr>
                <w:rFonts w:ascii="Arial" w:eastAsia="Cambria" w:hAnsi="Arial" w:cs="Arial"/>
                <w:sz w:val="22"/>
                <w:szCs w:val="22"/>
                <w:lang w:val="es-ES_tradnl" w:eastAsia="en-US"/>
              </w:rPr>
              <w:t>Rector</w:t>
            </w:r>
            <w:r w:rsidR="00974D66">
              <w:rPr>
                <w:rFonts w:ascii="Arial" w:eastAsia="Cambria" w:hAnsi="Arial" w:cs="Arial"/>
                <w:sz w:val="22"/>
                <w:szCs w:val="22"/>
                <w:lang w:val="es-ES_tradnl" w:eastAsia="en-US"/>
              </w:rPr>
              <w:t xml:space="preserve"> </w:t>
            </w:r>
          </w:p>
          <w:p w:rsidR="00A07C4A" w:rsidRDefault="00A07C4A" w:rsidP="00A07C4A">
            <w:pPr>
              <w:ind w:left="88" w:hanging="88"/>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Nelson Ortega Jiménez, Presidente Directorio Asamblea Institucional      Representativa</w:t>
            </w:r>
          </w:p>
          <w:p w:rsidR="00437ED5" w:rsidRDefault="00437ED5" w:rsidP="00A07C4A">
            <w:pPr>
              <w:ind w:left="88" w:hanging="88"/>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Harold Blanco Leitón, Presidente Junta Relaciones Laborales</w:t>
            </w:r>
          </w:p>
          <w:p w:rsidR="00302A99" w:rsidRDefault="00A07C4A" w:rsidP="00A07C4A">
            <w:pPr>
              <w:ind w:left="88" w:hanging="88"/>
              <w:jc w:val="both"/>
              <w:rPr>
                <w:rFonts w:ascii="Arial" w:eastAsia="Calibri" w:hAnsi="Arial" w:cs="Arial"/>
                <w:sz w:val="22"/>
                <w:szCs w:val="22"/>
                <w:lang w:val="es-CR" w:eastAsia="en-US"/>
              </w:rPr>
            </w:pPr>
            <w:r>
              <w:rPr>
                <w:rFonts w:ascii="Arial" w:eastAsia="Calibri" w:hAnsi="Arial" w:cs="Arial"/>
                <w:sz w:val="22"/>
                <w:szCs w:val="22"/>
                <w:lang w:val="es-CR" w:eastAsia="en-US"/>
              </w:rPr>
              <w:t xml:space="preserve"> </w:t>
            </w:r>
            <w:r w:rsidRPr="00A07C4A">
              <w:rPr>
                <w:rFonts w:ascii="Arial" w:eastAsia="Calibri" w:hAnsi="Arial" w:cs="Arial"/>
                <w:sz w:val="22"/>
                <w:szCs w:val="22"/>
                <w:lang w:val="es-CR" w:eastAsia="en-US"/>
              </w:rPr>
              <w:t>Profesora Paola Solera Steller, Funcionaria de la Escuela de Biología</w:t>
            </w:r>
          </w:p>
          <w:p w:rsidR="00A07C4A" w:rsidRPr="00A07C4A" w:rsidRDefault="00A07C4A" w:rsidP="00437ED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B705D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647711">
              <w:rPr>
                <w:rFonts w:ascii="Arial" w:eastAsia="Cambria" w:hAnsi="Arial" w:cs="Arial"/>
                <w:b/>
                <w:sz w:val="22"/>
                <w:szCs w:val="22"/>
                <w:lang w:val="es-ES_tradnl" w:eastAsia="en-US"/>
              </w:rPr>
              <w:t>marz</w:t>
            </w:r>
            <w:r w:rsidR="00C55D84">
              <w:rPr>
                <w:rFonts w:ascii="Arial" w:eastAsia="Cambria" w:hAnsi="Arial" w:cs="Arial"/>
                <w:b/>
                <w:sz w:val="22"/>
                <w:szCs w:val="22"/>
                <w:lang w:val="es-ES_tradnl" w:eastAsia="en-US"/>
              </w:rPr>
              <w:t>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A07C4A" w:rsidRDefault="007742A1" w:rsidP="003C1FF5">
            <w:pPr>
              <w:jc w:val="both"/>
              <w:rPr>
                <w:rFonts w:ascii="Calibri" w:eastAsia="Calibri" w:hAnsi="Calibri"/>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B705D1">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B705D1">
              <w:rPr>
                <w:rFonts w:ascii="Arial" w:eastAsia="Calibri" w:hAnsi="Arial" w:cs="Arial"/>
                <w:b/>
                <w:sz w:val="22"/>
                <w:szCs w:val="22"/>
              </w:rPr>
              <w:t>1</w:t>
            </w:r>
            <w:r w:rsidR="00437ED5">
              <w:rPr>
                <w:rFonts w:ascii="Arial" w:eastAsia="Calibri" w:hAnsi="Arial" w:cs="Arial"/>
                <w:b/>
                <w:sz w:val="22"/>
                <w:szCs w:val="22"/>
              </w:rPr>
              <w:t>1</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B705D1">
              <w:rPr>
                <w:rFonts w:ascii="Arial" w:eastAsia="Calibri" w:hAnsi="Arial" w:cs="Arial"/>
                <w:b/>
                <w:sz w:val="22"/>
                <w:szCs w:val="22"/>
              </w:rPr>
              <w:t xml:space="preserve">21 </w:t>
            </w:r>
            <w:r w:rsidR="00647711">
              <w:rPr>
                <w:rFonts w:ascii="Arial" w:eastAsia="Calibri" w:hAnsi="Arial" w:cs="Arial"/>
                <w:b/>
                <w:sz w:val="22"/>
                <w:szCs w:val="22"/>
              </w:rPr>
              <w:t xml:space="preserve">de marzo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A07C4A" w:rsidRPr="00A07C4A">
              <w:rPr>
                <w:rFonts w:ascii="Arial" w:eastAsia="Cambria" w:hAnsi="Arial" w:cs="Arial"/>
                <w:b/>
                <w:lang w:eastAsia="en-US"/>
              </w:rPr>
              <w:t>Rechazo por improcedente del “</w:t>
            </w:r>
            <w:r w:rsidR="00A07C4A" w:rsidRPr="00A07C4A">
              <w:rPr>
                <w:rFonts w:ascii="Arial" w:eastAsia="Calibri" w:hAnsi="Arial" w:cs="Arial"/>
                <w:b/>
                <w:lang w:val="es-CR" w:eastAsia="en-US"/>
              </w:rPr>
              <w:t>Recurso de revocatoria o reconsideración o reposición y apelación al ente superior (AIR)”</w:t>
            </w:r>
            <w:r w:rsidR="00A07C4A" w:rsidRPr="00A07C4A">
              <w:rPr>
                <w:rFonts w:ascii="Arial" w:eastAsia="Cambria" w:hAnsi="Arial" w:cs="Arial"/>
                <w:b/>
                <w:lang w:eastAsia="en-US"/>
              </w:rPr>
              <w:t xml:space="preserve"> presentado por la profesora </w:t>
            </w:r>
            <w:r w:rsidR="00A07C4A" w:rsidRPr="00A07C4A">
              <w:rPr>
                <w:rFonts w:ascii="Arial" w:eastAsia="Calibri" w:hAnsi="Arial" w:cs="Arial"/>
                <w:b/>
                <w:lang w:val="es-CR" w:eastAsia="en-US"/>
              </w:rPr>
              <w:t>Paola Solera Steller en contra del acuerdo de la Sesión Ordinaria No. 3050, artículo 1</w:t>
            </w:r>
            <w:r w:rsidR="003C1FF5">
              <w:rPr>
                <w:rFonts w:ascii="Arial" w:eastAsia="Calibri" w:hAnsi="Arial" w:cs="Arial"/>
                <w:b/>
                <w:lang w:val="es-CR" w:eastAsia="en-US"/>
              </w:rPr>
              <w:t>2</w:t>
            </w:r>
            <w:r w:rsidR="00A07C4A" w:rsidRPr="00A07C4A">
              <w:rPr>
                <w:rFonts w:ascii="Arial" w:eastAsia="Calibri" w:hAnsi="Arial" w:cs="Arial"/>
                <w:b/>
                <w:lang w:val="es-CR" w:eastAsia="en-US"/>
              </w:rPr>
              <w:t xml:space="preserve"> del miércoles </w:t>
            </w:r>
            <w:r w:rsidR="003C1FF5">
              <w:rPr>
                <w:rFonts w:ascii="Arial" w:eastAsia="Calibri" w:hAnsi="Arial" w:cs="Arial"/>
                <w:b/>
                <w:lang w:val="es-CR" w:eastAsia="en-US"/>
              </w:rPr>
              <w:t>6</w:t>
            </w:r>
            <w:r w:rsidR="00A07C4A" w:rsidRPr="00A07C4A">
              <w:rPr>
                <w:rFonts w:ascii="Arial" w:eastAsia="Calibri" w:hAnsi="Arial" w:cs="Arial"/>
                <w:b/>
                <w:lang w:val="es-CR" w:eastAsia="en-US"/>
              </w:rPr>
              <w:t xml:space="preserve"> de diciembre de 2017, publicado en la Gaceta del ITCR No. 492</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7C4A" w:rsidRDefault="00A07C4A" w:rsidP="007742A1">
      <w:pPr>
        <w:jc w:val="both"/>
        <w:rPr>
          <w:rFonts w:ascii="Arial" w:eastAsia="Cambria" w:hAnsi="Arial" w:cs="Arial"/>
          <w:lang w:val="es-ES_tradnl" w:eastAsia="en-US"/>
        </w:rPr>
      </w:pPr>
    </w:p>
    <w:p w:rsidR="00A07C4A" w:rsidRPr="00A07C4A" w:rsidRDefault="00A07C4A" w:rsidP="00A07C4A">
      <w:pPr>
        <w:rPr>
          <w:rFonts w:ascii="Arial" w:eastAsia="Calibri" w:hAnsi="Arial" w:cs="Arial"/>
          <w:b/>
          <w:lang w:val="es-CR" w:eastAsia="en-US"/>
        </w:rPr>
      </w:pPr>
      <w:r w:rsidRPr="00A07C4A">
        <w:rPr>
          <w:rFonts w:ascii="Arial" w:eastAsia="Calibri" w:hAnsi="Arial" w:cs="Arial"/>
          <w:b/>
          <w:lang w:val="es-CR" w:eastAsia="en-US"/>
        </w:rPr>
        <w:t>RESULTANDO QUE:</w:t>
      </w:r>
    </w:p>
    <w:p w:rsidR="00A07C4A" w:rsidRPr="00A07C4A" w:rsidRDefault="00A07C4A" w:rsidP="00A07C4A">
      <w:pPr>
        <w:rPr>
          <w:rFonts w:ascii="Arial" w:eastAsia="Calibri" w:hAnsi="Arial" w:cs="Arial"/>
          <w:b/>
          <w:sz w:val="16"/>
          <w:szCs w:val="16"/>
          <w:lang w:val="es-CR" w:eastAsia="en-US"/>
        </w:rPr>
      </w:pPr>
    </w:p>
    <w:p w:rsidR="00A07C4A" w:rsidRPr="00A07C4A" w:rsidRDefault="00A07C4A" w:rsidP="00A07C4A">
      <w:pPr>
        <w:numPr>
          <w:ilvl w:val="0"/>
          <w:numId w:val="14"/>
        </w:numPr>
        <w:spacing w:after="160" w:line="259" w:lineRule="auto"/>
        <w:ind w:left="284"/>
        <w:contextualSpacing/>
        <w:jc w:val="both"/>
        <w:rPr>
          <w:rFonts w:ascii="Arial" w:eastAsia="Calibri" w:hAnsi="Arial" w:cs="Arial"/>
          <w:lang w:val="es-CR" w:eastAsia="en-US"/>
        </w:rPr>
      </w:pPr>
      <w:r w:rsidRPr="00A07C4A">
        <w:rPr>
          <w:rFonts w:ascii="Arial" w:eastAsia="Calibri" w:hAnsi="Arial" w:cs="Arial"/>
          <w:lang w:val="es-CR" w:eastAsia="en-US"/>
        </w:rPr>
        <w:t>Mediante oficio sin número de consecutivo del 14 de diciembre de 2017, recibido en esa misma fecha, la Profesora Paola Solera Steller, funcionaria de la Escuela de Biología, presentó “Recurso de revocatoria o reconsideración o reposición y apelación al ente superior (AIR)” en contra del acuerdo del Consejo Institucional de la Sesión Ordinaria No. 3050, artículo 1</w:t>
      </w:r>
      <w:r w:rsidR="003C1FF5">
        <w:rPr>
          <w:rFonts w:ascii="Arial" w:eastAsia="Calibri" w:hAnsi="Arial" w:cs="Arial"/>
          <w:lang w:val="es-CR" w:eastAsia="en-US"/>
        </w:rPr>
        <w:t>2</w:t>
      </w:r>
      <w:r w:rsidRPr="00A07C4A">
        <w:rPr>
          <w:rFonts w:ascii="Arial" w:eastAsia="Calibri" w:hAnsi="Arial" w:cs="Arial"/>
          <w:lang w:val="es-CR" w:eastAsia="en-US"/>
        </w:rPr>
        <w:t xml:space="preserve">, del miércoles </w:t>
      </w:r>
      <w:r w:rsidR="003C1FF5">
        <w:rPr>
          <w:rFonts w:ascii="Arial" w:eastAsia="Calibri" w:hAnsi="Arial" w:cs="Arial"/>
          <w:lang w:val="es-CR" w:eastAsia="en-US"/>
        </w:rPr>
        <w:t>6</w:t>
      </w:r>
      <w:r w:rsidRPr="00A07C4A">
        <w:rPr>
          <w:rFonts w:ascii="Arial" w:eastAsia="Calibri" w:hAnsi="Arial" w:cs="Arial"/>
          <w:lang w:val="es-CR" w:eastAsia="en-US"/>
        </w:rPr>
        <w:t xml:space="preserve"> de diciembre de 2017, publicado en la Gaceta del ITCR No. 492 el martes 12 de diciembre de 2017. </w:t>
      </w:r>
    </w:p>
    <w:p w:rsidR="00A07C4A" w:rsidRPr="00A07C4A" w:rsidRDefault="00A07C4A" w:rsidP="00A07C4A">
      <w:pPr>
        <w:rPr>
          <w:rFonts w:ascii="Arial" w:eastAsia="Calibri" w:hAnsi="Arial" w:cs="Arial"/>
          <w:b/>
          <w:sz w:val="16"/>
          <w:szCs w:val="16"/>
          <w:lang w:val="es-CR" w:eastAsia="en-US"/>
        </w:rPr>
      </w:pPr>
    </w:p>
    <w:p w:rsidR="00A07C4A" w:rsidRPr="00A07C4A" w:rsidRDefault="00A07C4A" w:rsidP="00A07C4A">
      <w:pPr>
        <w:numPr>
          <w:ilvl w:val="0"/>
          <w:numId w:val="14"/>
        </w:numPr>
        <w:spacing w:after="160" w:line="259" w:lineRule="auto"/>
        <w:ind w:left="284"/>
        <w:contextualSpacing/>
        <w:jc w:val="both"/>
        <w:rPr>
          <w:rFonts w:ascii="Arial" w:eastAsia="Calibri" w:hAnsi="Arial" w:cs="Arial"/>
          <w:lang w:val="es-CR" w:eastAsia="en-US"/>
        </w:rPr>
      </w:pPr>
      <w:r w:rsidRPr="00A07C4A">
        <w:rPr>
          <w:rFonts w:ascii="Arial" w:eastAsia="Calibri" w:hAnsi="Arial" w:cs="Arial"/>
          <w:lang w:val="es-CR" w:eastAsia="en-US"/>
        </w:rPr>
        <w:t>La Profesora Solera Steller solicita en su recurso lo siguiente:</w:t>
      </w:r>
    </w:p>
    <w:p w:rsidR="00A07C4A" w:rsidRPr="00A07C4A" w:rsidRDefault="00A07C4A" w:rsidP="00A07C4A">
      <w:pPr>
        <w:rPr>
          <w:rFonts w:ascii="Arial" w:eastAsia="Calibri" w:hAnsi="Arial" w:cs="Arial"/>
          <w:b/>
          <w:sz w:val="16"/>
          <w:szCs w:val="16"/>
          <w:lang w:val="es-CR" w:eastAsia="en-US"/>
        </w:rPr>
      </w:pPr>
    </w:p>
    <w:p w:rsidR="00A07C4A" w:rsidRPr="00A07C4A" w:rsidRDefault="00A07C4A" w:rsidP="00A07C4A">
      <w:pPr>
        <w:ind w:left="709" w:right="474"/>
        <w:jc w:val="both"/>
        <w:rPr>
          <w:rFonts w:ascii="Arial" w:eastAsia="Calibri" w:hAnsi="Arial" w:cs="Arial"/>
          <w:i/>
          <w:sz w:val="22"/>
          <w:szCs w:val="22"/>
          <w:lang w:val="es-CR" w:eastAsia="en-US"/>
        </w:rPr>
      </w:pPr>
      <w:r w:rsidRPr="00A07C4A">
        <w:rPr>
          <w:rFonts w:ascii="Arial" w:eastAsia="Calibri" w:hAnsi="Arial" w:cs="Arial"/>
          <w:i/>
          <w:sz w:val="22"/>
          <w:szCs w:val="22"/>
          <w:u w:val="single"/>
          <w:lang w:val="es-CR" w:eastAsia="en-US"/>
        </w:rPr>
        <w:t xml:space="preserve">SE CORRIJA EL CRITERIO EXPRESADO SOBRE EL TEMA DE LA INTERPRETACIÓN </w:t>
      </w:r>
      <w:r w:rsidRPr="00A07C4A">
        <w:rPr>
          <w:rFonts w:ascii="Arial" w:eastAsia="Cambria" w:hAnsi="Arial" w:cs="Arial"/>
          <w:bCs/>
          <w:i/>
          <w:sz w:val="22"/>
          <w:szCs w:val="22"/>
          <w:u w:val="single"/>
          <w:lang w:val="es-CR" w:eastAsia="en-US"/>
        </w:rPr>
        <w:t xml:space="preserve">AUTÉNTICA DEL CONCEPTO DE “VOTO EMITIDO” </w:t>
      </w:r>
      <w:r w:rsidRPr="00A07C4A">
        <w:rPr>
          <w:rFonts w:ascii="Arial" w:eastAsia="Calibri" w:hAnsi="Arial" w:cs="Arial"/>
          <w:i/>
          <w:sz w:val="22"/>
          <w:szCs w:val="22"/>
          <w:lang w:val="es-CR" w:eastAsia="en-US"/>
        </w:rPr>
        <w:t>y que no sumen ni los votos en blanco y votos nulos para un proceso nombramiento de personal del ITCR (art 32; c) del Reglamento de Concursos Internos y Externos del ITCR; y la norma no contravenga o violente lo presente en la Jurisprudencia Nacional y los Acuerdos Internacionales sobre DDHH confirmados y firmados por Costa Rica.</w:t>
      </w:r>
    </w:p>
    <w:p w:rsidR="00A07C4A" w:rsidRPr="00A07C4A" w:rsidRDefault="00A07C4A" w:rsidP="00A07C4A">
      <w:pPr>
        <w:ind w:left="284" w:right="474"/>
        <w:jc w:val="both"/>
        <w:rPr>
          <w:rFonts w:ascii="Arial" w:eastAsia="Calibri" w:hAnsi="Arial" w:cs="Arial"/>
          <w:sz w:val="16"/>
          <w:szCs w:val="16"/>
          <w:lang w:val="es-CR" w:eastAsia="en-US"/>
        </w:rPr>
      </w:pPr>
    </w:p>
    <w:p w:rsidR="00A07C4A" w:rsidRPr="00A07C4A" w:rsidRDefault="00A07C4A" w:rsidP="00A07C4A">
      <w:pPr>
        <w:numPr>
          <w:ilvl w:val="0"/>
          <w:numId w:val="14"/>
        </w:numPr>
        <w:spacing w:after="160" w:line="259" w:lineRule="auto"/>
        <w:ind w:left="284"/>
        <w:contextualSpacing/>
        <w:jc w:val="both"/>
        <w:rPr>
          <w:rFonts w:ascii="Arial" w:eastAsia="Calibri" w:hAnsi="Arial" w:cs="Arial"/>
          <w:lang w:val="es-CR" w:eastAsia="en-US"/>
        </w:rPr>
      </w:pPr>
      <w:r w:rsidRPr="00A07C4A">
        <w:rPr>
          <w:rFonts w:ascii="Arial" w:eastAsia="Calibri" w:hAnsi="Arial" w:cs="Arial"/>
          <w:lang w:val="es-CR" w:eastAsia="en-US"/>
        </w:rPr>
        <w:t>En la Sesión Ordinaria No. 3054, Artículo 10, del 31 de enero de 2018 el Consejo Institucional acordó en firme lo siguiente:</w:t>
      </w:r>
    </w:p>
    <w:p w:rsidR="00A07C4A" w:rsidRPr="00A07C4A" w:rsidRDefault="00A07C4A" w:rsidP="00A07C4A">
      <w:pPr>
        <w:ind w:left="284" w:right="474"/>
        <w:jc w:val="both"/>
        <w:rPr>
          <w:rFonts w:ascii="Arial" w:eastAsia="Calibri" w:hAnsi="Arial" w:cs="Arial"/>
          <w:sz w:val="16"/>
          <w:szCs w:val="16"/>
          <w:lang w:val="es-CR" w:eastAsia="en-US"/>
        </w:rPr>
      </w:pPr>
    </w:p>
    <w:p w:rsidR="00A07C4A" w:rsidRPr="00A07C4A" w:rsidRDefault="00A07C4A" w:rsidP="00A07C4A">
      <w:pPr>
        <w:numPr>
          <w:ilvl w:val="0"/>
          <w:numId w:val="13"/>
        </w:numPr>
        <w:spacing w:after="160" w:line="259" w:lineRule="auto"/>
        <w:ind w:left="709" w:right="567"/>
        <w:contextualSpacing/>
        <w:jc w:val="both"/>
        <w:rPr>
          <w:rFonts w:ascii="Arial" w:eastAsia="Calibri" w:hAnsi="Arial" w:cs="Arial"/>
          <w:b/>
          <w:i/>
          <w:sz w:val="22"/>
          <w:szCs w:val="22"/>
          <w:lang w:val="es-CR" w:eastAsia="en-US"/>
        </w:rPr>
      </w:pPr>
      <w:r w:rsidRPr="00A07C4A">
        <w:rPr>
          <w:rFonts w:ascii="Arial" w:eastAsia="Calibri" w:hAnsi="Arial" w:cs="Arial"/>
          <w:i/>
          <w:sz w:val="22"/>
          <w:szCs w:val="22"/>
          <w:lang w:val="es-CR" w:eastAsia="en-US"/>
        </w:rPr>
        <w:t>Informar</w:t>
      </w:r>
      <w:r w:rsidRPr="00A07C4A">
        <w:rPr>
          <w:rFonts w:ascii="Arial" w:eastAsia="Cambria" w:hAnsi="Arial" w:cs="Arial"/>
          <w:i/>
          <w:sz w:val="22"/>
          <w:szCs w:val="22"/>
          <w:lang w:eastAsia="en-US"/>
        </w:rPr>
        <w:t xml:space="preserve"> a la P</w:t>
      </w:r>
      <w:r w:rsidRPr="00A07C4A">
        <w:rPr>
          <w:rFonts w:ascii="Arial" w:eastAsia="Calibri" w:hAnsi="Arial" w:cs="Arial"/>
          <w:i/>
          <w:sz w:val="22"/>
          <w:szCs w:val="22"/>
          <w:lang w:eastAsia="en-US"/>
        </w:rPr>
        <w:t>rofesora P</w:t>
      </w:r>
      <w:proofErr w:type="spellStart"/>
      <w:r w:rsidRPr="00A07C4A">
        <w:rPr>
          <w:rFonts w:ascii="Arial" w:eastAsia="Calibri" w:hAnsi="Arial" w:cs="Arial"/>
          <w:i/>
          <w:sz w:val="22"/>
          <w:szCs w:val="22"/>
          <w:lang w:val="es-CR" w:eastAsia="en-US"/>
        </w:rPr>
        <w:t>aola</w:t>
      </w:r>
      <w:proofErr w:type="spellEnd"/>
      <w:r w:rsidRPr="00A07C4A">
        <w:rPr>
          <w:rFonts w:ascii="Arial" w:eastAsia="Calibri" w:hAnsi="Arial" w:cs="Arial"/>
          <w:i/>
          <w:sz w:val="22"/>
          <w:szCs w:val="22"/>
          <w:lang w:val="es-CR" w:eastAsia="en-US"/>
        </w:rPr>
        <w:t xml:space="preserve"> Solera Steller, en su condición de recurrente, que se acudirá a la consulta legal externa con el fin de dar respuesta al </w:t>
      </w:r>
      <w:r w:rsidRPr="00A07C4A">
        <w:rPr>
          <w:rFonts w:ascii="Arial" w:eastAsia="Cambria" w:hAnsi="Arial" w:cs="Arial"/>
          <w:i/>
          <w:sz w:val="22"/>
          <w:szCs w:val="22"/>
          <w:lang w:eastAsia="en-US"/>
        </w:rPr>
        <w:t>“R</w:t>
      </w:r>
      <w:proofErr w:type="spellStart"/>
      <w:r w:rsidRPr="00A07C4A">
        <w:rPr>
          <w:rFonts w:ascii="Arial" w:eastAsia="Calibri" w:hAnsi="Arial" w:cs="Arial"/>
          <w:i/>
          <w:sz w:val="22"/>
          <w:szCs w:val="22"/>
          <w:lang w:val="es-CR" w:eastAsia="en-US"/>
        </w:rPr>
        <w:t>ecurso</w:t>
      </w:r>
      <w:proofErr w:type="spellEnd"/>
      <w:r w:rsidRPr="00A07C4A">
        <w:rPr>
          <w:rFonts w:ascii="Arial" w:eastAsia="Calibri" w:hAnsi="Arial" w:cs="Arial"/>
          <w:i/>
          <w:sz w:val="22"/>
          <w:szCs w:val="22"/>
          <w:lang w:val="es-CR" w:eastAsia="en-US"/>
        </w:rPr>
        <w:t xml:space="preserve"> de Revocatoria,  Reconsideración o Reposición y Apelación al ente superior (AIR)”, contra acuerdo tomado en la Sesión Ordinaria No. 3050, art. 12, del 6 de diciembre de 2017, </w:t>
      </w:r>
      <w:r w:rsidRPr="00A07C4A">
        <w:rPr>
          <w:rFonts w:ascii="Arial" w:eastAsia="Calibri" w:hAnsi="Arial" w:cs="Arial"/>
          <w:b/>
          <w:i/>
          <w:sz w:val="22"/>
          <w:szCs w:val="22"/>
          <w:lang w:val="es-CR" w:eastAsia="en-US"/>
        </w:rPr>
        <w:t xml:space="preserve">“Respuesta a consulta planteada por la Ing. Andrea Cavero Quesada, en el ejercicio de la presidencia de la Junta de Relaciones </w:t>
      </w:r>
      <w:r w:rsidRPr="00A07C4A">
        <w:rPr>
          <w:rFonts w:ascii="Arial" w:eastAsia="Calibri" w:hAnsi="Arial" w:cs="Arial"/>
          <w:b/>
          <w:i/>
          <w:sz w:val="22"/>
          <w:szCs w:val="22"/>
          <w:lang w:val="es-CR" w:eastAsia="en-US"/>
        </w:rPr>
        <w:lastRenderedPageBreak/>
        <w:t>Laborales, sobre interpretación auténtica del inciso c), art. 22 del Reglamento Concursos de Antecedentes Interno y Externos del personal del ITCR”,</w:t>
      </w:r>
      <w:r w:rsidRPr="00A07C4A">
        <w:rPr>
          <w:rFonts w:ascii="Arial" w:eastAsia="Calibri" w:hAnsi="Arial" w:cs="Arial"/>
          <w:i/>
          <w:sz w:val="22"/>
          <w:szCs w:val="22"/>
          <w:lang w:val="es-CR" w:eastAsia="en-US"/>
        </w:rPr>
        <w:t xml:space="preserve"> </w:t>
      </w:r>
      <w:r w:rsidRPr="00A07C4A">
        <w:rPr>
          <w:rFonts w:ascii="Arial" w:eastAsia="Calibri" w:hAnsi="Arial" w:cs="Arial"/>
          <w:b/>
          <w:i/>
          <w:sz w:val="22"/>
          <w:szCs w:val="22"/>
          <w:lang w:val="es-CR" w:eastAsia="en-US"/>
        </w:rPr>
        <w:t>relacionado con el concepto de “voto emitido”.</w:t>
      </w:r>
    </w:p>
    <w:p w:rsidR="00A07C4A" w:rsidRPr="00A07C4A" w:rsidRDefault="00A07C4A" w:rsidP="00A07C4A">
      <w:pPr>
        <w:ind w:left="284" w:right="474"/>
        <w:jc w:val="both"/>
        <w:rPr>
          <w:rFonts w:ascii="Arial" w:eastAsia="Calibri" w:hAnsi="Arial" w:cs="Arial"/>
          <w:sz w:val="16"/>
          <w:szCs w:val="16"/>
          <w:lang w:val="es-CR" w:eastAsia="en-US"/>
        </w:rPr>
      </w:pPr>
    </w:p>
    <w:p w:rsidR="00A07C4A" w:rsidRPr="00A07C4A" w:rsidRDefault="00A07C4A" w:rsidP="00A07C4A">
      <w:pPr>
        <w:numPr>
          <w:ilvl w:val="0"/>
          <w:numId w:val="13"/>
        </w:numPr>
        <w:spacing w:after="160" w:line="259" w:lineRule="auto"/>
        <w:ind w:left="709" w:right="567"/>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 xml:space="preserve"> Solicitar a la Comisión Permanente de Planificación y Administración y Dirección Ejecutiva de la Secretaría del Consejo Institucional, gestionar el proceso de contratación directa de la asesoría jurídica externa.</w:t>
      </w:r>
    </w:p>
    <w:p w:rsidR="00A07C4A" w:rsidRPr="00A07C4A" w:rsidRDefault="00A07C4A" w:rsidP="00A07C4A">
      <w:pPr>
        <w:ind w:left="284" w:right="474"/>
        <w:jc w:val="both"/>
        <w:rPr>
          <w:rFonts w:ascii="Arial" w:eastAsia="Calibri" w:hAnsi="Arial" w:cs="Arial"/>
          <w:sz w:val="16"/>
          <w:szCs w:val="16"/>
          <w:lang w:val="es-CR" w:eastAsia="en-US"/>
        </w:rPr>
      </w:pPr>
    </w:p>
    <w:p w:rsidR="00A07C4A" w:rsidRPr="00A07C4A" w:rsidRDefault="00A07C4A" w:rsidP="00437ED5">
      <w:pPr>
        <w:numPr>
          <w:ilvl w:val="0"/>
          <w:numId w:val="13"/>
        </w:numPr>
        <w:spacing w:after="160" w:line="259" w:lineRule="auto"/>
        <w:ind w:left="709" w:right="567"/>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Suspender los efectos de la Interpretación Auténtica: inciso c), Artículo 22 del Reglamento para Concursos de antecedentes Internos y Externos del Personal del ITC en lo relacionado con el concepto “voto emitido”, hasta que se resuelva en definitiva lo que en derecho corresponde.</w:t>
      </w:r>
    </w:p>
    <w:p w:rsidR="00A07C4A" w:rsidRPr="00A07C4A" w:rsidRDefault="00A07C4A" w:rsidP="00A07C4A">
      <w:pPr>
        <w:ind w:left="284"/>
        <w:jc w:val="both"/>
        <w:rPr>
          <w:rFonts w:ascii="Arial" w:eastAsia="Calibri" w:hAnsi="Arial" w:cs="Arial"/>
          <w:lang w:val="es-CR" w:eastAsia="en-US"/>
        </w:rPr>
      </w:pPr>
    </w:p>
    <w:p w:rsidR="00A07C4A" w:rsidRPr="00A07C4A" w:rsidRDefault="00A07C4A" w:rsidP="00A07C4A">
      <w:pPr>
        <w:numPr>
          <w:ilvl w:val="0"/>
          <w:numId w:val="14"/>
        </w:numPr>
        <w:spacing w:after="160" w:line="259" w:lineRule="auto"/>
        <w:ind w:left="284"/>
        <w:contextualSpacing/>
        <w:jc w:val="both"/>
        <w:rPr>
          <w:rFonts w:ascii="Arial" w:eastAsia="Calibri" w:hAnsi="Arial" w:cs="Arial"/>
          <w:lang w:val="es-CR" w:eastAsia="en-US"/>
        </w:rPr>
      </w:pPr>
      <w:r w:rsidRPr="00A07C4A">
        <w:rPr>
          <w:rFonts w:ascii="Arial" w:eastAsia="Calibri" w:hAnsi="Arial" w:cs="Arial"/>
          <w:lang w:val="es-CR" w:eastAsia="en-US"/>
        </w:rPr>
        <w:t>En cumplimiento del acuerdo de la Sesión Ordinaria No. 3054, Artículo 10, del 31 de enero de 2018 se contrató al Lic. Oscar Hernández Cedeño, quien emitió criterio mediante oficio del 07 de marzo de 2018, recibido el 09 de marzo de 2018, en los siguientes términos:</w:t>
      </w:r>
    </w:p>
    <w:p w:rsidR="00A07C4A" w:rsidRPr="00A07C4A" w:rsidRDefault="00A07C4A" w:rsidP="00A07C4A">
      <w:pPr>
        <w:ind w:left="851" w:right="283"/>
        <w:jc w:val="both"/>
        <w:rPr>
          <w:rFonts w:ascii="Arial" w:eastAsia="Calibri" w:hAnsi="Arial" w:cs="Arial"/>
          <w:lang w:val="es-CR" w:eastAsia="en-US"/>
        </w:rPr>
      </w:pPr>
    </w:p>
    <w:p w:rsidR="00A07C4A" w:rsidRPr="00A07C4A" w:rsidRDefault="00A07C4A" w:rsidP="00A07C4A">
      <w:pPr>
        <w:spacing w:before="80"/>
        <w:ind w:left="851" w:right="284" w:hanging="428"/>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“1.  Los reglamentos son normas generales de categoría inferior a la Ley, dictadas por un órgano administrativo con competencia para aprobarlas.</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Los reglamentos del Instituto Tecnológico, son reconocidos expresamente como una fuente del ordenamiento jurídico por el artículo 6) de la Ley General de la Administración Pública, que los ubica por debajo de la Constitución, los tratados internacionales, las leyes y los decretos reglamentarios de leyes.  Este artículo los designa con estatutos y reglamentos de los entes descentralizados en el inciso e) de esa norma legal.</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El inciso 3) de ese artículo 6) mencionado nos hace ver que los reglamentos no son acuerdos, no son actos administrativos concretos.  Por lo contrario, son normas, destinadas a regir con un alcance general, permanente, para una pluralidad de circunstancias.  Reitero, son verdaderas normas.</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La interpretación auténtica de un reglamento se ejecuta por medio de otra norma reglamentaria interpretativa de igual rango y valor que la norma interpretada.</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La nueva norma interpretativa, se incorpora de manera permanente al texto de la norma interpretada, formando una unidad.</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En consecuencia, la interpretación auténtica, por medio de una norma interpretativa, va más allá de un mero acto de la interpretación concreto, en la medida que su función es la de ilustrar, aclarar o fijar determinados criterios hermenéuticos sobre un precepto reglamentario previamente aprobado.</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 xml:space="preserve">Centra (SIC) </w:t>
      </w:r>
      <w:proofErr w:type="gramStart"/>
      <w:r w:rsidRPr="00A07C4A">
        <w:rPr>
          <w:rFonts w:ascii="Arial" w:eastAsia="Calibri" w:hAnsi="Arial" w:cs="Arial"/>
          <w:i/>
          <w:sz w:val="22"/>
          <w:szCs w:val="22"/>
          <w:lang w:val="es-CR" w:eastAsia="en-US"/>
        </w:rPr>
        <w:t>la norma interpretativa no proceden</w:t>
      </w:r>
      <w:proofErr w:type="gramEnd"/>
      <w:r w:rsidRPr="00A07C4A">
        <w:rPr>
          <w:rFonts w:ascii="Arial" w:eastAsia="Calibri" w:hAnsi="Arial" w:cs="Arial"/>
          <w:i/>
          <w:sz w:val="22"/>
          <w:szCs w:val="22"/>
          <w:lang w:val="es-CR" w:eastAsia="en-US"/>
        </w:rPr>
        <w:t xml:space="preserve"> los recursos ordinarios del Libro Segundo de la Ley General de la Administración Pública, porque esos instrumentos procesales se interponen contra acuerdos y resoluciones de alcance individualizado y concreto no contra normas. La lectura que se hace del artículo 345 de ese cuerpo legal limita los recursos a los actos, acuerdos y resoluciones, no los hace extensivos, como medios de impugnación a las normas reglamentarias.</w:t>
      </w:r>
    </w:p>
    <w:p w:rsidR="00A07C4A" w:rsidRPr="00A07C4A" w:rsidRDefault="00A07C4A" w:rsidP="00A07C4A">
      <w:pPr>
        <w:numPr>
          <w:ilvl w:val="0"/>
          <w:numId w:val="42"/>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Las (SIC) reglamentos y las normas reglamentarias interpretativas se impugnan:</w:t>
      </w:r>
    </w:p>
    <w:p w:rsidR="00A07C4A" w:rsidRPr="00A07C4A" w:rsidRDefault="00A07C4A" w:rsidP="00A07C4A">
      <w:pPr>
        <w:numPr>
          <w:ilvl w:val="0"/>
          <w:numId w:val="43"/>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Por medio de una acción contencioso-administrativa en los términos del artículo 49 de la Constitución.</w:t>
      </w:r>
    </w:p>
    <w:p w:rsidR="00A07C4A" w:rsidRPr="00A07C4A" w:rsidRDefault="00A07C4A" w:rsidP="00A07C4A">
      <w:pPr>
        <w:numPr>
          <w:ilvl w:val="0"/>
          <w:numId w:val="43"/>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t>Acción de inconstitucionalidad como lo indica el artículo 73 inciso a) de la Ley de la Jurisdicción Constitucional.</w:t>
      </w:r>
    </w:p>
    <w:p w:rsidR="00A07C4A" w:rsidRDefault="00A07C4A" w:rsidP="00A07C4A">
      <w:pPr>
        <w:numPr>
          <w:ilvl w:val="0"/>
          <w:numId w:val="43"/>
        </w:numPr>
        <w:spacing w:before="80" w:after="160" w:line="259" w:lineRule="auto"/>
        <w:ind w:left="851" w:right="284"/>
        <w:contextualSpacing/>
        <w:jc w:val="both"/>
        <w:rPr>
          <w:rFonts w:ascii="Arial" w:eastAsia="Calibri" w:hAnsi="Arial" w:cs="Arial"/>
          <w:i/>
          <w:sz w:val="22"/>
          <w:szCs w:val="22"/>
          <w:lang w:val="es-CR" w:eastAsia="en-US"/>
        </w:rPr>
      </w:pPr>
      <w:r w:rsidRPr="00A07C4A">
        <w:rPr>
          <w:rFonts w:ascii="Arial" w:eastAsia="Calibri" w:hAnsi="Arial" w:cs="Arial"/>
          <w:i/>
          <w:sz w:val="22"/>
          <w:szCs w:val="22"/>
          <w:lang w:val="es-CR" w:eastAsia="en-US"/>
        </w:rPr>
        <w:lastRenderedPageBreak/>
        <w:t>Recurso de amparo, tal como lo autoriza el artículo 30 inciso a) de la Ley de la Jurisdicción Constitucional, cuando se trate de normas de acción automática, de manera que sus preceptos resulten obligatorios, inmediatamente por su sola promulgación, sin necesidad de otras normas o actos que las desarrollen o las hagan aplicables al perjudicado.”</w:t>
      </w:r>
    </w:p>
    <w:p w:rsidR="00A07C4A" w:rsidRPr="00A07C4A" w:rsidRDefault="00A07C4A" w:rsidP="00A07C4A">
      <w:pPr>
        <w:spacing w:before="80" w:after="160" w:line="259" w:lineRule="auto"/>
        <w:ind w:left="851" w:right="284"/>
        <w:contextualSpacing/>
        <w:jc w:val="both"/>
        <w:rPr>
          <w:rFonts w:ascii="Arial" w:eastAsia="Calibri" w:hAnsi="Arial" w:cs="Arial"/>
          <w:i/>
          <w:sz w:val="22"/>
          <w:szCs w:val="22"/>
          <w:lang w:val="es-CR" w:eastAsia="en-US"/>
        </w:rPr>
      </w:pPr>
    </w:p>
    <w:p w:rsidR="00A07C4A" w:rsidRPr="00A07C4A" w:rsidRDefault="00A07C4A" w:rsidP="00A07C4A">
      <w:pPr>
        <w:rPr>
          <w:rFonts w:ascii="Arial" w:eastAsia="Calibri" w:hAnsi="Arial" w:cs="Arial"/>
          <w:b/>
          <w:lang w:val="es-CR" w:eastAsia="en-US"/>
        </w:rPr>
      </w:pPr>
      <w:r w:rsidRPr="00A07C4A">
        <w:rPr>
          <w:rFonts w:ascii="Arial" w:eastAsia="Calibri" w:hAnsi="Arial" w:cs="Arial"/>
          <w:b/>
          <w:lang w:val="es-CR" w:eastAsia="en-US"/>
        </w:rPr>
        <w:t>CONSIDERANDO QUE:</w:t>
      </w:r>
    </w:p>
    <w:p w:rsidR="00A07C4A" w:rsidRPr="00A07C4A" w:rsidRDefault="00A07C4A" w:rsidP="00A07C4A">
      <w:pPr>
        <w:jc w:val="both"/>
        <w:rPr>
          <w:rFonts w:ascii="Arial" w:eastAsia="Calibri" w:hAnsi="Arial" w:cs="Arial"/>
          <w:lang w:val="es-CR" w:eastAsia="en-US"/>
        </w:rPr>
      </w:pPr>
    </w:p>
    <w:p w:rsidR="00A07C4A" w:rsidRPr="00A07C4A" w:rsidRDefault="00A07C4A" w:rsidP="00A07C4A">
      <w:pPr>
        <w:numPr>
          <w:ilvl w:val="0"/>
          <w:numId w:val="41"/>
        </w:numPr>
        <w:spacing w:after="160" w:line="259" w:lineRule="auto"/>
        <w:contextualSpacing/>
        <w:jc w:val="both"/>
        <w:rPr>
          <w:rFonts w:ascii="Arial" w:eastAsia="Calibri" w:hAnsi="Arial" w:cs="Arial"/>
          <w:lang w:val="es-CR" w:eastAsia="en-US"/>
        </w:rPr>
      </w:pPr>
      <w:r w:rsidRPr="00A07C4A">
        <w:rPr>
          <w:rFonts w:ascii="Arial" w:eastAsia="Calibri" w:hAnsi="Arial" w:cs="Arial"/>
          <w:lang w:val="es-CR" w:eastAsia="en-US"/>
        </w:rPr>
        <w:t>El acuerdo del Consejo Institucional recurrido por la profesora Solera Steller es una interpretación auténtica del inciso c) del Artículo 22 del “Reglamento para Concursos de Antecedentes Internos y Externos del Personal del ITCR”.</w:t>
      </w:r>
    </w:p>
    <w:p w:rsidR="00A07C4A" w:rsidRPr="00A07C4A" w:rsidRDefault="00A07C4A" w:rsidP="00A07C4A">
      <w:pPr>
        <w:jc w:val="both"/>
        <w:rPr>
          <w:rFonts w:ascii="Arial" w:eastAsia="Calibri" w:hAnsi="Arial" w:cs="Arial"/>
          <w:lang w:val="es-CR" w:eastAsia="en-US"/>
        </w:rPr>
      </w:pPr>
    </w:p>
    <w:p w:rsidR="00A07C4A" w:rsidRPr="00A07C4A" w:rsidRDefault="00A07C4A" w:rsidP="00A07C4A">
      <w:pPr>
        <w:numPr>
          <w:ilvl w:val="0"/>
          <w:numId w:val="41"/>
        </w:numPr>
        <w:spacing w:after="160" w:line="259" w:lineRule="auto"/>
        <w:contextualSpacing/>
        <w:jc w:val="both"/>
        <w:rPr>
          <w:rFonts w:ascii="Arial" w:eastAsia="Calibri" w:hAnsi="Arial" w:cs="Arial"/>
          <w:lang w:val="es-CR" w:eastAsia="en-US"/>
        </w:rPr>
      </w:pPr>
      <w:r w:rsidRPr="00A07C4A">
        <w:rPr>
          <w:rFonts w:ascii="Arial" w:eastAsia="Calibri" w:hAnsi="Arial" w:cs="Arial"/>
          <w:lang w:val="es-CR" w:eastAsia="en-US"/>
        </w:rPr>
        <w:t>Del criterio legal emitido por el Lic. Oscar Hernández Cedeño en su condición de Asesor Legal externo del Consejo Institucional, se desprende que no caben recursos ordinarios en contra de los acuerdos del Consejo Institucional</w:t>
      </w:r>
      <w:r w:rsidR="000D2873">
        <w:rPr>
          <w:rFonts w:ascii="Arial" w:eastAsia="Calibri" w:hAnsi="Arial" w:cs="Arial"/>
          <w:lang w:val="es-CR" w:eastAsia="en-US"/>
        </w:rPr>
        <w:t>,</w:t>
      </w:r>
      <w:r w:rsidRPr="00A07C4A">
        <w:rPr>
          <w:rFonts w:ascii="Arial" w:eastAsia="Calibri" w:hAnsi="Arial" w:cs="Arial"/>
          <w:lang w:val="es-CR" w:eastAsia="en-US"/>
        </w:rPr>
        <w:t xml:space="preserve"> que establezcan interpretaciones auténticas de las normas.</w:t>
      </w:r>
    </w:p>
    <w:p w:rsidR="00A07C4A" w:rsidRPr="00A07C4A" w:rsidRDefault="00A07C4A" w:rsidP="00A07C4A">
      <w:pPr>
        <w:jc w:val="both"/>
        <w:rPr>
          <w:rFonts w:ascii="Arial" w:eastAsia="Calibri" w:hAnsi="Arial" w:cs="Arial"/>
          <w:sz w:val="16"/>
          <w:szCs w:val="16"/>
          <w:lang w:val="es-CR" w:eastAsia="en-US"/>
        </w:rPr>
      </w:pPr>
    </w:p>
    <w:p w:rsidR="00A07C4A" w:rsidRPr="00A07C4A" w:rsidRDefault="00A07C4A" w:rsidP="00A07C4A">
      <w:pPr>
        <w:jc w:val="both"/>
        <w:rPr>
          <w:rFonts w:ascii="Arial" w:eastAsia="Calibri" w:hAnsi="Arial" w:cs="Arial"/>
          <w:b/>
          <w:lang w:val="es-CR" w:eastAsia="en-US"/>
        </w:rPr>
      </w:pPr>
      <w:r w:rsidRPr="00A07C4A">
        <w:rPr>
          <w:rFonts w:ascii="Arial" w:eastAsia="Calibri" w:hAnsi="Arial" w:cs="Arial"/>
          <w:b/>
          <w:lang w:val="es-CR" w:eastAsia="en-US"/>
        </w:rPr>
        <w:t xml:space="preserve">SE </w:t>
      </w:r>
      <w:r>
        <w:rPr>
          <w:rFonts w:ascii="Arial" w:eastAsia="Calibri" w:hAnsi="Arial" w:cs="Arial"/>
          <w:b/>
          <w:lang w:val="es-CR" w:eastAsia="en-US"/>
        </w:rPr>
        <w:t>ACUERDA:</w:t>
      </w:r>
    </w:p>
    <w:p w:rsidR="00A07C4A" w:rsidRPr="00A07C4A" w:rsidRDefault="00A07C4A" w:rsidP="00A07C4A">
      <w:pPr>
        <w:jc w:val="both"/>
        <w:rPr>
          <w:rFonts w:ascii="Arial" w:eastAsia="Calibri" w:hAnsi="Arial" w:cs="Arial"/>
          <w:lang w:val="es-CR" w:eastAsia="en-US"/>
        </w:rPr>
      </w:pPr>
    </w:p>
    <w:p w:rsidR="00A07C4A" w:rsidRPr="00A07C4A" w:rsidRDefault="00A07C4A" w:rsidP="00A07C4A">
      <w:pPr>
        <w:numPr>
          <w:ilvl w:val="0"/>
          <w:numId w:val="44"/>
        </w:numPr>
        <w:spacing w:after="160" w:line="259" w:lineRule="auto"/>
        <w:contextualSpacing/>
        <w:jc w:val="both"/>
        <w:rPr>
          <w:rFonts w:ascii="Arial" w:eastAsia="Calibri" w:hAnsi="Arial" w:cs="Arial"/>
          <w:lang w:val="es-CR" w:eastAsia="en-US"/>
        </w:rPr>
      </w:pPr>
      <w:r w:rsidRPr="00A07C4A">
        <w:rPr>
          <w:rFonts w:ascii="Arial" w:eastAsia="Calibri" w:hAnsi="Arial" w:cs="Arial"/>
          <w:lang w:val="es-CR" w:eastAsia="en-US"/>
        </w:rPr>
        <w:t>Acoger el criterio legal del Asesor Externo Lic. Oscar Hernández Cedeño, reseñado en el resultando cuarto.</w:t>
      </w:r>
    </w:p>
    <w:p w:rsidR="00A07C4A" w:rsidRPr="00A07C4A" w:rsidRDefault="00A07C4A" w:rsidP="00A07C4A">
      <w:pPr>
        <w:ind w:left="360"/>
        <w:contextualSpacing/>
        <w:jc w:val="both"/>
        <w:rPr>
          <w:rFonts w:ascii="Arial" w:eastAsia="Calibri" w:hAnsi="Arial" w:cs="Arial"/>
          <w:lang w:val="es-CR" w:eastAsia="en-US"/>
        </w:rPr>
      </w:pPr>
    </w:p>
    <w:p w:rsidR="00A07C4A" w:rsidRPr="00A07C4A" w:rsidRDefault="000D2873" w:rsidP="00A07C4A">
      <w:pPr>
        <w:numPr>
          <w:ilvl w:val="0"/>
          <w:numId w:val="44"/>
        </w:numPr>
        <w:spacing w:after="160" w:line="259" w:lineRule="auto"/>
        <w:contextualSpacing/>
        <w:jc w:val="both"/>
        <w:rPr>
          <w:rFonts w:ascii="Arial" w:eastAsia="Calibri" w:hAnsi="Arial" w:cs="Arial"/>
          <w:lang w:val="es-CR" w:eastAsia="en-US"/>
        </w:rPr>
      </w:pPr>
      <w:r>
        <w:rPr>
          <w:rFonts w:ascii="Arial" w:eastAsia="Calibri" w:hAnsi="Arial" w:cs="Arial"/>
          <w:lang w:val="es-CR" w:eastAsia="en-US"/>
        </w:rPr>
        <w:t>Para</w:t>
      </w:r>
      <w:bookmarkStart w:id="0" w:name="_GoBack"/>
      <w:bookmarkEnd w:id="0"/>
      <w:r w:rsidR="00A07C4A" w:rsidRPr="00A07C4A">
        <w:rPr>
          <w:rFonts w:ascii="Arial" w:eastAsia="Calibri" w:hAnsi="Arial" w:cs="Arial"/>
          <w:lang w:val="es-CR" w:eastAsia="en-US"/>
        </w:rPr>
        <w:t xml:space="preserve"> todos los efectos se mantiene vigente la interpretación auténtica del inciso c del Artículo 22 del “Reglamento para Concursos de </w:t>
      </w:r>
      <w:r w:rsidR="00A07C4A">
        <w:rPr>
          <w:rFonts w:ascii="Arial" w:eastAsia="Calibri" w:hAnsi="Arial" w:cs="Arial"/>
          <w:lang w:val="es-CR" w:eastAsia="en-US"/>
        </w:rPr>
        <w:t>A</w:t>
      </w:r>
      <w:r w:rsidR="00A07C4A" w:rsidRPr="00A07C4A">
        <w:rPr>
          <w:rFonts w:ascii="Arial" w:eastAsia="Calibri" w:hAnsi="Arial" w:cs="Arial"/>
          <w:lang w:val="es-CR" w:eastAsia="en-US"/>
        </w:rPr>
        <w:t>ntecedentes Internos y Externos del Personal del ITCR</w:t>
      </w:r>
      <w:proofErr w:type="gramStart"/>
      <w:r w:rsidR="00A07C4A">
        <w:rPr>
          <w:rFonts w:ascii="Arial" w:eastAsia="Calibri" w:hAnsi="Arial" w:cs="Arial"/>
          <w:lang w:val="es-CR" w:eastAsia="en-US"/>
        </w:rPr>
        <w:t>”</w:t>
      </w:r>
      <w:r w:rsidR="00437ED5">
        <w:rPr>
          <w:rFonts w:ascii="Arial" w:eastAsia="Calibri" w:hAnsi="Arial" w:cs="Arial"/>
          <w:lang w:val="es-CR" w:eastAsia="en-US"/>
        </w:rPr>
        <w:t>,</w:t>
      </w:r>
      <w:r w:rsidR="00A07C4A">
        <w:rPr>
          <w:rFonts w:ascii="Arial" w:eastAsia="Calibri" w:hAnsi="Arial" w:cs="Arial"/>
          <w:lang w:val="es-CR" w:eastAsia="en-US"/>
        </w:rPr>
        <w:t xml:space="preserve"> </w:t>
      </w:r>
      <w:r w:rsidR="00A07C4A" w:rsidRPr="00A07C4A">
        <w:rPr>
          <w:rFonts w:ascii="Arial" w:eastAsia="Calibri" w:hAnsi="Arial" w:cs="Arial"/>
          <w:lang w:val="es-CR" w:eastAsia="en-US"/>
        </w:rPr>
        <w:t xml:space="preserve"> en</w:t>
      </w:r>
      <w:proofErr w:type="gramEnd"/>
      <w:r w:rsidR="00A07C4A" w:rsidRPr="00A07C4A">
        <w:rPr>
          <w:rFonts w:ascii="Arial" w:eastAsia="Calibri" w:hAnsi="Arial" w:cs="Arial"/>
          <w:lang w:val="es-CR" w:eastAsia="en-US"/>
        </w:rPr>
        <w:t xml:space="preserve"> lo relacionado con el concepto “voto emitido”, aprobada en la Sesión Ordinaria No. 3050, artículo 1</w:t>
      </w:r>
      <w:r w:rsidR="003C1FF5">
        <w:rPr>
          <w:rFonts w:ascii="Arial" w:eastAsia="Calibri" w:hAnsi="Arial" w:cs="Arial"/>
          <w:lang w:val="es-CR" w:eastAsia="en-US"/>
        </w:rPr>
        <w:t>2</w:t>
      </w:r>
      <w:r w:rsidR="00A07C4A" w:rsidRPr="00A07C4A">
        <w:rPr>
          <w:rFonts w:ascii="Arial" w:eastAsia="Calibri" w:hAnsi="Arial" w:cs="Arial"/>
          <w:lang w:val="es-CR" w:eastAsia="en-US"/>
        </w:rPr>
        <w:t xml:space="preserve">, del miércoles </w:t>
      </w:r>
      <w:r w:rsidR="003C1FF5">
        <w:rPr>
          <w:rFonts w:ascii="Arial" w:eastAsia="Calibri" w:hAnsi="Arial" w:cs="Arial"/>
          <w:lang w:val="es-CR" w:eastAsia="en-US"/>
        </w:rPr>
        <w:t>6</w:t>
      </w:r>
      <w:r w:rsidR="00A07C4A" w:rsidRPr="00A07C4A">
        <w:rPr>
          <w:rFonts w:ascii="Arial" w:eastAsia="Calibri" w:hAnsi="Arial" w:cs="Arial"/>
          <w:lang w:val="es-CR" w:eastAsia="en-US"/>
        </w:rPr>
        <w:t xml:space="preserve"> de diciembre de 2017 y publicada en la Gaceta del ITCR No. 492.</w:t>
      </w:r>
    </w:p>
    <w:p w:rsidR="00A07C4A" w:rsidRPr="00A07C4A" w:rsidRDefault="00A07C4A" w:rsidP="00A07C4A">
      <w:pPr>
        <w:jc w:val="both"/>
        <w:rPr>
          <w:rFonts w:ascii="Arial" w:eastAsia="Calibri" w:hAnsi="Arial" w:cs="Arial"/>
          <w:lang w:val="es-CR" w:eastAsia="en-US"/>
        </w:rPr>
      </w:pPr>
    </w:p>
    <w:p w:rsidR="00A07C4A" w:rsidRPr="00A07C4A" w:rsidRDefault="00A07C4A" w:rsidP="00A07C4A">
      <w:pPr>
        <w:numPr>
          <w:ilvl w:val="0"/>
          <w:numId w:val="44"/>
        </w:numPr>
        <w:spacing w:after="160" w:line="259" w:lineRule="auto"/>
        <w:contextualSpacing/>
        <w:jc w:val="both"/>
        <w:rPr>
          <w:rFonts w:ascii="Arial" w:eastAsia="Calibri" w:hAnsi="Arial" w:cs="Arial"/>
          <w:lang w:val="es-CR" w:eastAsia="en-US"/>
        </w:rPr>
      </w:pPr>
      <w:r w:rsidRPr="00A07C4A">
        <w:rPr>
          <w:rFonts w:ascii="Arial" w:eastAsia="Calibri" w:hAnsi="Arial" w:cs="Arial"/>
          <w:lang w:val="es-CR" w:eastAsia="en-US"/>
        </w:rPr>
        <w:t>Consecuentemente, rechazar por improcedente el Recurso de Revocatoria y Reconsideración de la Profesora Paola Solera Steller, Funcionaria de la Escuela de Biología, al no caber recursos ordinarios en contra de los acuerdos del Consejo Institucional, que aprueben interpretaciones auténticas de las normas.</w:t>
      </w:r>
    </w:p>
    <w:p w:rsidR="00A07C4A" w:rsidRPr="00A07C4A" w:rsidRDefault="00A07C4A" w:rsidP="00A07C4A">
      <w:pPr>
        <w:jc w:val="both"/>
        <w:rPr>
          <w:rFonts w:ascii="Arial" w:eastAsia="Calibri" w:hAnsi="Arial" w:cs="Arial"/>
          <w:lang w:val="es-CR" w:eastAsia="en-US"/>
        </w:rPr>
      </w:pPr>
    </w:p>
    <w:p w:rsidR="00A07C4A" w:rsidRDefault="00A07C4A" w:rsidP="00A07C4A">
      <w:pPr>
        <w:numPr>
          <w:ilvl w:val="0"/>
          <w:numId w:val="44"/>
        </w:numPr>
        <w:contextualSpacing/>
        <w:jc w:val="both"/>
        <w:rPr>
          <w:rFonts w:ascii="Arial" w:eastAsia="Calibri" w:hAnsi="Arial" w:cs="Arial"/>
          <w:lang w:val="es-CR" w:eastAsia="en-US"/>
        </w:rPr>
      </w:pPr>
      <w:r w:rsidRPr="00A07C4A">
        <w:rPr>
          <w:rFonts w:ascii="Arial" w:eastAsia="Calibri" w:hAnsi="Arial" w:cs="Arial"/>
          <w:lang w:val="es-CR" w:eastAsia="en-US"/>
        </w:rPr>
        <w:t>Informar al Directorio de la Asamblea Institucional Representativa el presente acuerdo y trasladar copia del expediente incoado, para el trámite que corresponda.</w:t>
      </w:r>
    </w:p>
    <w:p w:rsidR="00A07C4A" w:rsidRPr="00A07C4A" w:rsidRDefault="00A07C4A" w:rsidP="00A07C4A">
      <w:pPr>
        <w:contextualSpacing/>
        <w:jc w:val="both"/>
        <w:rPr>
          <w:rFonts w:ascii="Arial" w:eastAsia="Calibri" w:hAnsi="Arial" w:cs="Arial"/>
          <w:lang w:val="es-CR" w:eastAsia="en-US"/>
        </w:rPr>
      </w:pPr>
    </w:p>
    <w:p w:rsidR="00A44C4E" w:rsidRPr="00A44C4E" w:rsidRDefault="00A44C4E" w:rsidP="00A07C4A">
      <w:pPr>
        <w:ind w:left="709"/>
        <w:jc w:val="both"/>
        <w:rPr>
          <w:rFonts w:ascii="Arial" w:eastAsia="Calibri" w:hAnsi="Arial" w:cs="Arial"/>
          <w:sz w:val="6"/>
          <w:lang w:val="es-CR" w:eastAsia="en-US"/>
        </w:rPr>
      </w:pPr>
    </w:p>
    <w:p w:rsidR="00A44C4E" w:rsidRDefault="00A44C4E" w:rsidP="00437ED5">
      <w:pPr>
        <w:numPr>
          <w:ilvl w:val="0"/>
          <w:numId w:val="44"/>
        </w:numPr>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07C4A" w:rsidRDefault="00A07C4A" w:rsidP="00A07C4A">
      <w:pPr>
        <w:jc w:val="both"/>
        <w:rPr>
          <w:rFonts w:ascii="Arial" w:eastAsia="Calibri" w:hAnsi="Arial" w:cs="Arial"/>
          <w:b/>
          <w:lang w:val="es-ES_tradnl" w:eastAsia="en-US"/>
        </w:rPr>
      </w:pPr>
    </w:p>
    <w:p w:rsidR="00901D4A" w:rsidRDefault="00901D4A" w:rsidP="00A07C4A">
      <w:pPr>
        <w:jc w:val="both"/>
        <w:rPr>
          <w:rFonts w:ascii="Arial" w:eastAsia="Calibri" w:hAnsi="Arial" w:cs="Arial"/>
          <w:b/>
          <w:lang w:val="es-ES_tradnl" w:eastAsia="en-US"/>
        </w:rPr>
      </w:pPr>
    </w:p>
    <w:p w:rsidR="00A07C4A" w:rsidRPr="00A07C4A" w:rsidRDefault="00A07C4A" w:rsidP="00A07C4A">
      <w:pPr>
        <w:jc w:val="both"/>
        <w:rPr>
          <w:rFonts w:ascii="Arial" w:eastAsia="Calibri" w:hAnsi="Arial" w:cs="Arial"/>
          <w:b/>
          <w:lang w:val="es-ES_tradnl" w:eastAsia="en-US"/>
        </w:rPr>
      </w:pPr>
      <w:r w:rsidRPr="00A07C4A">
        <w:rPr>
          <w:rFonts w:ascii="Arial" w:eastAsia="Calibri" w:hAnsi="Arial" w:cs="Arial"/>
          <w:b/>
          <w:lang w:val="es-ES_tradnl" w:eastAsia="en-US"/>
        </w:rPr>
        <w:t xml:space="preserve">Palabras Clave:  rechazo – recurso – improcedente – Paola – Solera - </w:t>
      </w:r>
    </w:p>
    <w:p w:rsidR="00A44C4E" w:rsidRPr="00A44C4E" w:rsidRDefault="00A44C4E" w:rsidP="00A44C4E">
      <w:pPr>
        <w:jc w:val="both"/>
        <w:rPr>
          <w:rFonts w:ascii="Arial" w:eastAsia="Cambria" w:hAnsi="Arial" w:cs="Arial"/>
          <w:sz w:val="22"/>
          <w:szCs w:val="22"/>
          <w:lang w:val="es-ES_tradnl" w:eastAsia="en-US"/>
        </w:rPr>
      </w:pPr>
    </w:p>
    <w:p w:rsidR="00967CC7" w:rsidRDefault="00967CC7" w:rsidP="00E527E9">
      <w:pPr>
        <w:ind w:right="-91"/>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B9" w:rsidRDefault="00EC3FB9">
      <w:r>
        <w:separator/>
      </w:r>
    </w:p>
  </w:endnote>
  <w:endnote w:type="continuationSeparator" w:id="0">
    <w:p w:rsidR="00EC3FB9" w:rsidRDefault="00EC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B9" w:rsidRDefault="00EC3FB9">
      <w:r>
        <w:separator/>
      </w:r>
    </w:p>
  </w:footnote>
  <w:footnote w:type="continuationSeparator" w:id="0">
    <w:p w:rsidR="00EC3FB9" w:rsidRDefault="00EC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B705D1">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B705D1">
      <w:rPr>
        <w:rFonts w:ascii="Arial" w:eastAsia="Cambria" w:hAnsi="Arial" w:cs="Arial"/>
        <w:i/>
        <w:sz w:val="18"/>
        <w:szCs w:val="18"/>
        <w:lang w:val="es-ES_tradnl" w:eastAsia="x-none"/>
      </w:rPr>
      <w:t>1</w:t>
    </w:r>
    <w:r w:rsidR="00437ED5">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705D1">
      <w:rPr>
        <w:rFonts w:ascii="Arial" w:eastAsia="Cambria" w:hAnsi="Arial" w:cs="Arial"/>
        <w:i/>
        <w:sz w:val="18"/>
        <w:szCs w:val="18"/>
        <w:lang w:val="es-ES_tradnl" w:eastAsia="x-none"/>
      </w:rPr>
      <w:t xml:space="preserve">21 </w:t>
    </w:r>
    <w:r w:rsidR="00C55D84">
      <w:rPr>
        <w:rFonts w:ascii="Arial" w:eastAsia="Cambria" w:hAnsi="Arial" w:cs="Arial"/>
        <w:i/>
        <w:sz w:val="18"/>
        <w:szCs w:val="18"/>
        <w:lang w:val="es-ES_tradnl" w:eastAsia="x-none"/>
      </w:rPr>
      <w:t xml:space="preserve">de </w:t>
    </w:r>
    <w:r w:rsidR="00647711">
      <w:rPr>
        <w:rFonts w:ascii="Arial" w:eastAsia="Cambria" w:hAnsi="Arial" w:cs="Arial"/>
        <w:i/>
        <w:sz w:val="18"/>
        <w:szCs w:val="18"/>
        <w:lang w:val="es-ES_tradnl" w:eastAsia="x-none"/>
      </w:rPr>
      <w:t>marzo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D287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E06B62"/>
    <w:multiLevelType w:val="hybridMultilevel"/>
    <w:tmpl w:val="DD6AAAB2"/>
    <w:lvl w:ilvl="0" w:tplc="C1E05D4E">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157E37"/>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6"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14A35BF1"/>
    <w:multiLevelType w:val="hybridMultilevel"/>
    <w:tmpl w:val="EB7A3C72"/>
    <w:lvl w:ilvl="0" w:tplc="6F3E1B62">
      <w:start w:val="1"/>
      <w:numFmt w:val="decimal"/>
      <w:lvlText w:val="%1."/>
      <w:lvlJc w:val="left"/>
      <w:pPr>
        <w:ind w:left="1375" w:hanging="360"/>
      </w:pPr>
      <w:rPr>
        <w:rFonts w:hint="default"/>
        <w:i w:val="0"/>
      </w:rPr>
    </w:lvl>
    <w:lvl w:ilvl="1" w:tplc="140A0019" w:tentative="1">
      <w:start w:val="1"/>
      <w:numFmt w:val="lowerLetter"/>
      <w:lvlText w:val="%2."/>
      <w:lvlJc w:val="left"/>
      <w:pPr>
        <w:ind w:left="2095" w:hanging="360"/>
      </w:pPr>
    </w:lvl>
    <w:lvl w:ilvl="2" w:tplc="140A001B" w:tentative="1">
      <w:start w:val="1"/>
      <w:numFmt w:val="lowerRoman"/>
      <w:lvlText w:val="%3."/>
      <w:lvlJc w:val="right"/>
      <w:pPr>
        <w:ind w:left="2815" w:hanging="180"/>
      </w:pPr>
    </w:lvl>
    <w:lvl w:ilvl="3" w:tplc="140A000F" w:tentative="1">
      <w:start w:val="1"/>
      <w:numFmt w:val="decimal"/>
      <w:lvlText w:val="%4."/>
      <w:lvlJc w:val="left"/>
      <w:pPr>
        <w:ind w:left="3535" w:hanging="360"/>
      </w:pPr>
    </w:lvl>
    <w:lvl w:ilvl="4" w:tplc="140A0019" w:tentative="1">
      <w:start w:val="1"/>
      <w:numFmt w:val="lowerLetter"/>
      <w:lvlText w:val="%5."/>
      <w:lvlJc w:val="left"/>
      <w:pPr>
        <w:ind w:left="4255" w:hanging="360"/>
      </w:pPr>
    </w:lvl>
    <w:lvl w:ilvl="5" w:tplc="140A001B" w:tentative="1">
      <w:start w:val="1"/>
      <w:numFmt w:val="lowerRoman"/>
      <w:lvlText w:val="%6."/>
      <w:lvlJc w:val="right"/>
      <w:pPr>
        <w:ind w:left="4975" w:hanging="180"/>
      </w:pPr>
    </w:lvl>
    <w:lvl w:ilvl="6" w:tplc="140A000F" w:tentative="1">
      <w:start w:val="1"/>
      <w:numFmt w:val="decimal"/>
      <w:lvlText w:val="%7."/>
      <w:lvlJc w:val="left"/>
      <w:pPr>
        <w:ind w:left="5695" w:hanging="360"/>
      </w:pPr>
    </w:lvl>
    <w:lvl w:ilvl="7" w:tplc="140A0019" w:tentative="1">
      <w:start w:val="1"/>
      <w:numFmt w:val="lowerLetter"/>
      <w:lvlText w:val="%8."/>
      <w:lvlJc w:val="left"/>
      <w:pPr>
        <w:ind w:left="6415" w:hanging="360"/>
      </w:pPr>
    </w:lvl>
    <w:lvl w:ilvl="8" w:tplc="140A001B" w:tentative="1">
      <w:start w:val="1"/>
      <w:numFmt w:val="lowerRoman"/>
      <w:lvlText w:val="%9."/>
      <w:lvlJc w:val="right"/>
      <w:pPr>
        <w:ind w:left="7135" w:hanging="180"/>
      </w:pPr>
    </w:lvl>
  </w:abstractNum>
  <w:abstractNum w:abstractNumId="8" w15:restartNumberingAfterBreak="0">
    <w:nsid w:val="16C70C32"/>
    <w:multiLevelType w:val="hybridMultilevel"/>
    <w:tmpl w:val="91C6E092"/>
    <w:lvl w:ilvl="0" w:tplc="EEE43370">
      <w:start w:val="1"/>
      <w:numFmt w:val="decimal"/>
      <w:lvlText w:val="%1."/>
      <w:lvlJc w:val="left"/>
      <w:pPr>
        <w:ind w:left="720" w:hanging="360"/>
      </w:pPr>
      <w:rPr>
        <w:rFonts w:ascii="Arial" w:eastAsia="Arial" w:hAnsi="Arial" w:cs="Arial" w:hint="default"/>
        <w:b/>
        <w:color w:val="11111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1738D"/>
    <w:multiLevelType w:val="hybridMultilevel"/>
    <w:tmpl w:val="F052338E"/>
    <w:lvl w:ilvl="0" w:tplc="33EEB2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4E4AE43E"/>
    <w:lvl w:ilvl="0" w:tplc="140A0019">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6C675B"/>
    <w:multiLevelType w:val="hybridMultilevel"/>
    <w:tmpl w:val="E4D0BBDA"/>
    <w:lvl w:ilvl="0" w:tplc="59F8DBE8">
      <w:start w:val="1"/>
      <w:numFmt w:val="lowerLetter"/>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2" w15:restartNumberingAfterBreak="0">
    <w:nsid w:val="27D2700B"/>
    <w:multiLevelType w:val="hybridMultilevel"/>
    <w:tmpl w:val="A1FE22C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5" w15:restartNumberingAfterBreak="0">
    <w:nsid w:val="319441DD"/>
    <w:multiLevelType w:val="hybridMultilevel"/>
    <w:tmpl w:val="FC6EBA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7F60A59"/>
    <w:multiLevelType w:val="hybridMultilevel"/>
    <w:tmpl w:val="9FE82718"/>
    <w:lvl w:ilvl="0" w:tplc="58D689C6">
      <w:start w:val="1"/>
      <w:numFmt w:val="lowerLetter"/>
      <w:lvlText w:val="%1."/>
      <w:lvlJc w:val="left"/>
      <w:pPr>
        <w:ind w:left="360" w:hanging="360"/>
      </w:pPr>
      <w:rPr>
        <w:rFonts w:hint="default"/>
        <w:b/>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DA7446"/>
    <w:multiLevelType w:val="hybridMultilevel"/>
    <w:tmpl w:val="35508464"/>
    <w:lvl w:ilvl="0" w:tplc="2FFAF220">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75D5889"/>
    <w:multiLevelType w:val="hybridMultilevel"/>
    <w:tmpl w:val="C95EAB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A5282E"/>
    <w:multiLevelType w:val="multilevel"/>
    <w:tmpl w:val="F1DAC702"/>
    <w:lvl w:ilvl="0">
      <w:start w:val="1"/>
      <w:numFmt w:val="decimal"/>
      <w:lvlText w:val="%1."/>
      <w:lvlJc w:val="left"/>
      <w:pPr>
        <w:ind w:left="360" w:hanging="360"/>
      </w:pPr>
      <w:rPr>
        <w:rFonts w:ascii="Arial" w:hAnsi="Arial" w:cs="Arial" w:hint="default"/>
        <w:b/>
        <w:i w:val="0"/>
      </w:rPr>
    </w:lvl>
    <w:lvl w:ilvl="1">
      <w:start w:val="5"/>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7" w15:restartNumberingAfterBreak="0">
    <w:nsid w:val="58E04A9A"/>
    <w:multiLevelType w:val="hybridMultilevel"/>
    <w:tmpl w:val="25B29C8A"/>
    <w:lvl w:ilvl="0" w:tplc="09DEE496">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91250CC"/>
    <w:multiLevelType w:val="hybridMultilevel"/>
    <w:tmpl w:val="61CC3642"/>
    <w:lvl w:ilvl="0" w:tplc="F4D40E2C">
      <w:start w:val="1"/>
      <w:numFmt w:val="lowerLetter"/>
      <w:lvlText w:val="%1."/>
      <w:lvlJc w:val="left"/>
      <w:pPr>
        <w:ind w:left="1627" w:hanging="360"/>
      </w:pPr>
      <w:rPr>
        <w:lang w:val="es-CR"/>
      </w:rPr>
    </w:lvl>
    <w:lvl w:ilvl="1" w:tplc="140A0019" w:tentative="1">
      <w:start w:val="1"/>
      <w:numFmt w:val="lowerLetter"/>
      <w:lvlText w:val="%2."/>
      <w:lvlJc w:val="left"/>
      <w:pPr>
        <w:ind w:left="2347" w:hanging="360"/>
      </w:pPr>
    </w:lvl>
    <w:lvl w:ilvl="2" w:tplc="140A001B" w:tentative="1">
      <w:start w:val="1"/>
      <w:numFmt w:val="lowerRoman"/>
      <w:lvlText w:val="%3."/>
      <w:lvlJc w:val="right"/>
      <w:pPr>
        <w:ind w:left="3067" w:hanging="180"/>
      </w:pPr>
    </w:lvl>
    <w:lvl w:ilvl="3" w:tplc="140A000F" w:tentative="1">
      <w:start w:val="1"/>
      <w:numFmt w:val="decimal"/>
      <w:lvlText w:val="%4."/>
      <w:lvlJc w:val="left"/>
      <w:pPr>
        <w:ind w:left="3787" w:hanging="360"/>
      </w:pPr>
    </w:lvl>
    <w:lvl w:ilvl="4" w:tplc="140A0019" w:tentative="1">
      <w:start w:val="1"/>
      <w:numFmt w:val="lowerLetter"/>
      <w:lvlText w:val="%5."/>
      <w:lvlJc w:val="left"/>
      <w:pPr>
        <w:ind w:left="4507" w:hanging="360"/>
      </w:pPr>
    </w:lvl>
    <w:lvl w:ilvl="5" w:tplc="140A001B" w:tentative="1">
      <w:start w:val="1"/>
      <w:numFmt w:val="lowerRoman"/>
      <w:lvlText w:val="%6."/>
      <w:lvlJc w:val="right"/>
      <w:pPr>
        <w:ind w:left="5227" w:hanging="180"/>
      </w:pPr>
    </w:lvl>
    <w:lvl w:ilvl="6" w:tplc="140A000F" w:tentative="1">
      <w:start w:val="1"/>
      <w:numFmt w:val="decimal"/>
      <w:lvlText w:val="%7."/>
      <w:lvlJc w:val="left"/>
      <w:pPr>
        <w:ind w:left="5947" w:hanging="360"/>
      </w:pPr>
    </w:lvl>
    <w:lvl w:ilvl="7" w:tplc="140A0019" w:tentative="1">
      <w:start w:val="1"/>
      <w:numFmt w:val="lowerLetter"/>
      <w:lvlText w:val="%8."/>
      <w:lvlJc w:val="left"/>
      <w:pPr>
        <w:ind w:left="6667" w:hanging="360"/>
      </w:pPr>
    </w:lvl>
    <w:lvl w:ilvl="8" w:tplc="140A001B" w:tentative="1">
      <w:start w:val="1"/>
      <w:numFmt w:val="lowerRoman"/>
      <w:lvlText w:val="%9."/>
      <w:lvlJc w:val="right"/>
      <w:pPr>
        <w:ind w:left="7387" w:hanging="180"/>
      </w:pPr>
    </w:lvl>
  </w:abstractNum>
  <w:abstractNum w:abstractNumId="29"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F231D35"/>
    <w:multiLevelType w:val="hybridMultilevel"/>
    <w:tmpl w:val="A670964A"/>
    <w:lvl w:ilvl="0" w:tplc="D2F20452">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F760D4A"/>
    <w:multiLevelType w:val="multilevel"/>
    <w:tmpl w:val="FDA66CB4"/>
    <w:lvl w:ilvl="0">
      <w:start w:val="1"/>
      <w:numFmt w:val="upperRoman"/>
      <w:suff w:val="nothing"/>
      <w:lvlText w:val="%1."/>
      <w:lvlJc w:val="left"/>
      <w:pPr>
        <w:ind w:left="340" w:hanging="340"/>
      </w:pPr>
      <w:rPr>
        <w:rFonts w:hint="default"/>
      </w:rPr>
    </w:lvl>
    <w:lvl w:ilvl="1">
      <w:start w:val="1"/>
      <w:numFmt w:val="decimal"/>
      <w:isLgl/>
      <w:lvlText w:val="%1.%2."/>
      <w:lvlJc w:val="left"/>
      <w:pPr>
        <w:tabs>
          <w:tab w:val="num" w:pos="340"/>
        </w:tabs>
        <w:ind w:left="113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1021"/>
        </w:tabs>
        <w:ind w:left="2155" w:hanging="1134"/>
      </w:pPr>
      <w:rPr>
        <w:rFonts w:hint="default"/>
      </w:rPr>
    </w:lvl>
    <w:lvl w:ilvl="3">
      <w:start w:val="1"/>
      <w:numFmt w:val="lowerLetter"/>
      <w:lvlText w:val="%4."/>
      <w:lvlJc w:val="left"/>
      <w:pPr>
        <w:ind w:left="2552" w:hanging="511"/>
      </w:pPr>
      <w:rPr>
        <w:rFonts w:hint="default"/>
        <w:color w:val="auto"/>
      </w:rPr>
    </w:lvl>
    <w:lvl w:ilvl="4">
      <w:start w:val="1"/>
      <w:numFmt w:val="decimal"/>
      <w:lvlText w:val="(%5)"/>
      <w:lvlJc w:val="left"/>
      <w:pPr>
        <w:tabs>
          <w:tab w:val="num" w:pos="2880"/>
        </w:tabs>
        <w:ind w:left="2880" w:firstLine="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0EB6B7B"/>
    <w:multiLevelType w:val="hybridMultilevel"/>
    <w:tmpl w:val="DD16345A"/>
    <w:lvl w:ilvl="0" w:tplc="B4A6F70A">
      <w:start w:val="1"/>
      <w:numFmt w:val="decimal"/>
      <w:lvlText w:val="%1."/>
      <w:lvlJc w:val="left"/>
      <w:pPr>
        <w:ind w:left="987" w:hanging="4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3"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1BA2D19"/>
    <w:multiLevelType w:val="hybridMultilevel"/>
    <w:tmpl w:val="BA3E7DFE"/>
    <w:lvl w:ilvl="0" w:tplc="FFF26A98">
      <w:start w:val="1"/>
      <w:numFmt w:val="decimal"/>
      <w:lvlText w:val="%1."/>
      <w:lvlJc w:val="left"/>
      <w:pPr>
        <w:ind w:left="5747"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C97135D"/>
    <w:multiLevelType w:val="hybridMultilevel"/>
    <w:tmpl w:val="7EBEB884"/>
    <w:lvl w:ilvl="0" w:tplc="19F65A4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972F00"/>
    <w:multiLevelType w:val="hybridMultilevel"/>
    <w:tmpl w:val="FAA0602E"/>
    <w:lvl w:ilvl="0" w:tplc="2C3C5104">
      <w:start w:val="1"/>
      <w:numFmt w:val="decimal"/>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16"/>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4"/>
  </w:num>
  <w:num w:numId="7">
    <w:abstractNumId w:val="19"/>
  </w:num>
  <w:num w:numId="8">
    <w:abstractNumId w:val="22"/>
  </w:num>
  <w:num w:numId="9">
    <w:abstractNumId w:val="40"/>
  </w:num>
  <w:num w:numId="10">
    <w:abstractNumId w:val="6"/>
  </w:num>
  <w:num w:numId="11">
    <w:abstractNumId w:val="29"/>
  </w:num>
  <w:num w:numId="12">
    <w:abstractNumId w:val="20"/>
  </w:num>
  <w:num w:numId="13">
    <w:abstractNumId w:val="33"/>
  </w:num>
  <w:num w:numId="14">
    <w:abstractNumId w:val="13"/>
  </w:num>
  <w:num w:numId="15">
    <w:abstractNumId w:val="39"/>
  </w:num>
  <w:num w:numId="16">
    <w:abstractNumId w:val="0"/>
  </w:num>
  <w:num w:numId="17">
    <w:abstractNumId w:val="35"/>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7"/>
  </w:num>
  <w:num w:numId="24">
    <w:abstractNumId w:val="28"/>
  </w:num>
  <w:num w:numId="25">
    <w:abstractNumId w:val="14"/>
  </w:num>
  <w:num w:numId="26">
    <w:abstractNumId w:val="12"/>
  </w:num>
  <w:num w:numId="27">
    <w:abstractNumId w:val="5"/>
  </w:num>
  <w:num w:numId="28">
    <w:abstractNumId w:val="36"/>
  </w:num>
  <w:num w:numId="29">
    <w:abstractNumId w:val="21"/>
  </w:num>
  <w:num w:numId="30">
    <w:abstractNumId w:val="4"/>
  </w:num>
  <w:num w:numId="31">
    <w:abstractNumId w:val="9"/>
  </w:num>
  <w:num w:numId="32">
    <w:abstractNumId w:val="41"/>
  </w:num>
  <w:num w:numId="33">
    <w:abstractNumId w:val="7"/>
  </w:num>
  <w:num w:numId="34">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25"/>
  </w:num>
  <w:num w:numId="39">
    <w:abstractNumId w:val="23"/>
  </w:num>
  <w:num w:numId="40">
    <w:abstractNumId w:val="32"/>
  </w:num>
  <w:num w:numId="41">
    <w:abstractNumId w:val="42"/>
  </w:num>
  <w:num w:numId="42">
    <w:abstractNumId w:val="3"/>
  </w:num>
  <w:num w:numId="43">
    <w:abstractNumId w:val="11"/>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873"/>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8D2"/>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07A2"/>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1FF5"/>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59C9"/>
    <w:rsid w:val="0042619C"/>
    <w:rsid w:val="00426401"/>
    <w:rsid w:val="004268E7"/>
    <w:rsid w:val="00426AC7"/>
    <w:rsid w:val="00427B05"/>
    <w:rsid w:val="00430CF8"/>
    <w:rsid w:val="004314B6"/>
    <w:rsid w:val="00432A0F"/>
    <w:rsid w:val="004335D5"/>
    <w:rsid w:val="00436940"/>
    <w:rsid w:val="00436F0E"/>
    <w:rsid w:val="00437ED5"/>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1D4A"/>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07C4A"/>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5D1"/>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0D3E"/>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3FB9"/>
    <w:rsid w:val="00EC5EF3"/>
    <w:rsid w:val="00EC6EDE"/>
    <w:rsid w:val="00EC73DD"/>
    <w:rsid w:val="00ED0DA7"/>
    <w:rsid w:val="00ED2FE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D2B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A7C4E-42B1-49DC-88AA-C85EFD58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2018-03-21T20:18:00Z</cp:lastPrinted>
  <dcterms:created xsi:type="dcterms:W3CDTF">2018-01-31T17:57:00Z</dcterms:created>
  <dcterms:modified xsi:type="dcterms:W3CDTF">2018-03-21T22:16:00Z</dcterms:modified>
</cp:coreProperties>
</file>