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E458D">
        <w:rPr>
          <w:rFonts w:ascii="Arial" w:hAnsi="Arial" w:cs="Arial"/>
          <w:b/>
          <w:bCs/>
          <w:iCs/>
          <w:sz w:val="26"/>
          <w:szCs w:val="22"/>
          <w:lang w:val="es-CR"/>
        </w:rPr>
        <w:t>31</w:t>
      </w:r>
      <w:r w:rsidR="00253D00">
        <w:rPr>
          <w:rFonts w:ascii="Arial" w:hAnsi="Arial" w:cs="Arial"/>
          <w:b/>
          <w:bCs/>
          <w:iCs/>
          <w:sz w:val="26"/>
          <w:szCs w:val="22"/>
          <w:lang w:val="es-CR"/>
        </w:rPr>
        <w:t>7</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253D00"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3F0538" w:rsidRDefault="00FF3C43" w:rsidP="00B4212A">
            <w:pPr>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r w:rsidR="00974D66" w:rsidRPr="00A449FD">
              <w:rPr>
                <w:rFonts w:ascii="Arial" w:eastAsia="Cambria" w:hAnsi="Arial" w:cs="Arial"/>
                <w:sz w:val="22"/>
                <w:szCs w:val="22"/>
                <w:lang w:val="es-ES_tradnl" w:eastAsia="en-US"/>
              </w:rPr>
              <w:t xml:space="preserve"> </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Ing. Luis Paulino Méndez Badilla, Vicerrector de Docencia</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Paola Vega Castillo, Vicerrectora de Investigación y Extensión </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Edgardo Vargas Jarquín, Director Sede Regional San Carlos</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CE458D" w:rsidRPr="00AC372A" w:rsidRDefault="00CE458D" w:rsidP="00CE458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253D00" w:rsidRPr="00253D00" w:rsidRDefault="00CE458D" w:rsidP="00253D0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Harold Blanco Leitón, Director Departamento de Recursos Humanos</w:t>
            </w:r>
          </w:p>
          <w:p w:rsidR="005D6EFD" w:rsidRDefault="00CE458D" w:rsidP="00253D00">
            <w:pPr>
              <w:jc w:val="both"/>
              <w:rPr>
                <w:rFonts w:ascii="Arial" w:eastAsia="Calibri" w:hAnsi="Arial" w:cs="Arial"/>
                <w:lang w:val="es-CR"/>
              </w:rPr>
            </w:pPr>
            <w:r w:rsidRPr="00CE458D">
              <w:rPr>
                <w:rFonts w:ascii="Arial" w:eastAsia="Calibri" w:hAnsi="Arial" w:cs="Arial"/>
                <w:lang w:val="es-CR"/>
              </w:rPr>
              <w:t>Dra. Martha Calderón Ferrey, Directora de la Escuela de Ciencias Sociales</w:t>
            </w:r>
          </w:p>
          <w:p w:rsidR="00253D00" w:rsidRDefault="00253D00" w:rsidP="00253D0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Grettel Ortiz Álvarez, Directora Oficina de Asesoría Legal </w:t>
            </w:r>
          </w:p>
          <w:p w:rsidR="00253D00" w:rsidRPr="00A449FD" w:rsidRDefault="00253D00" w:rsidP="00253D00">
            <w:pPr>
              <w:ind w:left="45"/>
              <w:jc w:val="both"/>
              <w:rPr>
                <w:rFonts w:ascii="Arial" w:eastAsia="Cambria" w:hAnsi="Arial" w:cs="Arial"/>
                <w:sz w:val="22"/>
                <w:szCs w:val="22"/>
                <w:lang w:val="es-ES_tradnl" w:eastAsia="en-US"/>
              </w:rPr>
            </w:pPr>
          </w:p>
          <w:p w:rsidR="00253D00" w:rsidRPr="00A449FD" w:rsidRDefault="00253D00" w:rsidP="00253D00">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253D00" w:rsidP="007742A1">
            <w:pPr>
              <w:rPr>
                <w:rFonts w:ascii="Arial" w:eastAsia="SimSun" w:hAnsi="Arial" w:cs="Arial"/>
                <w:b/>
                <w:lang w:val="es-ES_tradnl" w:eastAsia="en-US"/>
              </w:rPr>
            </w:pPr>
            <w:r>
              <w:rPr>
                <w:rFonts w:ascii="Arial" w:eastAsia="SimSun" w:hAnsi="Arial" w:cs="Arial"/>
                <w:b/>
                <w:lang w:val="es-ES_tradnl" w:eastAsia="en-US"/>
              </w:rPr>
              <w:t>De:</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Pr="00A449FD"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7742A1" w:rsidP="007742A1">
            <w:pPr>
              <w:tabs>
                <w:tab w:val="right" w:pos="2410"/>
                <w:tab w:val="left" w:pos="2694"/>
              </w:tabs>
              <w:rPr>
                <w:rFonts w:ascii="Arial" w:eastAsia="Cambria" w:hAnsi="Arial" w:cs="Arial"/>
                <w:b/>
                <w:sz w:val="22"/>
                <w:szCs w:val="22"/>
                <w:lang w:eastAsia="en-US"/>
              </w:rPr>
            </w:pPr>
          </w:p>
          <w:p w:rsidR="007742A1" w:rsidRPr="00A449FD" w:rsidRDefault="00CB19C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02</w:t>
            </w:r>
            <w:r w:rsidR="00C001DF" w:rsidRPr="00A449FD">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mayo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bookmarkStart w:id="0" w:name="_GoBack"/>
        <w:bookmarkEnd w:id="0"/>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A449FD" w:rsidRDefault="007742A1" w:rsidP="00CB19C2">
            <w:pPr>
              <w:autoSpaceDE w:val="0"/>
              <w:autoSpaceDN w:val="0"/>
              <w:adjustRightInd w:val="0"/>
              <w:jc w:val="both"/>
              <w:rPr>
                <w:rFonts w:ascii="Arial" w:eastAsia="Calibri" w:hAnsi="Arial" w:cs="Arial"/>
                <w:b/>
                <w:bCs/>
                <w:color w:val="000000"/>
                <w:sz w:val="22"/>
                <w:szCs w:val="22"/>
                <w:lang w:val="es-CR" w:eastAsia="en-US"/>
              </w:rPr>
            </w:pPr>
            <w:r w:rsidRPr="00A449FD">
              <w:rPr>
                <w:rFonts w:ascii="Arial" w:eastAsia="Calibri" w:hAnsi="Arial" w:cs="Arial"/>
                <w:b/>
                <w:sz w:val="22"/>
                <w:szCs w:val="22"/>
              </w:rPr>
              <w:t xml:space="preserve">Sesión Ordinaria No. </w:t>
            </w:r>
            <w:r w:rsidR="00337455" w:rsidRPr="00A449FD">
              <w:rPr>
                <w:rFonts w:ascii="Arial" w:eastAsia="Calibri" w:hAnsi="Arial" w:cs="Arial"/>
                <w:b/>
                <w:sz w:val="22"/>
                <w:szCs w:val="22"/>
              </w:rPr>
              <w:t>30</w:t>
            </w:r>
            <w:r w:rsidR="00647711" w:rsidRPr="00A449FD">
              <w:rPr>
                <w:rFonts w:ascii="Arial" w:eastAsia="Calibri" w:hAnsi="Arial" w:cs="Arial"/>
                <w:b/>
                <w:sz w:val="22"/>
                <w:szCs w:val="22"/>
              </w:rPr>
              <w:t>6</w:t>
            </w:r>
            <w:r w:rsidR="00CB19C2">
              <w:rPr>
                <w:rFonts w:ascii="Arial" w:eastAsia="Calibri" w:hAnsi="Arial" w:cs="Arial"/>
                <w:b/>
                <w:sz w:val="22"/>
                <w:szCs w:val="22"/>
              </w:rPr>
              <w:t>8</w:t>
            </w:r>
            <w:r w:rsidRPr="00A449FD">
              <w:rPr>
                <w:rFonts w:ascii="Arial" w:eastAsia="Calibri" w:hAnsi="Arial" w:cs="Arial"/>
                <w:b/>
                <w:sz w:val="22"/>
                <w:szCs w:val="22"/>
              </w:rPr>
              <w:t>, Artículo</w:t>
            </w:r>
            <w:r w:rsidR="00925985" w:rsidRPr="00A449FD">
              <w:rPr>
                <w:rFonts w:ascii="Arial" w:eastAsia="Calibri" w:hAnsi="Arial" w:cs="Arial"/>
                <w:b/>
                <w:sz w:val="22"/>
                <w:szCs w:val="22"/>
              </w:rPr>
              <w:t xml:space="preserve"> </w:t>
            </w:r>
            <w:r w:rsidR="00A46673" w:rsidRPr="00A449FD">
              <w:rPr>
                <w:rFonts w:ascii="Arial" w:eastAsia="Calibri" w:hAnsi="Arial" w:cs="Arial"/>
                <w:b/>
                <w:sz w:val="22"/>
                <w:szCs w:val="22"/>
              </w:rPr>
              <w:t>7</w:t>
            </w:r>
            <w:r w:rsidR="00FF3C43" w:rsidRPr="00A449FD">
              <w:rPr>
                <w:rFonts w:ascii="Arial" w:eastAsia="Calibri" w:hAnsi="Arial" w:cs="Arial"/>
                <w:b/>
                <w:sz w:val="22"/>
                <w:szCs w:val="22"/>
              </w:rPr>
              <w:t>,</w:t>
            </w:r>
            <w:r w:rsidRPr="00A449FD">
              <w:rPr>
                <w:rFonts w:ascii="Arial" w:eastAsia="Calibri" w:hAnsi="Arial" w:cs="Arial"/>
                <w:b/>
                <w:sz w:val="22"/>
                <w:szCs w:val="22"/>
              </w:rPr>
              <w:t xml:space="preserve"> del </w:t>
            </w:r>
            <w:r w:rsidR="00CB19C2">
              <w:rPr>
                <w:rFonts w:ascii="Arial" w:eastAsia="Calibri" w:hAnsi="Arial" w:cs="Arial"/>
                <w:b/>
                <w:sz w:val="22"/>
                <w:szCs w:val="22"/>
              </w:rPr>
              <w:t>02</w:t>
            </w:r>
            <w:r w:rsidR="00925985" w:rsidRPr="00A449FD">
              <w:rPr>
                <w:rFonts w:ascii="Arial" w:eastAsia="Calibri" w:hAnsi="Arial" w:cs="Arial"/>
                <w:b/>
                <w:sz w:val="22"/>
                <w:szCs w:val="22"/>
              </w:rPr>
              <w:t xml:space="preserve"> de </w:t>
            </w:r>
            <w:r w:rsidR="00CB19C2">
              <w:rPr>
                <w:rFonts w:ascii="Arial" w:eastAsia="Calibri" w:hAnsi="Arial" w:cs="Arial"/>
                <w:b/>
                <w:sz w:val="22"/>
                <w:szCs w:val="22"/>
              </w:rPr>
              <w:t>mayo</w:t>
            </w:r>
            <w:r w:rsidR="00925985" w:rsidRPr="00A449FD">
              <w:rPr>
                <w:rFonts w:ascii="Arial" w:eastAsia="Calibri" w:hAnsi="Arial" w:cs="Arial"/>
                <w:b/>
                <w:sz w:val="22"/>
                <w:szCs w:val="22"/>
              </w:rPr>
              <w:t xml:space="preserve"> </w:t>
            </w:r>
            <w:r w:rsidR="00A772EF" w:rsidRPr="00A449FD">
              <w:rPr>
                <w:rFonts w:ascii="Arial" w:eastAsia="Calibri" w:hAnsi="Arial" w:cs="Arial"/>
                <w:b/>
                <w:sz w:val="22"/>
                <w:szCs w:val="22"/>
              </w:rPr>
              <w:t>de 201</w:t>
            </w:r>
            <w:r w:rsidR="003B6DC0" w:rsidRPr="00A449FD">
              <w:rPr>
                <w:rFonts w:ascii="Arial" w:eastAsia="Calibri" w:hAnsi="Arial" w:cs="Arial"/>
                <w:b/>
                <w:sz w:val="22"/>
                <w:szCs w:val="22"/>
              </w:rPr>
              <w:t>8</w:t>
            </w:r>
            <w:r w:rsidR="00925985" w:rsidRPr="00A449FD">
              <w:rPr>
                <w:rFonts w:ascii="Arial" w:eastAsia="Calibri" w:hAnsi="Arial" w:cs="Arial"/>
                <w:b/>
                <w:sz w:val="22"/>
                <w:szCs w:val="22"/>
              </w:rPr>
              <w:t xml:space="preserve">.  </w:t>
            </w:r>
            <w:r w:rsidR="00CB19C2">
              <w:rPr>
                <w:rFonts w:ascii="Arial" w:eastAsia="Calibri" w:hAnsi="Arial" w:cs="Arial"/>
                <w:b/>
                <w:sz w:val="22"/>
                <w:szCs w:val="22"/>
              </w:rPr>
              <w:t>Interpretación auténtica del Artículo 11 del “Reglamento para concursos de antecedentes internos y externos del personal del Instituto Tecnológico de Costa Rica”, sobre el “Registro de Elegibles”</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221C8" w:rsidRDefault="007221C8" w:rsidP="007742A1">
      <w:pPr>
        <w:jc w:val="both"/>
        <w:rPr>
          <w:rFonts w:ascii="Arial" w:eastAsia="Cambria" w:hAnsi="Arial" w:cs="Arial"/>
          <w:lang w:val="es-ES_tradnl" w:eastAsia="en-US"/>
        </w:rPr>
      </w:pPr>
    </w:p>
    <w:p w:rsidR="00CE458D" w:rsidRPr="00CE458D" w:rsidRDefault="00CE458D" w:rsidP="00CE458D">
      <w:pPr>
        <w:rPr>
          <w:rFonts w:ascii="Arial" w:eastAsia="Cambria" w:hAnsi="Arial" w:cs="Arial"/>
          <w:b/>
          <w:lang w:val="es-ES_tradnl" w:eastAsia="en-US"/>
        </w:rPr>
      </w:pPr>
      <w:r w:rsidRPr="00CE458D">
        <w:rPr>
          <w:rFonts w:ascii="Arial" w:eastAsia="Cambria" w:hAnsi="Arial" w:cs="Arial"/>
          <w:b/>
          <w:lang w:val="es-ES_tradnl" w:eastAsia="en-US"/>
        </w:rPr>
        <w:t>RESULTANDO QUE:</w:t>
      </w:r>
    </w:p>
    <w:p w:rsidR="00CE458D" w:rsidRPr="00CE458D" w:rsidRDefault="00CE458D" w:rsidP="00CE458D">
      <w:pPr>
        <w:rPr>
          <w:rFonts w:ascii="Arial" w:eastAsia="Cambria" w:hAnsi="Arial" w:cs="Arial"/>
          <w:lang w:val="es-ES_tradnl" w:eastAsia="en-US"/>
        </w:rPr>
      </w:pPr>
    </w:p>
    <w:p w:rsidR="00CE458D" w:rsidRPr="00CE458D" w:rsidRDefault="00CE458D" w:rsidP="00FE4B41">
      <w:pPr>
        <w:numPr>
          <w:ilvl w:val="0"/>
          <w:numId w:val="2"/>
        </w:numPr>
        <w:ind w:left="308"/>
        <w:contextualSpacing/>
        <w:jc w:val="both"/>
        <w:rPr>
          <w:rFonts w:ascii="Arial" w:hAnsi="Arial" w:cs="Arial"/>
          <w:bCs/>
          <w:lang w:val="es-CR" w:eastAsia="es-CR"/>
        </w:rPr>
      </w:pPr>
      <w:r w:rsidRPr="00CE458D">
        <w:rPr>
          <w:rFonts w:ascii="Arial" w:eastAsia="Calibri" w:hAnsi="Arial" w:cs="Arial"/>
          <w:lang w:val="es-CR"/>
        </w:rPr>
        <w:t xml:space="preserve">La Dra. Martha Calderón Ferrey, Directora de la Escuela de Ciencias Sociales ha indicado, mediante el oficio ECS-108-2018 del 06 de abril de 2018, que el texto del artículo 11 del </w:t>
      </w:r>
      <w:r w:rsidRPr="00CE458D">
        <w:rPr>
          <w:rFonts w:ascii="Arial" w:eastAsia="Calibri" w:hAnsi="Arial" w:cs="Arial"/>
          <w:bCs/>
          <w:lang w:val="es-CR"/>
        </w:rPr>
        <w:t>“</w:t>
      </w:r>
      <w:r w:rsidRPr="00CE458D">
        <w:rPr>
          <w:rFonts w:ascii="Arial" w:hAnsi="Arial" w:cs="Arial"/>
          <w:bCs/>
          <w:lang w:val="es-CR" w:eastAsia="es-CR"/>
        </w:rPr>
        <w:t>Reglamento para Concursos de Antecedentes Internos y Externos del personal del Instituto Tecnológico de Costa Rica” “no hace referencia al vencimiento del registro de elegibles, sino a su actualización”, razón por la que ha solicitado una interpretación auténtica del artículo 11 de ese Reglamento, “para que se aclare si la expresión “actualizar” implica el vencimiento del registro de elegibles o está referido a la actualización de atestados por parte de quienes formen parte de tal registro y en tal caso a quién corresponde la gestión de la actualización”.</w:t>
      </w:r>
    </w:p>
    <w:p w:rsidR="00CE458D" w:rsidRPr="00CE458D" w:rsidRDefault="00CE458D" w:rsidP="00CE458D">
      <w:pPr>
        <w:ind w:left="308"/>
        <w:jc w:val="both"/>
        <w:rPr>
          <w:rFonts w:ascii="Arial" w:eastAsia="Cambria" w:hAnsi="Arial" w:cs="Arial"/>
          <w:lang w:val="es-ES_tradnl" w:eastAsia="en-US"/>
        </w:rPr>
      </w:pPr>
    </w:p>
    <w:p w:rsidR="00CE458D" w:rsidRPr="00CE458D" w:rsidRDefault="00CE458D" w:rsidP="00FE4B41">
      <w:pPr>
        <w:numPr>
          <w:ilvl w:val="0"/>
          <w:numId w:val="2"/>
        </w:numPr>
        <w:ind w:left="308"/>
        <w:contextualSpacing/>
        <w:jc w:val="both"/>
        <w:rPr>
          <w:rFonts w:ascii="Arial" w:eastAsia="Calibri" w:hAnsi="Arial" w:cs="Arial"/>
          <w:lang w:val="es-CR"/>
        </w:rPr>
      </w:pPr>
      <w:r w:rsidRPr="00CE458D">
        <w:rPr>
          <w:rFonts w:ascii="Arial" w:eastAsia="Calibri" w:hAnsi="Arial" w:cs="Arial"/>
          <w:lang w:val="es-CR"/>
        </w:rPr>
        <w:t xml:space="preserve">El </w:t>
      </w:r>
      <w:r>
        <w:rPr>
          <w:rFonts w:ascii="Arial" w:eastAsia="Calibri" w:hAnsi="Arial" w:cs="Arial"/>
          <w:lang w:val="es-CR"/>
        </w:rPr>
        <w:t>A</w:t>
      </w:r>
      <w:r w:rsidRPr="00CE458D">
        <w:rPr>
          <w:rFonts w:ascii="Arial" w:eastAsia="Calibri" w:hAnsi="Arial" w:cs="Arial"/>
          <w:lang w:val="es-CR"/>
        </w:rPr>
        <w:t xml:space="preserve">rtículo 11 del “Reglamento para </w:t>
      </w:r>
      <w:r w:rsidR="00253D00">
        <w:rPr>
          <w:rFonts w:ascii="Arial" w:eastAsia="Calibri" w:hAnsi="Arial" w:cs="Arial"/>
          <w:lang w:val="es-CR"/>
        </w:rPr>
        <w:t>C</w:t>
      </w:r>
      <w:r w:rsidRPr="00CE458D">
        <w:rPr>
          <w:rFonts w:ascii="Arial" w:eastAsia="Calibri" w:hAnsi="Arial" w:cs="Arial"/>
          <w:lang w:val="es-CR"/>
        </w:rPr>
        <w:t xml:space="preserve">oncursos de </w:t>
      </w:r>
      <w:r w:rsidR="00253D00">
        <w:rPr>
          <w:rFonts w:ascii="Arial" w:eastAsia="Calibri" w:hAnsi="Arial" w:cs="Arial"/>
          <w:lang w:val="es-CR"/>
        </w:rPr>
        <w:t>A</w:t>
      </w:r>
      <w:r w:rsidRPr="00CE458D">
        <w:rPr>
          <w:rFonts w:ascii="Arial" w:eastAsia="Calibri" w:hAnsi="Arial" w:cs="Arial"/>
          <w:lang w:val="es-CR"/>
        </w:rPr>
        <w:t xml:space="preserve">ntecedentes </w:t>
      </w:r>
      <w:r w:rsidR="00253D00">
        <w:rPr>
          <w:rFonts w:ascii="Arial" w:eastAsia="Calibri" w:hAnsi="Arial" w:cs="Arial"/>
          <w:lang w:val="es-CR"/>
        </w:rPr>
        <w:t>I</w:t>
      </w:r>
      <w:r w:rsidRPr="00CE458D">
        <w:rPr>
          <w:rFonts w:ascii="Arial" w:eastAsia="Calibri" w:hAnsi="Arial" w:cs="Arial"/>
          <w:lang w:val="es-CR"/>
        </w:rPr>
        <w:t xml:space="preserve">nternos y </w:t>
      </w:r>
      <w:r w:rsidR="00253D00">
        <w:rPr>
          <w:rFonts w:ascii="Arial" w:eastAsia="Calibri" w:hAnsi="Arial" w:cs="Arial"/>
          <w:lang w:val="es-CR"/>
        </w:rPr>
        <w:t>E</w:t>
      </w:r>
      <w:r w:rsidRPr="00CE458D">
        <w:rPr>
          <w:rFonts w:ascii="Arial" w:eastAsia="Calibri" w:hAnsi="Arial" w:cs="Arial"/>
          <w:lang w:val="es-CR"/>
        </w:rPr>
        <w:t xml:space="preserve">xternos del </w:t>
      </w:r>
      <w:r w:rsidR="00253D00">
        <w:rPr>
          <w:rFonts w:ascii="Arial" w:eastAsia="Calibri" w:hAnsi="Arial" w:cs="Arial"/>
          <w:lang w:val="es-CR"/>
        </w:rPr>
        <w:t>P</w:t>
      </w:r>
      <w:r w:rsidRPr="00CE458D">
        <w:rPr>
          <w:rFonts w:ascii="Arial" w:eastAsia="Calibri" w:hAnsi="Arial" w:cs="Arial"/>
          <w:lang w:val="es-CR"/>
        </w:rPr>
        <w:t>ersonal del Instituto Tecnológico de Costa Rica”</w:t>
      </w:r>
      <w:r>
        <w:rPr>
          <w:rFonts w:ascii="Arial" w:eastAsia="Calibri" w:hAnsi="Arial" w:cs="Arial"/>
          <w:lang w:val="es-CR"/>
        </w:rPr>
        <w:t>,</w:t>
      </w:r>
      <w:r w:rsidRPr="00CE458D">
        <w:rPr>
          <w:rFonts w:ascii="Arial" w:eastAsia="Calibri" w:hAnsi="Arial" w:cs="Arial"/>
          <w:lang w:val="es-CR"/>
        </w:rPr>
        <w:t xml:space="preserve"> establece lo siguiente:</w:t>
      </w:r>
    </w:p>
    <w:p w:rsidR="00CE458D" w:rsidRPr="00CE458D" w:rsidRDefault="00CE458D" w:rsidP="00CE458D">
      <w:pPr>
        <w:jc w:val="both"/>
        <w:rPr>
          <w:rFonts w:ascii="Arial" w:eastAsia="Cambria" w:hAnsi="Arial" w:cs="Arial"/>
          <w:lang w:val="es-ES_tradnl" w:eastAsia="en-US"/>
        </w:rPr>
      </w:pPr>
    </w:p>
    <w:p w:rsidR="00CE458D" w:rsidRPr="00CE458D" w:rsidRDefault="00CE458D" w:rsidP="00CE458D">
      <w:pPr>
        <w:ind w:left="993" w:right="474"/>
        <w:jc w:val="both"/>
        <w:rPr>
          <w:rFonts w:ascii="Arial" w:hAnsi="Arial" w:cs="Arial"/>
          <w:i/>
          <w:sz w:val="22"/>
          <w:szCs w:val="22"/>
          <w:lang w:val="es-ES_tradnl" w:eastAsia="es-CR"/>
        </w:rPr>
      </w:pPr>
      <w:r w:rsidRPr="00CE458D">
        <w:rPr>
          <w:rFonts w:ascii="Arial" w:hAnsi="Arial" w:cs="Arial"/>
          <w:i/>
          <w:sz w:val="22"/>
          <w:szCs w:val="22"/>
          <w:lang w:val="es-ES_tradnl" w:eastAsia="es-CR"/>
        </w:rPr>
        <w:t>“Artículo 11 Registros de Oferentes y de Elegibles</w:t>
      </w:r>
    </w:p>
    <w:p w:rsidR="00CE458D" w:rsidRPr="00CE458D" w:rsidRDefault="00CE458D" w:rsidP="00CE458D">
      <w:pPr>
        <w:ind w:left="993" w:right="474"/>
        <w:jc w:val="both"/>
        <w:rPr>
          <w:rFonts w:ascii="Arial" w:hAnsi="Arial" w:cs="Arial"/>
          <w:i/>
          <w:sz w:val="22"/>
          <w:szCs w:val="22"/>
          <w:lang w:val="es-ES_tradnl" w:eastAsia="es-CR"/>
        </w:rPr>
      </w:pPr>
      <w:r w:rsidRPr="00CE458D">
        <w:rPr>
          <w:rFonts w:ascii="Arial" w:hAnsi="Arial" w:cs="Arial"/>
          <w:i/>
          <w:sz w:val="22"/>
          <w:szCs w:val="22"/>
          <w:lang w:val="es-ES_tradnl" w:eastAsia="es-CR"/>
        </w:rPr>
        <w:t xml:space="preserve">El Departamento de Recursos Humanos llevará registros de oferentes, así como de aquellos candidatos (as) con la condición de elegibles. </w:t>
      </w:r>
    </w:p>
    <w:p w:rsidR="00CE458D" w:rsidRPr="00CE458D" w:rsidRDefault="00CE458D" w:rsidP="00CE458D">
      <w:pPr>
        <w:ind w:left="993" w:right="474"/>
        <w:jc w:val="both"/>
        <w:rPr>
          <w:rFonts w:ascii="Arial" w:hAnsi="Arial" w:cs="Arial"/>
          <w:i/>
          <w:sz w:val="22"/>
          <w:szCs w:val="22"/>
          <w:lang w:val="es-ES_tradnl" w:eastAsia="es-CR"/>
        </w:rPr>
      </w:pPr>
      <w:r w:rsidRPr="00CE458D">
        <w:rPr>
          <w:rFonts w:ascii="Arial" w:hAnsi="Arial" w:cs="Arial"/>
          <w:i/>
          <w:sz w:val="22"/>
          <w:szCs w:val="22"/>
          <w:lang w:val="es-ES_tradnl" w:eastAsia="es-CR"/>
        </w:rPr>
        <w:t>En los casos de no existir registro de elegibles, se procederá a convocar el mismo.</w:t>
      </w:r>
    </w:p>
    <w:p w:rsidR="00CE458D" w:rsidRPr="00CE458D" w:rsidRDefault="00CE458D" w:rsidP="00CE458D">
      <w:pPr>
        <w:ind w:left="993" w:right="474"/>
        <w:jc w:val="both"/>
        <w:rPr>
          <w:rFonts w:ascii="Arial" w:hAnsi="Arial" w:cs="Arial"/>
          <w:i/>
          <w:sz w:val="22"/>
          <w:szCs w:val="22"/>
          <w:lang w:val="es-ES_tradnl" w:eastAsia="es-CR"/>
        </w:rPr>
      </w:pPr>
      <w:r w:rsidRPr="00CE458D">
        <w:rPr>
          <w:rFonts w:ascii="Arial" w:hAnsi="Arial" w:cs="Arial"/>
          <w:i/>
          <w:sz w:val="22"/>
          <w:szCs w:val="22"/>
          <w:lang w:val="es-ES_tradnl" w:eastAsia="es-CR"/>
        </w:rPr>
        <w:t>El registro de elegibles debe ser actualizado cada dos años.”</w:t>
      </w:r>
    </w:p>
    <w:p w:rsidR="00CE458D" w:rsidRPr="00CE458D" w:rsidRDefault="00CE458D" w:rsidP="00CE458D">
      <w:pPr>
        <w:jc w:val="both"/>
        <w:rPr>
          <w:rFonts w:ascii="Arial" w:eastAsia="Cambria" w:hAnsi="Arial" w:cs="Arial"/>
          <w:lang w:val="es-ES_tradnl" w:eastAsia="en-US"/>
        </w:rPr>
      </w:pPr>
    </w:p>
    <w:p w:rsidR="00CE458D" w:rsidRPr="00CE458D" w:rsidRDefault="00CE458D" w:rsidP="00FE4B41">
      <w:pPr>
        <w:numPr>
          <w:ilvl w:val="0"/>
          <w:numId w:val="2"/>
        </w:numPr>
        <w:contextualSpacing/>
        <w:jc w:val="both"/>
        <w:rPr>
          <w:rFonts w:ascii="Arial" w:eastAsia="Calibri" w:hAnsi="Arial" w:cs="Arial"/>
          <w:lang w:val="es-CR"/>
        </w:rPr>
      </w:pPr>
      <w:r w:rsidRPr="00CE458D">
        <w:rPr>
          <w:rFonts w:ascii="Arial" w:eastAsia="Calibri" w:hAnsi="Arial" w:cs="Arial"/>
          <w:lang w:val="es-CR"/>
        </w:rPr>
        <w:t xml:space="preserve">El </w:t>
      </w:r>
      <w:r>
        <w:rPr>
          <w:rFonts w:ascii="Arial" w:eastAsia="Calibri" w:hAnsi="Arial" w:cs="Arial"/>
          <w:lang w:val="es-CR"/>
        </w:rPr>
        <w:t>A</w:t>
      </w:r>
      <w:r w:rsidRPr="00CE458D">
        <w:rPr>
          <w:rFonts w:ascii="Arial" w:eastAsia="Calibri" w:hAnsi="Arial" w:cs="Arial"/>
          <w:lang w:val="es-CR"/>
        </w:rPr>
        <w:t xml:space="preserve">rtículo 12 del “Reglamento para </w:t>
      </w:r>
      <w:r w:rsidR="00253D00">
        <w:rPr>
          <w:rFonts w:ascii="Arial" w:eastAsia="Calibri" w:hAnsi="Arial" w:cs="Arial"/>
          <w:lang w:val="es-CR"/>
        </w:rPr>
        <w:t>C</w:t>
      </w:r>
      <w:r w:rsidRPr="00CE458D">
        <w:rPr>
          <w:rFonts w:ascii="Arial" w:eastAsia="Calibri" w:hAnsi="Arial" w:cs="Arial"/>
          <w:lang w:val="es-CR"/>
        </w:rPr>
        <w:t xml:space="preserve">oncursos de </w:t>
      </w:r>
      <w:r w:rsidR="00253D00">
        <w:rPr>
          <w:rFonts w:ascii="Arial" w:eastAsia="Calibri" w:hAnsi="Arial" w:cs="Arial"/>
          <w:lang w:val="es-CR"/>
        </w:rPr>
        <w:t>A</w:t>
      </w:r>
      <w:r w:rsidRPr="00CE458D">
        <w:rPr>
          <w:rFonts w:ascii="Arial" w:eastAsia="Calibri" w:hAnsi="Arial" w:cs="Arial"/>
          <w:lang w:val="es-CR"/>
        </w:rPr>
        <w:t xml:space="preserve">ntecedentes </w:t>
      </w:r>
      <w:r w:rsidR="00253D00">
        <w:rPr>
          <w:rFonts w:ascii="Arial" w:eastAsia="Calibri" w:hAnsi="Arial" w:cs="Arial"/>
          <w:lang w:val="es-CR"/>
        </w:rPr>
        <w:t>I</w:t>
      </w:r>
      <w:r w:rsidRPr="00CE458D">
        <w:rPr>
          <w:rFonts w:ascii="Arial" w:eastAsia="Calibri" w:hAnsi="Arial" w:cs="Arial"/>
          <w:lang w:val="es-CR"/>
        </w:rPr>
        <w:t xml:space="preserve">nternos y </w:t>
      </w:r>
      <w:r w:rsidR="00253D00">
        <w:rPr>
          <w:rFonts w:ascii="Arial" w:eastAsia="Calibri" w:hAnsi="Arial" w:cs="Arial"/>
          <w:lang w:val="es-CR"/>
        </w:rPr>
        <w:t>E</w:t>
      </w:r>
      <w:r w:rsidRPr="00CE458D">
        <w:rPr>
          <w:rFonts w:ascii="Arial" w:eastAsia="Calibri" w:hAnsi="Arial" w:cs="Arial"/>
          <w:lang w:val="es-CR"/>
        </w:rPr>
        <w:t xml:space="preserve">xternos del </w:t>
      </w:r>
      <w:r w:rsidR="00253D00">
        <w:rPr>
          <w:rFonts w:ascii="Arial" w:eastAsia="Calibri" w:hAnsi="Arial" w:cs="Arial"/>
          <w:lang w:val="es-CR"/>
        </w:rPr>
        <w:t>P</w:t>
      </w:r>
      <w:r w:rsidRPr="00CE458D">
        <w:rPr>
          <w:rFonts w:ascii="Arial" w:eastAsia="Calibri" w:hAnsi="Arial" w:cs="Arial"/>
          <w:lang w:val="es-CR"/>
        </w:rPr>
        <w:t>ersonal del Instituto Tecnológico de Costa Rica”</w:t>
      </w:r>
      <w:r>
        <w:rPr>
          <w:rFonts w:ascii="Arial" w:eastAsia="Calibri" w:hAnsi="Arial" w:cs="Arial"/>
          <w:lang w:val="es-CR"/>
        </w:rPr>
        <w:t>,</w:t>
      </w:r>
      <w:r w:rsidRPr="00CE458D">
        <w:rPr>
          <w:rFonts w:ascii="Arial" w:eastAsia="Calibri" w:hAnsi="Arial" w:cs="Arial"/>
          <w:lang w:val="es-CR"/>
        </w:rPr>
        <w:t xml:space="preserve"> establece lo siguiente:</w:t>
      </w:r>
    </w:p>
    <w:p w:rsidR="00CE458D" w:rsidRPr="00CE458D" w:rsidRDefault="00CE458D" w:rsidP="00CE458D">
      <w:pPr>
        <w:jc w:val="both"/>
        <w:rPr>
          <w:rFonts w:ascii="Arial" w:eastAsia="Cambria" w:hAnsi="Arial" w:cs="Arial"/>
          <w:lang w:val="es-ES_tradnl" w:eastAsia="en-US"/>
        </w:rPr>
      </w:pPr>
    </w:p>
    <w:p w:rsidR="00CE458D" w:rsidRPr="00CE458D" w:rsidRDefault="00CE458D" w:rsidP="00CE458D">
      <w:pPr>
        <w:ind w:left="993" w:right="474"/>
        <w:jc w:val="both"/>
        <w:rPr>
          <w:rFonts w:ascii="Arial" w:hAnsi="Arial" w:cs="Arial"/>
          <w:i/>
          <w:sz w:val="22"/>
          <w:szCs w:val="22"/>
          <w:lang w:val="es-ES_tradnl" w:eastAsia="es-CR"/>
        </w:rPr>
      </w:pPr>
      <w:r w:rsidRPr="00CE458D">
        <w:rPr>
          <w:rFonts w:ascii="Arial" w:hAnsi="Arial" w:cs="Arial"/>
          <w:i/>
          <w:sz w:val="22"/>
          <w:szCs w:val="22"/>
          <w:lang w:val="es-ES_tradnl" w:eastAsia="es-CR"/>
        </w:rPr>
        <w:t>“Artículo 12 Convocatoria para integrar el Registro de Elegibles</w:t>
      </w:r>
    </w:p>
    <w:p w:rsidR="00CE458D" w:rsidRPr="00CE458D" w:rsidRDefault="00CE458D" w:rsidP="00CE458D">
      <w:pPr>
        <w:ind w:left="993" w:right="474"/>
        <w:jc w:val="both"/>
        <w:rPr>
          <w:rFonts w:ascii="Arial" w:hAnsi="Arial" w:cs="Arial"/>
          <w:i/>
          <w:sz w:val="22"/>
          <w:szCs w:val="22"/>
          <w:lang w:val="es-ES_tradnl" w:eastAsia="es-CR"/>
        </w:rPr>
      </w:pPr>
      <w:r w:rsidRPr="00CE458D">
        <w:rPr>
          <w:rFonts w:ascii="Arial" w:hAnsi="Arial" w:cs="Arial"/>
          <w:i/>
          <w:sz w:val="22"/>
          <w:szCs w:val="22"/>
          <w:lang w:val="es-ES_tradnl" w:eastAsia="es-CR"/>
        </w:rPr>
        <w:t>El Departamento de Recursos Humanos convocará a Registro de Elegibles en las siguientes situaciones:</w:t>
      </w:r>
    </w:p>
    <w:p w:rsidR="00CE458D" w:rsidRPr="00CE458D" w:rsidRDefault="00CE458D" w:rsidP="00CE458D">
      <w:pPr>
        <w:ind w:left="993" w:right="474"/>
        <w:jc w:val="both"/>
        <w:rPr>
          <w:rFonts w:ascii="Arial" w:hAnsi="Arial" w:cs="Arial"/>
          <w:i/>
          <w:sz w:val="22"/>
          <w:szCs w:val="22"/>
          <w:lang w:val="es-ES_tradnl" w:eastAsia="es-CR"/>
        </w:rPr>
      </w:pPr>
    </w:p>
    <w:p w:rsidR="00CE458D" w:rsidRPr="00CE458D" w:rsidRDefault="00CE458D" w:rsidP="00CE458D">
      <w:pPr>
        <w:ind w:left="1276" w:right="474" w:hanging="283"/>
        <w:jc w:val="both"/>
        <w:rPr>
          <w:rFonts w:ascii="Arial" w:hAnsi="Arial" w:cs="Arial"/>
          <w:i/>
          <w:sz w:val="22"/>
          <w:szCs w:val="22"/>
          <w:lang w:val="es-ES_tradnl" w:eastAsia="es-CR"/>
        </w:rPr>
      </w:pPr>
      <w:r w:rsidRPr="00CE458D">
        <w:rPr>
          <w:rFonts w:ascii="Arial" w:hAnsi="Arial" w:cs="Arial"/>
          <w:i/>
          <w:sz w:val="22"/>
          <w:szCs w:val="22"/>
          <w:lang w:val="es-ES_tradnl" w:eastAsia="es-CR"/>
        </w:rPr>
        <w:t xml:space="preserve">a. Para puestos administrativos de alta movilidad y básicamente para cubrir nombramientos por períodos iguales o menores de dos meses, cuando lo considere necesario. </w:t>
      </w:r>
    </w:p>
    <w:p w:rsidR="00CE458D" w:rsidRPr="00CE458D" w:rsidRDefault="00CE458D" w:rsidP="00CE458D">
      <w:pPr>
        <w:ind w:left="1276" w:right="474" w:hanging="283"/>
        <w:jc w:val="both"/>
        <w:rPr>
          <w:rFonts w:ascii="Arial" w:hAnsi="Arial" w:cs="Arial"/>
          <w:lang w:val="es-ES_tradnl" w:eastAsia="es-CR"/>
        </w:rPr>
      </w:pPr>
      <w:r w:rsidRPr="00CE458D">
        <w:rPr>
          <w:rFonts w:ascii="Arial" w:hAnsi="Arial" w:cs="Arial"/>
          <w:i/>
          <w:sz w:val="22"/>
          <w:szCs w:val="22"/>
          <w:lang w:val="es-ES_tradnl" w:eastAsia="es-CR"/>
        </w:rPr>
        <w:t>b. Ante la expectativa de vacantes académicas y administrativas de difícil contratación; a petición del Consejo de Departamento o Escuela solicitante, o del director según corresponda. En este caso la publicación tiene carácter de Concurso de Antecedentes Externo.”</w:t>
      </w:r>
    </w:p>
    <w:p w:rsidR="00CE458D" w:rsidRPr="00CE458D" w:rsidRDefault="00CE458D" w:rsidP="00CE458D">
      <w:pPr>
        <w:jc w:val="both"/>
        <w:rPr>
          <w:rFonts w:ascii="Arial" w:eastAsia="Cambria" w:hAnsi="Arial" w:cs="Arial"/>
          <w:lang w:val="es-ES_tradnl" w:eastAsia="en-US"/>
        </w:rPr>
      </w:pPr>
    </w:p>
    <w:p w:rsidR="00CE458D" w:rsidRPr="00CE458D" w:rsidRDefault="00CE458D" w:rsidP="00CE458D">
      <w:pPr>
        <w:jc w:val="both"/>
        <w:rPr>
          <w:rFonts w:ascii="Arial" w:eastAsia="Cambria" w:hAnsi="Arial" w:cs="Arial"/>
          <w:b/>
          <w:lang w:val="es-ES_tradnl" w:eastAsia="en-US"/>
        </w:rPr>
      </w:pPr>
      <w:r w:rsidRPr="00CE458D">
        <w:rPr>
          <w:rFonts w:ascii="Arial" w:eastAsia="Cambria" w:hAnsi="Arial" w:cs="Arial"/>
          <w:b/>
          <w:lang w:val="es-ES_tradnl" w:eastAsia="en-US"/>
        </w:rPr>
        <w:t>CONSIDERANDO QUE:</w:t>
      </w:r>
    </w:p>
    <w:p w:rsidR="00CE458D" w:rsidRPr="00CE458D" w:rsidRDefault="00CE458D" w:rsidP="00CE458D">
      <w:pPr>
        <w:jc w:val="both"/>
        <w:rPr>
          <w:rFonts w:ascii="Arial" w:eastAsia="Cambria" w:hAnsi="Arial" w:cs="Arial"/>
          <w:lang w:val="es-ES_tradnl" w:eastAsia="en-US"/>
        </w:rPr>
      </w:pPr>
    </w:p>
    <w:p w:rsidR="00CE458D" w:rsidRPr="00CE458D" w:rsidRDefault="00CE458D" w:rsidP="00FE4B41">
      <w:pPr>
        <w:numPr>
          <w:ilvl w:val="0"/>
          <w:numId w:val="3"/>
        </w:numPr>
        <w:ind w:left="426"/>
        <w:contextualSpacing/>
        <w:jc w:val="both"/>
        <w:rPr>
          <w:rFonts w:ascii="Arial" w:eastAsia="Calibri" w:hAnsi="Arial" w:cs="Arial"/>
          <w:lang w:val="es-CR"/>
        </w:rPr>
      </w:pPr>
      <w:r w:rsidRPr="00CE458D">
        <w:rPr>
          <w:rFonts w:ascii="Arial" w:eastAsia="Calibri" w:hAnsi="Arial" w:cs="Arial"/>
          <w:lang w:val="es-CR"/>
        </w:rPr>
        <w:t>La convocatoria e integración de los “Registros de Elegibles” consume recursos institucionales, razón por la que debe procurarse la mayor eficacia y eficiencia posible en esta materia.</w:t>
      </w:r>
    </w:p>
    <w:p w:rsidR="00CE458D" w:rsidRPr="00CE458D" w:rsidRDefault="00CE458D" w:rsidP="00CE458D">
      <w:pPr>
        <w:ind w:left="426"/>
        <w:jc w:val="both"/>
        <w:rPr>
          <w:rFonts w:ascii="Arial" w:eastAsia="Cambria" w:hAnsi="Arial" w:cs="Arial"/>
          <w:lang w:val="es-ES_tradnl" w:eastAsia="en-US"/>
        </w:rPr>
      </w:pPr>
    </w:p>
    <w:p w:rsidR="00CE458D" w:rsidRPr="00CE458D" w:rsidRDefault="00CE458D" w:rsidP="00FE4B41">
      <w:pPr>
        <w:numPr>
          <w:ilvl w:val="0"/>
          <w:numId w:val="3"/>
        </w:numPr>
        <w:ind w:left="426"/>
        <w:contextualSpacing/>
        <w:jc w:val="both"/>
        <w:rPr>
          <w:rFonts w:ascii="Arial" w:eastAsia="Calibri" w:hAnsi="Arial" w:cs="Arial"/>
          <w:lang w:val="es-CR"/>
        </w:rPr>
      </w:pPr>
      <w:r w:rsidRPr="00CE458D">
        <w:rPr>
          <w:rFonts w:ascii="Arial" w:eastAsia="Calibri" w:hAnsi="Arial" w:cs="Arial"/>
          <w:lang w:val="es-CR"/>
        </w:rPr>
        <w:t xml:space="preserve">La palabra “actualizar” significa, de acuerdo con el “Diccionario de la Lengua Española”, lo siguiente: </w:t>
      </w:r>
    </w:p>
    <w:p w:rsidR="00CE458D" w:rsidRPr="00CE458D" w:rsidRDefault="00CE458D" w:rsidP="00CE458D">
      <w:pPr>
        <w:ind w:left="708"/>
        <w:rPr>
          <w:rFonts w:ascii="Arial" w:eastAsia="Calibri" w:hAnsi="Arial" w:cs="Arial"/>
          <w:lang w:val="es-CR"/>
        </w:rPr>
      </w:pPr>
    </w:p>
    <w:p w:rsidR="00CE458D" w:rsidRPr="00CE458D" w:rsidRDefault="00CE458D" w:rsidP="00FE4B41">
      <w:pPr>
        <w:numPr>
          <w:ilvl w:val="0"/>
          <w:numId w:val="4"/>
        </w:numPr>
        <w:ind w:left="1276" w:hanging="283"/>
        <w:rPr>
          <w:rFonts w:ascii="Arial" w:hAnsi="Arial" w:cs="Arial"/>
          <w:sz w:val="22"/>
          <w:szCs w:val="22"/>
          <w:lang w:val="es-CR" w:eastAsia="es-CR"/>
        </w:rPr>
      </w:pPr>
      <w:r w:rsidRPr="00CE458D">
        <w:rPr>
          <w:rFonts w:ascii="Arial" w:hAnsi="Arial" w:cs="Arial"/>
          <w:sz w:val="22"/>
          <w:szCs w:val="22"/>
          <w:lang w:val="es-CR" w:eastAsia="es-CR"/>
        </w:rPr>
        <w:t xml:space="preserve">Hacer actual algo, darle actualidad. </w:t>
      </w:r>
    </w:p>
    <w:p w:rsidR="00CE458D" w:rsidRPr="00CE458D" w:rsidRDefault="00CE458D" w:rsidP="00CE458D">
      <w:pPr>
        <w:ind w:left="993"/>
        <w:rPr>
          <w:rFonts w:ascii="Arial" w:hAnsi="Arial" w:cs="Arial"/>
          <w:sz w:val="22"/>
          <w:szCs w:val="22"/>
          <w:lang w:val="es-CR" w:eastAsia="es-CR"/>
        </w:rPr>
      </w:pPr>
      <w:r w:rsidRPr="00CE458D">
        <w:rPr>
          <w:rFonts w:ascii="Arial" w:hAnsi="Arial" w:cs="Arial"/>
          <w:sz w:val="22"/>
          <w:szCs w:val="22"/>
          <w:lang w:val="es-CR" w:eastAsia="es-CR"/>
        </w:rPr>
        <w:t>2. Poner al día datos, normas, precios, rentas, salarios, etc.</w:t>
      </w:r>
    </w:p>
    <w:p w:rsidR="00CE458D" w:rsidRPr="00CE458D" w:rsidRDefault="00CE458D" w:rsidP="00CE458D">
      <w:pPr>
        <w:ind w:left="993"/>
        <w:rPr>
          <w:rFonts w:ascii="Arial" w:hAnsi="Arial" w:cs="Arial"/>
          <w:sz w:val="22"/>
          <w:szCs w:val="22"/>
          <w:lang w:val="es-CR" w:eastAsia="es-CR"/>
        </w:rPr>
      </w:pPr>
      <w:r w:rsidRPr="00CE458D">
        <w:rPr>
          <w:rFonts w:ascii="Arial" w:hAnsi="Arial" w:cs="Arial"/>
          <w:sz w:val="22"/>
          <w:szCs w:val="22"/>
          <w:lang w:val="es-CR" w:eastAsia="es-CR"/>
        </w:rPr>
        <w:t>3. Poner en acto, realizar.</w:t>
      </w:r>
    </w:p>
    <w:p w:rsidR="00CE458D" w:rsidRPr="00CE458D" w:rsidRDefault="00CE458D" w:rsidP="00CE458D">
      <w:pPr>
        <w:ind w:left="993"/>
        <w:rPr>
          <w:rFonts w:ascii="Arial" w:hAnsi="Arial" w:cs="Arial"/>
          <w:sz w:val="22"/>
          <w:szCs w:val="22"/>
          <w:lang w:val="es-CR" w:eastAsia="es-CR"/>
        </w:rPr>
      </w:pPr>
      <w:r w:rsidRPr="00CE458D">
        <w:rPr>
          <w:rFonts w:ascii="Arial" w:hAnsi="Arial" w:cs="Arial"/>
          <w:sz w:val="22"/>
          <w:szCs w:val="22"/>
          <w:lang w:val="es-CR" w:eastAsia="es-CR"/>
        </w:rPr>
        <w:t>4. Econ. Obtener el valor actual de un pago o ingreso futuro.</w:t>
      </w:r>
    </w:p>
    <w:p w:rsidR="00CE458D" w:rsidRPr="00CE458D" w:rsidRDefault="00CE458D" w:rsidP="00CE458D">
      <w:pPr>
        <w:ind w:left="1276" w:hanging="283"/>
        <w:rPr>
          <w:rFonts w:ascii="Arial" w:hAnsi="Arial" w:cs="Arial"/>
          <w:sz w:val="22"/>
          <w:szCs w:val="22"/>
          <w:lang w:val="es-CR" w:eastAsia="es-CR"/>
        </w:rPr>
      </w:pPr>
      <w:r w:rsidRPr="00CE458D">
        <w:rPr>
          <w:rFonts w:ascii="Arial" w:hAnsi="Arial" w:cs="Arial"/>
          <w:sz w:val="22"/>
          <w:szCs w:val="22"/>
          <w:lang w:val="es-CR" w:eastAsia="es-CR"/>
        </w:rPr>
        <w:t xml:space="preserve">5. </w:t>
      </w:r>
      <w:proofErr w:type="spellStart"/>
      <w:r w:rsidRPr="00CE458D">
        <w:rPr>
          <w:rFonts w:ascii="Arial" w:hAnsi="Arial" w:cs="Arial"/>
          <w:sz w:val="22"/>
          <w:szCs w:val="22"/>
          <w:lang w:val="es-CR" w:eastAsia="es-CR"/>
        </w:rPr>
        <w:t>Ling</w:t>
      </w:r>
      <w:proofErr w:type="spellEnd"/>
      <w:r w:rsidRPr="00CE458D">
        <w:rPr>
          <w:rFonts w:ascii="Arial" w:hAnsi="Arial" w:cs="Arial"/>
          <w:sz w:val="22"/>
          <w:szCs w:val="22"/>
          <w:lang w:val="es-CR" w:eastAsia="es-CR"/>
        </w:rPr>
        <w:t>. Hacer que los elementos lingüísticos abstractos o virtuales se conviertan en concretos e individuales.</w:t>
      </w:r>
    </w:p>
    <w:p w:rsidR="00CE458D" w:rsidRPr="00CE458D" w:rsidRDefault="00CE458D" w:rsidP="00CE458D">
      <w:pPr>
        <w:ind w:left="708"/>
        <w:rPr>
          <w:rFonts w:ascii="Arial" w:eastAsia="Calibri" w:hAnsi="Arial" w:cs="Arial"/>
          <w:lang w:val="es-CR"/>
        </w:rPr>
      </w:pPr>
    </w:p>
    <w:p w:rsidR="00CE458D" w:rsidRPr="00CE458D" w:rsidRDefault="00CE458D" w:rsidP="00FE4B41">
      <w:pPr>
        <w:numPr>
          <w:ilvl w:val="0"/>
          <w:numId w:val="3"/>
        </w:numPr>
        <w:ind w:left="426"/>
        <w:contextualSpacing/>
        <w:jc w:val="both"/>
        <w:rPr>
          <w:rFonts w:ascii="Arial" w:eastAsia="Calibri" w:hAnsi="Arial" w:cs="Arial"/>
          <w:lang w:val="es-CR"/>
        </w:rPr>
      </w:pPr>
      <w:r w:rsidRPr="00CE458D">
        <w:rPr>
          <w:rFonts w:ascii="Arial" w:eastAsia="Calibri" w:hAnsi="Arial" w:cs="Arial"/>
          <w:lang w:val="es-CR"/>
        </w:rPr>
        <w:t xml:space="preserve">El </w:t>
      </w:r>
      <w:r>
        <w:rPr>
          <w:rFonts w:ascii="Arial" w:eastAsia="Calibri" w:hAnsi="Arial" w:cs="Arial"/>
          <w:lang w:val="es-CR"/>
        </w:rPr>
        <w:t>A</w:t>
      </w:r>
      <w:r w:rsidRPr="00CE458D">
        <w:rPr>
          <w:rFonts w:ascii="Arial" w:eastAsia="Calibri" w:hAnsi="Arial" w:cs="Arial"/>
          <w:lang w:val="es-CR"/>
        </w:rPr>
        <w:t xml:space="preserve">rtículo 11 del “Reglamento para </w:t>
      </w:r>
      <w:r>
        <w:rPr>
          <w:rFonts w:ascii="Arial" w:eastAsia="Calibri" w:hAnsi="Arial" w:cs="Arial"/>
          <w:lang w:val="es-CR"/>
        </w:rPr>
        <w:t>C</w:t>
      </w:r>
      <w:r w:rsidRPr="00CE458D">
        <w:rPr>
          <w:rFonts w:ascii="Arial" w:eastAsia="Calibri" w:hAnsi="Arial" w:cs="Arial"/>
          <w:lang w:val="es-CR"/>
        </w:rPr>
        <w:t xml:space="preserve">oncursos de </w:t>
      </w:r>
      <w:r>
        <w:rPr>
          <w:rFonts w:ascii="Arial" w:eastAsia="Calibri" w:hAnsi="Arial" w:cs="Arial"/>
          <w:lang w:val="es-CR"/>
        </w:rPr>
        <w:t>A</w:t>
      </w:r>
      <w:r w:rsidRPr="00CE458D">
        <w:rPr>
          <w:rFonts w:ascii="Arial" w:eastAsia="Calibri" w:hAnsi="Arial" w:cs="Arial"/>
          <w:lang w:val="es-CR"/>
        </w:rPr>
        <w:t xml:space="preserve">ntecedentes </w:t>
      </w:r>
      <w:r>
        <w:rPr>
          <w:rFonts w:ascii="Arial" w:eastAsia="Calibri" w:hAnsi="Arial" w:cs="Arial"/>
          <w:lang w:val="es-CR"/>
        </w:rPr>
        <w:t>I</w:t>
      </w:r>
      <w:r w:rsidRPr="00CE458D">
        <w:rPr>
          <w:rFonts w:ascii="Arial" w:eastAsia="Calibri" w:hAnsi="Arial" w:cs="Arial"/>
          <w:lang w:val="es-CR"/>
        </w:rPr>
        <w:t xml:space="preserve">nternos y </w:t>
      </w:r>
      <w:r>
        <w:rPr>
          <w:rFonts w:ascii="Arial" w:eastAsia="Calibri" w:hAnsi="Arial" w:cs="Arial"/>
          <w:lang w:val="es-CR"/>
        </w:rPr>
        <w:t>E</w:t>
      </w:r>
      <w:r w:rsidRPr="00CE458D">
        <w:rPr>
          <w:rFonts w:ascii="Arial" w:eastAsia="Calibri" w:hAnsi="Arial" w:cs="Arial"/>
          <w:lang w:val="es-CR"/>
        </w:rPr>
        <w:t xml:space="preserve">xternos del </w:t>
      </w:r>
      <w:r>
        <w:rPr>
          <w:rFonts w:ascii="Arial" w:eastAsia="Calibri" w:hAnsi="Arial" w:cs="Arial"/>
          <w:lang w:val="es-CR"/>
        </w:rPr>
        <w:t>P</w:t>
      </w:r>
      <w:r w:rsidRPr="00CE458D">
        <w:rPr>
          <w:rFonts w:ascii="Arial" w:eastAsia="Calibri" w:hAnsi="Arial" w:cs="Arial"/>
          <w:lang w:val="es-CR"/>
        </w:rPr>
        <w:t>ersonal del Instituto Tecnológico de Costa Rica”</w:t>
      </w:r>
      <w:r>
        <w:rPr>
          <w:rFonts w:ascii="Arial" w:eastAsia="Calibri" w:hAnsi="Arial" w:cs="Arial"/>
          <w:lang w:val="es-CR"/>
        </w:rPr>
        <w:t>,</w:t>
      </w:r>
      <w:r w:rsidRPr="00CE458D">
        <w:rPr>
          <w:rFonts w:ascii="Arial" w:eastAsia="Calibri" w:hAnsi="Arial" w:cs="Arial"/>
          <w:lang w:val="es-CR"/>
        </w:rPr>
        <w:t xml:space="preserve"> es claro en cuanto a que la responsabilidad de llevar los registros de oferentes de y </w:t>
      </w:r>
      <w:r w:rsidRPr="00CE458D">
        <w:rPr>
          <w:rFonts w:ascii="Arial" w:hAnsi="Arial" w:cs="Arial"/>
          <w:lang w:val="es-CR" w:eastAsia="es-CR"/>
        </w:rPr>
        <w:t>de candidatos (as) con la condición de elegibles es del Departamento de Recursos Humanos. Por esa razón</w:t>
      </w:r>
      <w:r>
        <w:rPr>
          <w:rFonts w:ascii="Arial" w:hAnsi="Arial" w:cs="Arial"/>
          <w:lang w:val="es-CR" w:eastAsia="es-CR"/>
        </w:rPr>
        <w:t>,</w:t>
      </w:r>
      <w:r w:rsidRPr="00CE458D">
        <w:rPr>
          <w:rFonts w:ascii="Arial" w:hAnsi="Arial" w:cs="Arial"/>
          <w:lang w:val="es-CR" w:eastAsia="es-CR"/>
        </w:rPr>
        <w:t xml:space="preserve"> es el Departamento de Recursos Humanos la instancia idónea para llevar </w:t>
      </w:r>
      <w:r>
        <w:rPr>
          <w:rFonts w:ascii="Arial" w:hAnsi="Arial" w:cs="Arial"/>
          <w:lang w:val="es-CR" w:eastAsia="es-CR"/>
        </w:rPr>
        <w:t xml:space="preserve">el </w:t>
      </w:r>
      <w:r w:rsidRPr="00CE458D">
        <w:rPr>
          <w:rFonts w:ascii="Arial" w:hAnsi="Arial" w:cs="Arial"/>
          <w:lang w:val="es-CR" w:eastAsia="es-CR"/>
        </w:rPr>
        <w:t>control de que “Registros de elegibles”</w:t>
      </w:r>
      <w:r>
        <w:rPr>
          <w:rFonts w:ascii="Arial" w:hAnsi="Arial" w:cs="Arial"/>
          <w:lang w:val="es-CR" w:eastAsia="es-CR"/>
        </w:rPr>
        <w:t>,</w:t>
      </w:r>
      <w:r w:rsidRPr="00CE458D">
        <w:rPr>
          <w:rFonts w:ascii="Arial" w:hAnsi="Arial" w:cs="Arial"/>
          <w:lang w:val="es-CR" w:eastAsia="es-CR"/>
        </w:rPr>
        <w:t xml:space="preserve"> deben ser actualizados.</w:t>
      </w:r>
    </w:p>
    <w:p w:rsidR="00CE458D" w:rsidRPr="00CE458D" w:rsidRDefault="00CE458D" w:rsidP="00CE458D">
      <w:pPr>
        <w:ind w:left="360"/>
        <w:jc w:val="both"/>
        <w:rPr>
          <w:rFonts w:ascii="Arial" w:eastAsia="Cambria" w:hAnsi="Arial" w:cs="Arial"/>
          <w:lang w:val="es-ES_tradnl" w:eastAsia="en-US"/>
        </w:rPr>
      </w:pPr>
    </w:p>
    <w:p w:rsidR="00CE458D" w:rsidRPr="00CE458D" w:rsidRDefault="00CE458D" w:rsidP="00CE458D">
      <w:pPr>
        <w:jc w:val="both"/>
        <w:rPr>
          <w:rFonts w:ascii="Arial" w:eastAsia="Cambria" w:hAnsi="Arial" w:cs="Arial"/>
          <w:b/>
          <w:lang w:val="es-ES_tradnl" w:eastAsia="en-US"/>
        </w:rPr>
      </w:pPr>
      <w:r w:rsidRPr="00CE458D">
        <w:rPr>
          <w:rFonts w:ascii="Arial" w:eastAsia="Cambria" w:hAnsi="Arial" w:cs="Arial"/>
          <w:b/>
          <w:lang w:val="es-ES_tradnl" w:eastAsia="en-US"/>
        </w:rPr>
        <w:t xml:space="preserve">SE </w:t>
      </w:r>
      <w:r>
        <w:rPr>
          <w:rFonts w:ascii="Arial" w:eastAsia="Cambria" w:hAnsi="Arial" w:cs="Arial"/>
          <w:b/>
          <w:lang w:val="es-ES_tradnl" w:eastAsia="en-US"/>
        </w:rPr>
        <w:t>ACUERDA:</w:t>
      </w:r>
    </w:p>
    <w:p w:rsidR="00CE458D" w:rsidRPr="00CE458D" w:rsidRDefault="00CE458D" w:rsidP="00CE458D">
      <w:pPr>
        <w:jc w:val="both"/>
        <w:rPr>
          <w:rFonts w:ascii="Arial" w:eastAsia="Cambria" w:hAnsi="Arial" w:cs="Arial"/>
          <w:lang w:val="es-ES_tradnl" w:eastAsia="en-US"/>
        </w:rPr>
      </w:pPr>
    </w:p>
    <w:p w:rsidR="00CE458D" w:rsidRPr="00CE458D" w:rsidRDefault="00CE458D" w:rsidP="00FE4B41">
      <w:pPr>
        <w:numPr>
          <w:ilvl w:val="0"/>
          <w:numId w:val="5"/>
        </w:numPr>
        <w:ind w:left="426" w:hanging="426"/>
        <w:contextualSpacing/>
        <w:jc w:val="both"/>
        <w:rPr>
          <w:rFonts w:ascii="Arial" w:eastAsia="Calibri" w:hAnsi="Arial" w:cs="Arial"/>
          <w:lang w:val="es-CR"/>
        </w:rPr>
      </w:pPr>
      <w:r w:rsidRPr="00CE458D">
        <w:rPr>
          <w:rFonts w:ascii="Arial" w:eastAsia="Calibri" w:hAnsi="Arial" w:cs="Arial"/>
          <w:lang w:val="es-CR"/>
        </w:rPr>
        <w:t xml:space="preserve">Aprobar como interpretación auténtica del </w:t>
      </w:r>
      <w:r>
        <w:rPr>
          <w:rFonts w:ascii="Arial" w:eastAsia="Calibri" w:hAnsi="Arial" w:cs="Arial"/>
          <w:lang w:val="es-CR"/>
        </w:rPr>
        <w:t>A</w:t>
      </w:r>
      <w:r w:rsidRPr="00CE458D">
        <w:rPr>
          <w:rFonts w:ascii="Arial" w:eastAsia="Calibri" w:hAnsi="Arial" w:cs="Arial"/>
          <w:lang w:val="es-CR"/>
        </w:rPr>
        <w:t>rtículo 11 del “Reglamento para C</w:t>
      </w:r>
      <w:r>
        <w:rPr>
          <w:rFonts w:ascii="Arial" w:eastAsia="Calibri" w:hAnsi="Arial" w:cs="Arial"/>
          <w:lang w:val="es-CR"/>
        </w:rPr>
        <w:t>on</w:t>
      </w:r>
      <w:r w:rsidRPr="00CE458D">
        <w:rPr>
          <w:rFonts w:ascii="Arial" w:eastAsia="Calibri" w:hAnsi="Arial" w:cs="Arial"/>
          <w:lang w:val="es-CR"/>
        </w:rPr>
        <w:t>cursos de Antecedentes Internos y Externos del Personal del Instituto Tecnológico de Costa Rica”, el siguiente texto:</w:t>
      </w:r>
    </w:p>
    <w:p w:rsidR="00CE458D" w:rsidRPr="00CE458D" w:rsidRDefault="00CE458D" w:rsidP="00CE458D">
      <w:pPr>
        <w:jc w:val="both"/>
        <w:rPr>
          <w:rFonts w:ascii="Arial" w:eastAsia="Cambria" w:hAnsi="Arial" w:cs="Arial"/>
          <w:lang w:val="es-ES_tradnl" w:eastAsia="en-US"/>
        </w:rPr>
      </w:pPr>
    </w:p>
    <w:p w:rsidR="00CE458D" w:rsidRPr="00CE458D" w:rsidRDefault="00CE458D" w:rsidP="00CE458D">
      <w:pPr>
        <w:ind w:left="993" w:right="474"/>
        <w:jc w:val="both"/>
        <w:rPr>
          <w:rFonts w:ascii="Arial" w:eastAsia="Cambria" w:hAnsi="Arial" w:cs="Arial"/>
          <w:lang w:val="es-ES_tradnl" w:eastAsia="en-US"/>
        </w:rPr>
      </w:pPr>
      <w:r w:rsidRPr="00CE458D">
        <w:rPr>
          <w:rFonts w:ascii="Arial" w:eastAsia="Cambria" w:hAnsi="Arial" w:cs="Arial"/>
          <w:lang w:val="es-ES_tradnl" w:eastAsia="en-US"/>
        </w:rPr>
        <w:t>La expresión “</w:t>
      </w:r>
      <w:r w:rsidRPr="00CE458D">
        <w:rPr>
          <w:rFonts w:ascii="Arial" w:hAnsi="Arial" w:cs="Arial"/>
          <w:lang w:val="es-ES_tradnl" w:eastAsia="es-CR"/>
        </w:rPr>
        <w:t xml:space="preserve">El registro de elegibles debe ser actualizado cada dos años” no implica que los “Registros de elegibles” que se han conformado anteriormente deban ser desechados, sino que permite que otras personas puedan presentar atestados y someterse a los procesos de </w:t>
      </w:r>
      <w:r w:rsidRPr="00CE458D">
        <w:rPr>
          <w:rFonts w:ascii="Arial" w:hAnsi="Arial" w:cs="Arial"/>
          <w:lang w:val="es-ES_tradnl" w:eastAsia="es-CR"/>
        </w:rPr>
        <w:lastRenderedPageBreak/>
        <w:t>evaluación para ser integradas al registro y a quienes ya lo integran, actualizar su información.</w:t>
      </w:r>
    </w:p>
    <w:p w:rsidR="00CE458D" w:rsidRPr="00CE458D" w:rsidRDefault="00CE458D" w:rsidP="00CE458D">
      <w:pPr>
        <w:ind w:left="360"/>
        <w:jc w:val="both"/>
        <w:rPr>
          <w:rFonts w:ascii="Cambria" w:eastAsia="Cambria" w:hAnsi="Cambria"/>
          <w:lang w:val="es-ES_tradnl" w:eastAsia="en-US"/>
        </w:rPr>
      </w:pPr>
    </w:p>
    <w:p w:rsidR="00CE458D" w:rsidRPr="00CE458D" w:rsidRDefault="00CE458D" w:rsidP="00FE4B41">
      <w:pPr>
        <w:numPr>
          <w:ilvl w:val="0"/>
          <w:numId w:val="5"/>
        </w:numPr>
        <w:ind w:left="426" w:hanging="426"/>
        <w:contextualSpacing/>
        <w:jc w:val="both"/>
        <w:rPr>
          <w:rFonts w:ascii="Arial" w:eastAsia="Calibri" w:hAnsi="Arial" w:cs="Arial"/>
          <w:lang w:val="es-CR"/>
        </w:rPr>
      </w:pPr>
      <w:r w:rsidRPr="00CE458D">
        <w:rPr>
          <w:rFonts w:ascii="Arial" w:eastAsia="Calibri" w:hAnsi="Arial" w:cs="Arial"/>
          <w:lang w:val="es-CR"/>
        </w:rPr>
        <w:t>Solicitar al Departamento de Recursos Humanos alertar de manera oportuna a los Directores y Coordinadores, según corresponda, de la obligación de gestionar la actualización de los “Registros de Elegibles” de su Dependencia.</w:t>
      </w:r>
    </w:p>
    <w:p w:rsidR="00BD6FFA" w:rsidRDefault="00BD6FFA" w:rsidP="007742A1">
      <w:pPr>
        <w:jc w:val="both"/>
        <w:rPr>
          <w:rFonts w:ascii="Arial" w:eastAsia="Cambria" w:hAnsi="Arial" w:cs="Arial"/>
          <w:lang w:val="es-ES_tradnl" w:eastAsia="en-US"/>
        </w:rPr>
      </w:pPr>
    </w:p>
    <w:p w:rsidR="00BD6FFA" w:rsidRPr="00BD6FFA" w:rsidRDefault="00BD6FFA" w:rsidP="00FE4B41">
      <w:pPr>
        <w:numPr>
          <w:ilvl w:val="0"/>
          <w:numId w:val="5"/>
        </w:numPr>
        <w:ind w:left="426" w:hanging="426"/>
        <w:contextualSpacing/>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BD6FFA" w:rsidRDefault="00BD6FFA" w:rsidP="00BD6FFA">
      <w:pPr>
        <w:jc w:val="both"/>
        <w:rPr>
          <w:rFonts w:ascii="Arial" w:eastAsia="Calibri" w:hAnsi="Arial" w:cs="Arial"/>
          <w:color w:val="000000"/>
          <w:lang w:val="es-CR" w:eastAsia="en-US"/>
        </w:rPr>
      </w:pPr>
    </w:p>
    <w:p w:rsidR="00253D00" w:rsidRDefault="00253D00" w:rsidP="00CE458D">
      <w:pPr>
        <w:jc w:val="both"/>
        <w:rPr>
          <w:rFonts w:ascii="Arial" w:eastAsia="Cambria" w:hAnsi="Arial" w:cs="Arial"/>
          <w:b/>
          <w:color w:val="000000"/>
          <w:lang w:val="es-ES_tradnl" w:eastAsia="en-US"/>
        </w:rPr>
      </w:pPr>
    </w:p>
    <w:p w:rsidR="00CE458D" w:rsidRPr="00CE458D" w:rsidRDefault="00CE458D" w:rsidP="00CE458D">
      <w:pPr>
        <w:jc w:val="both"/>
        <w:rPr>
          <w:rFonts w:ascii="Arial" w:eastAsia="Calibri" w:hAnsi="Arial" w:cs="Arial"/>
          <w:b/>
          <w:bCs/>
          <w:lang w:val="es-CR" w:eastAsia="en-US"/>
        </w:rPr>
      </w:pPr>
      <w:r w:rsidRPr="00CE458D">
        <w:rPr>
          <w:rFonts w:ascii="Arial" w:eastAsia="Cambria" w:hAnsi="Arial" w:cs="Arial"/>
          <w:b/>
          <w:color w:val="000000"/>
          <w:lang w:val="es-ES_tradnl" w:eastAsia="en-US"/>
        </w:rPr>
        <w:t xml:space="preserve">Palabras Clave:  </w:t>
      </w:r>
      <w:r w:rsidRPr="00CE458D">
        <w:rPr>
          <w:rFonts w:ascii="Arial" w:eastAsia="Calibri" w:hAnsi="Arial" w:cs="Arial"/>
          <w:b/>
          <w:bCs/>
          <w:lang w:val="es-CR" w:eastAsia="en-US"/>
        </w:rPr>
        <w:t>Interpretación – Artículo 11 - Reglamento – Concursos – antecedentes – internos - externos</w:t>
      </w:r>
    </w:p>
    <w:p w:rsidR="00CE458D" w:rsidRPr="00BD6FFA" w:rsidRDefault="00CE458D" w:rsidP="00BD6FFA">
      <w:pPr>
        <w:jc w:val="both"/>
        <w:rPr>
          <w:rFonts w:ascii="Arial" w:eastAsia="Calibri" w:hAnsi="Arial" w:cs="Arial"/>
          <w:color w:val="000000"/>
          <w:lang w:val="es-CR" w:eastAsia="en-US"/>
        </w:rPr>
      </w:pPr>
    </w:p>
    <w:p w:rsidR="007221C8" w:rsidRDefault="007221C8" w:rsidP="007221C8">
      <w:pPr>
        <w:jc w:val="both"/>
        <w:rPr>
          <w:rFonts w:ascii="Arial" w:eastAsia="Cambria" w:hAnsi="Arial" w:cs="Arial"/>
          <w:b/>
          <w:color w:val="000000"/>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B4212A">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D23962" w:rsidP="00EB0F82">
      <w:pPr>
        <w:jc w:val="both"/>
        <w:rPr>
          <w:rFonts w:ascii="Arial" w:eastAsia="Cambria" w:hAnsi="Arial" w:cs="Arial"/>
          <w:b/>
          <w:sz w:val="16"/>
          <w:szCs w:val="16"/>
          <w:lang w:val="es-ES_tradnl" w:eastAsia="en-US"/>
        </w:rPr>
      </w:pPr>
    </w:p>
    <w:p w:rsidR="00CE458D" w:rsidRPr="00885F0A" w:rsidRDefault="00CE458D" w:rsidP="00CE458D">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41" w:rsidRDefault="00FE4B41">
      <w:r>
        <w:separator/>
      </w:r>
    </w:p>
  </w:endnote>
  <w:endnote w:type="continuationSeparator" w:id="0">
    <w:p w:rsidR="00FE4B41" w:rsidRDefault="00FE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41" w:rsidRDefault="00FE4B41">
      <w:r>
        <w:separator/>
      </w:r>
    </w:p>
  </w:footnote>
  <w:footnote w:type="continuationSeparator" w:id="0">
    <w:p w:rsidR="00FE4B41" w:rsidRDefault="00FE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CB19C2">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7B23D9">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B19C2">
      <w:rPr>
        <w:rFonts w:ascii="Arial" w:eastAsia="Cambria" w:hAnsi="Arial" w:cs="Arial"/>
        <w:i/>
        <w:sz w:val="18"/>
        <w:szCs w:val="18"/>
        <w:lang w:val="es-ES_tradnl" w:eastAsia="x-none"/>
      </w:rPr>
      <w:t>02</w:t>
    </w:r>
    <w:r w:rsidR="00C55D84">
      <w:rPr>
        <w:rFonts w:ascii="Arial" w:eastAsia="Cambria" w:hAnsi="Arial" w:cs="Arial"/>
        <w:i/>
        <w:sz w:val="18"/>
        <w:szCs w:val="18"/>
        <w:lang w:val="es-ES_tradnl" w:eastAsia="x-none"/>
      </w:rPr>
      <w:t xml:space="preserve"> de </w:t>
    </w:r>
    <w:r w:rsidR="00CB19C2">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53D0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E243D8"/>
    <w:multiLevelType w:val="hybridMultilevel"/>
    <w:tmpl w:val="4B7C5AEE"/>
    <w:lvl w:ilvl="0" w:tplc="EEA6FF7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817037D"/>
    <w:multiLevelType w:val="hybridMultilevel"/>
    <w:tmpl w:val="79A41D9A"/>
    <w:lvl w:ilvl="0" w:tplc="14901B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D3C4F49"/>
    <w:multiLevelType w:val="hybridMultilevel"/>
    <w:tmpl w:val="445257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F4A72B3"/>
    <w:multiLevelType w:val="hybridMultilevel"/>
    <w:tmpl w:val="80E8D86E"/>
    <w:lvl w:ilvl="0" w:tplc="6BE4945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00"/>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6EFD"/>
    <w:rsid w:val="005E06F0"/>
    <w:rsid w:val="005E10A2"/>
    <w:rsid w:val="005E1B2D"/>
    <w:rsid w:val="005E3547"/>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4CA4"/>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458D"/>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4B41"/>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872F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18DA-55BB-47AA-9EB2-71E7A8C9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51</cp:revision>
  <cp:lastPrinted>2018-04-26T20:10:00Z</cp:lastPrinted>
  <dcterms:created xsi:type="dcterms:W3CDTF">2018-01-31T17:57:00Z</dcterms:created>
  <dcterms:modified xsi:type="dcterms:W3CDTF">2018-05-02T16:15:00Z</dcterms:modified>
</cp:coreProperties>
</file>