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A1" w:rsidRPr="00D958BC" w:rsidRDefault="007742A1" w:rsidP="007742A1">
      <w:pPr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SCI-</w:t>
      </w:r>
      <w:r w:rsidR="005F18E0">
        <w:rPr>
          <w:rFonts w:ascii="Arial" w:hAnsi="Arial" w:cs="Arial"/>
          <w:b/>
          <w:bCs/>
          <w:iCs/>
          <w:sz w:val="26"/>
          <w:szCs w:val="22"/>
          <w:lang w:val="es-CR"/>
        </w:rPr>
        <w:t>349-</w:t>
      </w: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201</w:t>
      </w:r>
      <w:r w:rsidR="006F7054">
        <w:rPr>
          <w:rFonts w:ascii="Arial" w:hAnsi="Arial" w:cs="Arial"/>
          <w:b/>
          <w:bCs/>
          <w:iCs/>
          <w:sz w:val="26"/>
          <w:szCs w:val="22"/>
          <w:lang w:val="es-CR"/>
        </w:rPr>
        <w:t>8</w:t>
      </w:r>
    </w:p>
    <w:p w:rsidR="007742A1" w:rsidRPr="009912AB" w:rsidRDefault="007742A1" w:rsidP="00337455">
      <w:pPr>
        <w:tabs>
          <w:tab w:val="left" w:pos="6612"/>
        </w:tabs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</w:pPr>
      <w:r w:rsidRPr="00D958BC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 xml:space="preserve">Comunicación de acuerdo </w:t>
      </w:r>
      <w:r w:rsidR="00337455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ab/>
      </w:r>
    </w:p>
    <w:p w:rsidR="007742A1" w:rsidRPr="00D958BC" w:rsidRDefault="007742A1" w:rsidP="007742A1">
      <w:pPr>
        <w:rPr>
          <w:rFonts w:ascii="Cambria" w:eastAsia="Cambria" w:hAnsi="Cambria" w:cs="Arial"/>
          <w:bCs/>
          <w:iCs/>
          <w:sz w:val="16"/>
          <w:szCs w:val="16"/>
          <w:lang w:val="es-ES_tradnl" w:eastAsia="en-US"/>
        </w:rPr>
      </w:pPr>
    </w:p>
    <w:tbl>
      <w:tblPr>
        <w:tblW w:w="94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94"/>
        <w:gridCol w:w="8082"/>
      </w:tblGrid>
      <w:tr w:rsidR="007742A1" w:rsidRPr="00253D00" w:rsidTr="0073629D">
        <w:trPr>
          <w:trHeight w:val="643"/>
        </w:trPr>
        <w:tc>
          <w:tcPr>
            <w:tcW w:w="1394" w:type="dxa"/>
          </w:tcPr>
          <w:p w:rsidR="007742A1" w:rsidRPr="003C359A" w:rsidRDefault="007742A1" w:rsidP="007742A1">
            <w:pPr>
              <w:tabs>
                <w:tab w:val="right" w:pos="2100"/>
                <w:tab w:val="left" w:pos="2694"/>
              </w:tabs>
              <w:rPr>
                <w:rFonts w:ascii="Arial" w:eastAsia="SimSun" w:hAnsi="Arial" w:cs="Arial"/>
                <w:b/>
                <w:iCs/>
                <w:lang w:val="es-ES_tradnl" w:eastAsia="en-US"/>
              </w:rPr>
            </w:pPr>
            <w:r w:rsidRPr="003C359A">
              <w:rPr>
                <w:rFonts w:ascii="Arial" w:eastAsia="SimSun" w:hAnsi="Arial" w:cs="Arial"/>
                <w:b/>
                <w:iCs/>
                <w:lang w:val="es-ES_tradnl" w:eastAsia="en-US"/>
              </w:rPr>
              <w:t>Para:</w:t>
            </w:r>
          </w:p>
        </w:tc>
        <w:tc>
          <w:tcPr>
            <w:tcW w:w="8082" w:type="dxa"/>
          </w:tcPr>
          <w:p w:rsidR="003F0538" w:rsidRDefault="00FF3C43" w:rsidP="00B4212A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449FD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Julio Calvo Alvarado</w:t>
            </w:r>
            <w:r w:rsidR="0090700F" w:rsidRPr="00A449FD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 Rector</w:t>
            </w:r>
            <w:r w:rsidR="00974D66" w:rsidRPr="00A449FD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</w:t>
            </w:r>
          </w:p>
          <w:p w:rsidR="00CE458D" w:rsidRPr="00AC372A" w:rsidRDefault="00CE458D" w:rsidP="00CE458D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Humberto Villalta Solano, Vicerrector de Administración</w:t>
            </w:r>
          </w:p>
          <w:p w:rsidR="00CE458D" w:rsidRPr="00AC372A" w:rsidRDefault="005F18E0" w:rsidP="00CE458D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M.Sc</w:t>
            </w:r>
            <w:proofErr w:type="spellEnd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. Hugo Navarro Serrano</w:t>
            </w:r>
            <w:r w:rsidR="00CE458D"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 Vicerrector de Docencia</w:t>
            </w: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a.i.</w:t>
            </w:r>
            <w:proofErr w:type="spellEnd"/>
          </w:p>
          <w:p w:rsidR="00CE458D" w:rsidRPr="00AC372A" w:rsidRDefault="00CE458D" w:rsidP="00CE458D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Dr. </w:t>
            </w:r>
            <w:r w:rsidR="00B64B23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Alexander </w:t>
            </w:r>
            <w:r w:rsidR="00B64B23" w:rsidRPr="00EA406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Berrocal</w:t>
            </w:r>
            <w:r w:rsidR="00EA406F" w:rsidRPr="00EA406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Jiménez</w:t>
            </w:r>
            <w:r w:rsidR="00EA406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</w:t>
            </w: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Vicerrector de Investigación y Extensión </w:t>
            </w:r>
          </w:p>
          <w:p w:rsidR="00CE458D" w:rsidRPr="00AC372A" w:rsidRDefault="00CE458D" w:rsidP="00CE458D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Dra. Claudia Madrizova </w:t>
            </w:r>
            <w:proofErr w:type="spellStart"/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Madrizova</w:t>
            </w:r>
            <w:proofErr w:type="spellEnd"/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, Vicerrectora de Vida Estudiantil y Servicios Académicos </w:t>
            </w:r>
          </w:p>
          <w:p w:rsidR="00CE458D" w:rsidRPr="00AC372A" w:rsidRDefault="00CE458D" w:rsidP="00CE458D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Edgardo Vargas Jarquín, Director Sede Regional San Carlos</w:t>
            </w:r>
          </w:p>
          <w:p w:rsidR="00CE458D" w:rsidRPr="00AC372A" w:rsidRDefault="00CE458D" w:rsidP="00CE458D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Máster Ronald Bonilla Rodríguez, Director Centro Académico de San José</w:t>
            </w:r>
          </w:p>
          <w:p w:rsidR="00CE458D" w:rsidRPr="00AC372A" w:rsidRDefault="00CE458D" w:rsidP="00CE458D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Roberto Pereira Arroyo, Director Centro Académico de Alajuela</w:t>
            </w:r>
          </w:p>
          <w:p w:rsidR="005D6EFD" w:rsidRDefault="00CE458D" w:rsidP="00B64B23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Máster Roxana Jiménez Rodríguez, Directora Centro Académico de Limón</w:t>
            </w:r>
          </w:p>
          <w:p w:rsidR="00194BC3" w:rsidRPr="00B64B23" w:rsidRDefault="00194BC3" w:rsidP="00B64B23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M.A.U. Tatiana Fernández Martín, Directora Oficina de Planificación Institucional</w:t>
            </w:r>
          </w:p>
          <w:p w:rsidR="00253D00" w:rsidRDefault="00253D00" w:rsidP="00253D00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Licda. Grettel Ortiz Álvarez, Directora Oficina de Asesoría Legal </w:t>
            </w:r>
          </w:p>
          <w:p w:rsidR="00253D00" w:rsidRPr="00A449FD" w:rsidRDefault="00253D00" w:rsidP="00253D00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</w:p>
          <w:p w:rsidR="00253D00" w:rsidRPr="00A449FD" w:rsidRDefault="00253D00" w:rsidP="00253D00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</w:p>
        </w:tc>
      </w:tr>
      <w:tr w:rsidR="007742A1" w:rsidRPr="00D958BC" w:rsidTr="0073629D">
        <w:trPr>
          <w:trHeight w:val="632"/>
        </w:trPr>
        <w:tc>
          <w:tcPr>
            <w:tcW w:w="1394" w:type="dxa"/>
          </w:tcPr>
          <w:p w:rsidR="007742A1" w:rsidRPr="003C359A" w:rsidRDefault="00253D00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>
              <w:rPr>
                <w:rFonts w:ascii="Arial" w:eastAsia="SimSun" w:hAnsi="Arial" w:cs="Arial"/>
                <w:b/>
                <w:lang w:val="es-ES_tradnl" w:eastAsia="en-US"/>
              </w:rPr>
              <w:t>De:</w:t>
            </w:r>
          </w:p>
        </w:tc>
        <w:tc>
          <w:tcPr>
            <w:tcW w:w="8082" w:type="dxa"/>
          </w:tcPr>
          <w:p w:rsidR="00841F61" w:rsidRPr="00A449FD" w:rsidRDefault="00C55D84" w:rsidP="00841F61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449FD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</w:t>
            </w:r>
            <w:r w:rsidR="003C359A" w:rsidRPr="00A449FD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.A.E.</w:t>
            </w:r>
            <w:r w:rsidRPr="00A449FD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Ana Damaris Quesada Murillo</w:t>
            </w:r>
            <w:r w:rsidR="00841F61" w:rsidRPr="00A449FD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 Directora Ejecutiva</w:t>
            </w:r>
          </w:p>
          <w:p w:rsidR="007742A1" w:rsidRPr="00A449FD" w:rsidRDefault="0017077A" w:rsidP="00A87849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449FD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Secretaría del </w:t>
            </w:r>
            <w:r w:rsidR="00841F61" w:rsidRPr="00A449FD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Consejo Institucional</w:t>
            </w:r>
          </w:p>
        </w:tc>
      </w:tr>
      <w:tr w:rsidR="007742A1" w:rsidRPr="00D958BC" w:rsidTr="0073629D">
        <w:trPr>
          <w:trHeight w:val="275"/>
        </w:trPr>
        <w:tc>
          <w:tcPr>
            <w:tcW w:w="1394" w:type="dxa"/>
          </w:tcPr>
          <w:p w:rsidR="007742A1" w:rsidRPr="003C359A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</w:p>
          <w:p w:rsidR="007742A1" w:rsidRPr="003C359A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3C359A">
              <w:rPr>
                <w:rFonts w:ascii="Arial" w:eastAsia="SimSun" w:hAnsi="Arial" w:cs="Arial"/>
                <w:b/>
                <w:lang w:val="es-ES_tradnl" w:eastAsia="en-US"/>
              </w:rPr>
              <w:t>Fecha:</w:t>
            </w:r>
          </w:p>
        </w:tc>
        <w:tc>
          <w:tcPr>
            <w:tcW w:w="8082" w:type="dxa"/>
          </w:tcPr>
          <w:p w:rsidR="007742A1" w:rsidRPr="00A449FD" w:rsidRDefault="007742A1" w:rsidP="007742A1">
            <w:pPr>
              <w:tabs>
                <w:tab w:val="right" w:pos="2410"/>
                <w:tab w:val="left" w:pos="2694"/>
              </w:tabs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</w:pPr>
          </w:p>
          <w:p w:rsidR="007742A1" w:rsidRPr="00A449FD" w:rsidRDefault="00B64B23" w:rsidP="000B5852">
            <w:pPr>
              <w:jc w:val="both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17</w:t>
            </w:r>
            <w:r w:rsidR="00C001DF" w:rsidRPr="00A449FD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 </w:t>
            </w:r>
            <w:r w:rsidR="007742A1" w:rsidRPr="00A449FD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de </w:t>
            </w:r>
            <w:r w:rsidR="00CB19C2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mayo</w:t>
            </w:r>
            <w:r w:rsidR="007742A1" w:rsidRPr="00A449FD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 de 201</w:t>
            </w:r>
            <w:r w:rsidR="003B6DC0" w:rsidRPr="00A449FD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8</w:t>
            </w:r>
          </w:p>
          <w:p w:rsidR="007F1052" w:rsidRPr="00A449FD" w:rsidRDefault="007F1052" w:rsidP="000B5852">
            <w:pPr>
              <w:jc w:val="both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  <w:tr w:rsidR="00A2484D" w:rsidRPr="00A2484D" w:rsidTr="0073629D">
        <w:trPr>
          <w:trHeight w:val="275"/>
        </w:trPr>
        <w:tc>
          <w:tcPr>
            <w:tcW w:w="1394" w:type="dxa"/>
          </w:tcPr>
          <w:p w:rsidR="007742A1" w:rsidRPr="003C359A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3C359A">
              <w:rPr>
                <w:rFonts w:ascii="Arial" w:eastAsia="SimSun" w:hAnsi="Arial" w:cs="Arial"/>
                <w:b/>
                <w:lang w:val="es-ES_tradnl" w:eastAsia="en-US"/>
              </w:rPr>
              <w:t>Asunto:</w:t>
            </w:r>
          </w:p>
        </w:tc>
        <w:tc>
          <w:tcPr>
            <w:tcW w:w="8082" w:type="dxa"/>
          </w:tcPr>
          <w:p w:rsidR="00821E37" w:rsidRPr="00A449FD" w:rsidRDefault="007742A1" w:rsidP="00B64B2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s-CR" w:eastAsia="en-US"/>
              </w:rPr>
            </w:pPr>
            <w:bookmarkStart w:id="0" w:name="_GoBack"/>
            <w:r w:rsidRPr="00A449FD">
              <w:rPr>
                <w:rFonts w:ascii="Arial" w:eastAsia="Calibri" w:hAnsi="Arial" w:cs="Arial"/>
                <w:b/>
                <w:sz w:val="22"/>
                <w:szCs w:val="22"/>
              </w:rPr>
              <w:t xml:space="preserve">Sesión Ordinaria No. </w:t>
            </w:r>
            <w:r w:rsidR="00337455" w:rsidRPr="00A449FD">
              <w:rPr>
                <w:rFonts w:ascii="Arial" w:eastAsia="Calibri" w:hAnsi="Arial" w:cs="Arial"/>
                <w:b/>
                <w:sz w:val="22"/>
                <w:szCs w:val="22"/>
              </w:rPr>
              <w:t>30</w:t>
            </w:r>
            <w:r w:rsidR="00B64B23">
              <w:rPr>
                <w:rFonts w:ascii="Arial" w:eastAsia="Calibri" w:hAnsi="Arial" w:cs="Arial"/>
                <w:b/>
                <w:sz w:val="22"/>
                <w:szCs w:val="22"/>
              </w:rPr>
              <w:t>70</w:t>
            </w:r>
            <w:r w:rsidRPr="00A449FD">
              <w:rPr>
                <w:rFonts w:ascii="Arial" w:eastAsia="Calibri" w:hAnsi="Arial" w:cs="Arial"/>
                <w:b/>
                <w:sz w:val="22"/>
                <w:szCs w:val="22"/>
              </w:rPr>
              <w:t>, Artículo</w:t>
            </w:r>
            <w:r w:rsidR="00925985" w:rsidRPr="00A449FD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B64B23">
              <w:rPr>
                <w:rFonts w:ascii="Arial" w:eastAsia="Calibri" w:hAnsi="Arial" w:cs="Arial"/>
                <w:b/>
                <w:sz w:val="22"/>
                <w:szCs w:val="22"/>
              </w:rPr>
              <w:t>8</w:t>
            </w:r>
            <w:r w:rsidR="00FF3C43" w:rsidRPr="00A449FD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Pr="00A449FD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del </w:t>
            </w:r>
            <w:r w:rsidR="00B64B23">
              <w:rPr>
                <w:rFonts w:ascii="Arial" w:eastAsia="Calibri" w:hAnsi="Arial" w:cs="Arial"/>
                <w:b/>
                <w:sz w:val="22"/>
                <w:szCs w:val="22"/>
              </w:rPr>
              <w:t>17</w:t>
            </w:r>
            <w:r w:rsidR="00925985" w:rsidRPr="00A449FD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 </w:t>
            </w:r>
            <w:r w:rsidR="00CB19C2">
              <w:rPr>
                <w:rFonts w:ascii="Arial" w:eastAsia="Calibri" w:hAnsi="Arial" w:cs="Arial"/>
                <w:b/>
                <w:sz w:val="22"/>
                <w:szCs w:val="22"/>
              </w:rPr>
              <w:t>mayo</w:t>
            </w:r>
            <w:r w:rsidR="00925985" w:rsidRPr="00A449FD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A772EF" w:rsidRPr="00A449FD">
              <w:rPr>
                <w:rFonts w:ascii="Arial" w:eastAsia="Calibri" w:hAnsi="Arial" w:cs="Arial"/>
                <w:b/>
                <w:sz w:val="22"/>
                <w:szCs w:val="22"/>
              </w:rPr>
              <w:t>de 201</w:t>
            </w:r>
            <w:r w:rsidR="003B6DC0" w:rsidRPr="00A449FD">
              <w:rPr>
                <w:rFonts w:ascii="Arial" w:eastAsia="Calibri" w:hAnsi="Arial" w:cs="Arial"/>
                <w:b/>
                <w:sz w:val="22"/>
                <w:szCs w:val="22"/>
              </w:rPr>
              <w:t>8</w:t>
            </w:r>
            <w:r w:rsidR="00925985" w:rsidRPr="00A449FD">
              <w:rPr>
                <w:rFonts w:ascii="Arial" w:eastAsia="Calibri" w:hAnsi="Arial" w:cs="Arial"/>
                <w:b/>
                <w:sz w:val="22"/>
                <w:szCs w:val="22"/>
              </w:rPr>
              <w:t xml:space="preserve">.  </w:t>
            </w:r>
            <w:r w:rsidR="00B90A66" w:rsidRPr="00B90A66">
              <w:rPr>
                <w:rFonts w:ascii="Arial" w:eastAsia="Cambria" w:hAnsi="Arial" w:cs="Arial"/>
                <w:b/>
                <w:bCs/>
                <w:sz w:val="22"/>
                <w:szCs w:val="22"/>
                <w:lang w:val="es-CR" w:eastAsia="en-US"/>
              </w:rPr>
              <w:t>Políticas Específicas 2019</w:t>
            </w:r>
            <w:bookmarkEnd w:id="0"/>
          </w:p>
        </w:tc>
      </w:tr>
    </w:tbl>
    <w:p w:rsidR="00C001DF" w:rsidRDefault="00C001DF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7742A1" w:rsidRDefault="007742A1" w:rsidP="007742A1">
      <w:pPr>
        <w:jc w:val="both"/>
        <w:rPr>
          <w:rFonts w:ascii="Arial" w:eastAsia="Cambria" w:hAnsi="Arial" w:cs="Arial"/>
          <w:lang w:val="es-ES_tradnl" w:eastAsia="en-US"/>
        </w:rPr>
      </w:pPr>
      <w:r w:rsidRPr="00D958BC">
        <w:rPr>
          <w:rFonts w:ascii="Arial" w:eastAsia="Cambria" w:hAnsi="Arial" w:cs="Arial"/>
          <w:lang w:val="es-ES_tradnl" w:eastAsia="en-US"/>
        </w:rPr>
        <w:t>Para los fines correspondientes se transcribe el acuerdo tomado por el Consejo Institucional, citado en la referencia, el cual dice:</w:t>
      </w:r>
    </w:p>
    <w:p w:rsidR="005F18E0" w:rsidRDefault="005F18E0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5F18E0" w:rsidRPr="005F18E0" w:rsidRDefault="005F18E0" w:rsidP="005F18E0">
      <w:pPr>
        <w:tabs>
          <w:tab w:val="left" w:pos="3070"/>
        </w:tabs>
        <w:contextualSpacing/>
        <w:jc w:val="both"/>
        <w:outlineLvl w:val="0"/>
        <w:rPr>
          <w:rFonts w:ascii="Arial" w:hAnsi="Arial" w:cs="Arial"/>
          <w:b/>
          <w:lang w:val="es-CR"/>
        </w:rPr>
      </w:pPr>
      <w:r w:rsidRPr="005F18E0">
        <w:rPr>
          <w:rFonts w:ascii="Arial" w:hAnsi="Arial" w:cs="Arial"/>
          <w:b/>
          <w:lang w:val="es-CR"/>
        </w:rPr>
        <w:t>RESULTANDO QUE:</w:t>
      </w:r>
    </w:p>
    <w:p w:rsidR="005F18E0" w:rsidRPr="005F18E0" w:rsidRDefault="005F18E0" w:rsidP="005F18E0">
      <w:pPr>
        <w:ind w:left="1320" w:hanging="1320"/>
        <w:jc w:val="both"/>
        <w:rPr>
          <w:rFonts w:ascii="Arial" w:hAnsi="Arial" w:cs="Arial"/>
          <w:lang w:val="es-CR"/>
        </w:rPr>
      </w:pPr>
    </w:p>
    <w:p w:rsidR="005F18E0" w:rsidRPr="005F18E0" w:rsidRDefault="005F18E0" w:rsidP="005F18E0">
      <w:pPr>
        <w:numPr>
          <w:ilvl w:val="0"/>
          <w:numId w:val="7"/>
        </w:numPr>
        <w:jc w:val="both"/>
        <w:rPr>
          <w:rFonts w:ascii="Arial" w:hAnsi="Arial" w:cs="Arial"/>
          <w:lang w:val="es-CR"/>
        </w:rPr>
      </w:pPr>
      <w:r w:rsidRPr="005F18E0">
        <w:rPr>
          <w:rFonts w:ascii="Arial" w:hAnsi="Arial" w:cs="Arial"/>
          <w:lang w:val="es-CR"/>
        </w:rPr>
        <w:t xml:space="preserve">El Estatuto Orgánico del Instituto Tecnológico de Costa Rica, en sus Artículos 94 Bis 1, inciso d., 96, inciso c, 99, </w:t>
      </w:r>
      <w:proofErr w:type="gramStart"/>
      <w:r w:rsidRPr="005F18E0">
        <w:rPr>
          <w:rFonts w:ascii="Arial" w:hAnsi="Arial" w:cs="Arial"/>
          <w:lang w:val="es-CR"/>
        </w:rPr>
        <w:t>100  y</w:t>
      </w:r>
      <w:proofErr w:type="gramEnd"/>
      <w:r w:rsidRPr="005F18E0">
        <w:rPr>
          <w:rFonts w:ascii="Arial" w:hAnsi="Arial" w:cs="Arial"/>
          <w:lang w:val="es-CR"/>
        </w:rPr>
        <w:t xml:space="preserve"> 101, establece lo siguiente:</w:t>
      </w:r>
    </w:p>
    <w:p w:rsidR="005F18E0" w:rsidRPr="005F18E0" w:rsidRDefault="005F18E0" w:rsidP="005F18E0">
      <w:pPr>
        <w:ind w:left="360"/>
        <w:jc w:val="both"/>
        <w:rPr>
          <w:rFonts w:ascii="Arial" w:hAnsi="Arial" w:cs="Arial"/>
          <w:lang w:val="es-CR"/>
        </w:rPr>
      </w:pP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“Artículo 94 BIS 1</w:t>
      </w: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…</w:t>
      </w:r>
    </w:p>
    <w:p w:rsidR="005F18E0" w:rsidRPr="005F18E0" w:rsidRDefault="005F18E0" w:rsidP="005F18E0">
      <w:pPr>
        <w:ind w:left="990" w:right="689" w:hanging="27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d. Políticas específicas: son formuladas por el Rector y aprobadas por el Consejo Institucional.</w:t>
      </w:r>
    </w:p>
    <w:p w:rsidR="005F18E0" w:rsidRPr="005F18E0" w:rsidRDefault="005F18E0" w:rsidP="005F18E0">
      <w:pPr>
        <w:ind w:left="990" w:right="689" w:hanging="27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…</w:t>
      </w: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Artículo 96</w:t>
      </w: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…</w:t>
      </w:r>
    </w:p>
    <w:p w:rsidR="005F18E0" w:rsidRPr="005F18E0" w:rsidRDefault="005F18E0" w:rsidP="005F18E0">
      <w:pPr>
        <w:ind w:left="900" w:right="689" w:hanging="18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c. Las Políticas Específicas, deben derivarse de las Políticas Generales y serán aprobadas por el Consejo Institucional, según los procedimientos establecidos en este Estatuto Orgánico y en los reglamentos respectivos. Constituyen la base para la toma de decisiones de los ejecutivos y cuerpos colegiados.”</w:t>
      </w:r>
    </w:p>
    <w:p w:rsidR="005F18E0" w:rsidRPr="005F18E0" w:rsidRDefault="005F18E0" w:rsidP="005F18E0">
      <w:pPr>
        <w:ind w:left="900" w:right="689" w:hanging="18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 xml:space="preserve">Artículo 99 </w:t>
      </w: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F18E0" w:rsidRPr="005F18E0" w:rsidRDefault="005F18E0" w:rsidP="005F18E0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 xml:space="preserve">El Consejo Institucional deberá aprobar anualmente las Políticas Específicas que deben usarse para orientar la elaboración y la ejecución de los Planes anuales operativos del Instituto. </w:t>
      </w:r>
    </w:p>
    <w:p w:rsidR="005F18E0" w:rsidRPr="005F18E0" w:rsidRDefault="005F18E0" w:rsidP="005F18E0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Igualmente, el Consejo Institucional deberá aprobar los ajustes que corresponda a las políticas específicas cada vez que la Asamblea Institucional Representativa apruebe nuevas políticas generales o modifique las existentes.</w:t>
      </w:r>
    </w:p>
    <w:p w:rsidR="005F18E0" w:rsidRDefault="005F18E0" w:rsidP="005F18E0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F18E0" w:rsidRDefault="005F18E0" w:rsidP="005F18E0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F18E0" w:rsidRPr="005F18E0" w:rsidRDefault="005F18E0" w:rsidP="005F18E0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lastRenderedPageBreak/>
        <w:t xml:space="preserve">Artículo 100 </w:t>
      </w: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F18E0" w:rsidRPr="005F18E0" w:rsidRDefault="005F18E0" w:rsidP="005F18E0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El Rector deberá formular y presentar anualmente al Consejo Institucional para su discusión y aprobación, las políticas específicas que propone utilizar para orientar la elaboración y la ejecución del Plan Anual Operativo y del Presupuesto institucional, en apego a lo dispuesto por el Plan estratégico institucional.</w:t>
      </w:r>
    </w:p>
    <w:p w:rsidR="005F18E0" w:rsidRPr="005F18E0" w:rsidRDefault="005F18E0" w:rsidP="005F18E0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 xml:space="preserve">Artículo 101 </w:t>
      </w:r>
    </w:p>
    <w:p w:rsidR="005F18E0" w:rsidRPr="005F18E0" w:rsidRDefault="005F18E0" w:rsidP="005F18E0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F18E0" w:rsidRPr="005F18E0" w:rsidRDefault="005F18E0" w:rsidP="005F18E0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F18E0">
        <w:rPr>
          <w:rFonts w:ascii="Arial" w:hAnsi="Arial" w:cs="Arial"/>
          <w:i/>
          <w:sz w:val="20"/>
          <w:szCs w:val="20"/>
          <w:lang w:val="es-CR"/>
        </w:rPr>
        <w:t>Las propuestas para crear, modificar o eliminar Políticas Específicas, deberán comunicarse a la Comunidad del Instituto por lo menos dos semanas antes de que se inicie su discusión en el Consejo Institucional, para que los interesados envíen las observaciones que estimen pertinentes.</w:t>
      </w:r>
    </w:p>
    <w:p w:rsidR="005F18E0" w:rsidRPr="005F18E0" w:rsidRDefault="005F18E0" w:rsidP="005F18E0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F18E0" w:rsidRPr="005F18E0" w:rsidRDefault="005F18E0" w:rsidP="005F18E0">
      <w:pPr>
        <w:numPr>
          <w:ilvl w:val="0"/>
          <w:numId w:val="7"/>
        </w:numPr>
        <w:jc w:val="both"/>
        <w:rPr>
          <w:rFonts w:ascii="Arial" w:hAnsi="Arial" w:cs="Arial"/>
          <w:lang w:val="es-CR"/>
        </w:rPr>
      </w:pPr>
      <w:r w:rsidRPr="005F18E0">
        <w:rPr>
          <w:rFonts w:ascii="Arial" w:hAnsi="Arial" w:cs="Arial"/>
          <w:lang w:val="es-CR"/>
        </w:rPr>
        <w:t>El Consejo Institucional en Sesión Ordinaria No. 3064, Artículo 7, del 12 de abril de 2018, acordó consultar a la Comunidad Institucional las Políticas Específicas 2019, según se detalla en el siguiente cuadro:</w:t>
      </w:r>
    </w:p>
    <w:p w:rsidR="005F18E0" w:rsidRPr="005F18E0" w:rsidRDefault="005F18E0" w:rsidP="005F18E0">
      <w:pPr>
        <w:jc w:val="both"/>
        <w:rPr>
          <w:rFonts w:ascii="Arial" w:hAnsi="Arial" w:cs="Arial"/>
          <w:lang w:val="es-CR"/>
        </w:rPr>
      </w:pPr>
    </w:p>
    <w:p w:rsidR="005F18E0" w:rsidRPr="005F18E0" w:rsidRDefault="005F18E0" w:rsidP="005F18E0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W w:w="52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6"/>
        <w:gridCol w:w="5965"/>
      </w:tblGrid>
      <w:tr w:rsidR="005F18E0" w:rsidRPr="005F18E0" w:rsidTr="004955E1">
        <w:trPr>
          <w:trHeight w:val="1178"/>
          <w:tblHeader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8E0" w:rsidRPr="005F18E0" w:rsidRDefault="005F18E0" w:rsidP="005F18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POLÍTICAS GENERALES </w:t>
            </w:r>
          </w:p>
          <w:p w:rsidR="005F18E0" w:rsidRPr="005F18E0" w:rsidRDefault="005F18E0" w:rsidP="005F18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2015-2019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F18E0" w:rsidRPr="005F18E0" w:rsidRDefault="005F18E0" w:rsidP="005F18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 xml:space="preserve">Propuesta </w:t>
            </w:r>
          </w:p>
          <w:p w:rsidR="005F18E0" w:rsidRPr="005F18E0" w:rsidRDefault="005F18E0" w:rsidP="005F18E0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>Consejo Institucional</w:t>
            </w:r>
            <w:r w:rsidRPr="005F18E0">
              <w:rPr>
                <w:rFonts w:ascii="Arial" w:hAnsi="Arial" w:cs="Arial"/>
                <w:b/>
                <w:bCs/>
                <w:strike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5F18E0" w:rsidRPr="005F18E0" w:rsidTr="004955E1">
        <w:trPr>
          <w:trHeight w:val="750"/>
          <w:jc w:val="center"/>
        </w:trPr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1.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programas  académicos  en las áreas de ciencia y tecnología en concordancia con los ejes de conocimiento estratégicos, los fines y principios institucionales y con lo establecido en la Ley Orgánica del ITCR.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 xml:space="preserve">1.1. Se crearán y fortalecerán los programas académicos de grado y posgrado en las áreas de ciencia y tecnología en consonancia con los ejes transversales del Modelo Académico aprobado en el III Congreso Institucional. </w:t>
            </w:r>
          </w:p>
        </w:tc>
      </w:tr>
      <w:tr w:rsidR="005F18E0" w:rsidRPr="005F18E0" w:rsidTr="004955E1">
        <w:trPr>
          <w:trHeight w:val="870"/>
          <w:jc w:val="center"/>
        </w:trPr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 xml:space="preserve">1.2  Se crearán y fortalecerán los  programas de formación  técnica en </w:t>
            </w:r>
            <w:proofErr w:type="spellStart"/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coadyuvancia</w:t>
            </w:r>
            <w:proofErr w:type="spellEnd"/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 xml:space="preserve"> con FUNDATEC, en áreas donde el TEC tenga fortalezas académicas y exista alta demanda en el mercado laboral.</w:t>
            </w:r>
          </w:p>
        </w:tc>
      </w:tr>
      <w:tr w:rsidR="005F18E0" w:rsidRPr="005F18E0" w:rsidTr="004955E1">
        <w:trPr>
          <w:trHeight w:val="75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 xml:space="preserve">1.3 Se consolidarán los procesos de autoevaluación, acreditación y </w:t>
            </w:r>
            <w:proofErr w:type="spellStart"/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reacreditación</w:t>
            </w:r>
            <w:proofErr w:type="spellEnd"/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 xml:space="preserve"> de programas de grado y posgrado.</w:t>
            </w:r>
          </w:p>
        </w:tc>
      </w:tr>
      <w:tr w:rsidR="005F18E0" w:rsidRPr="005F18E0" w:rsidTr="004955E1">
        <w:trPr>
          <w:trHeight w:val="739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2. 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destinarán los recursos presupuestarios necesarios para la planificación, ejecución, control y evaluación exitosa de los programas académicos, vida estudiantil y apoyo a la academia acorde con los ejes de conocimiento estratégicos. 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2.1 Se fortalecerán las acciones para generación, atracción y asignación de recursos presupuestarios destinados al mejoramiento del quehacer académico, los  programas y servicios estudiantiles y de apoyo a la academia.</w:t>
            </w:r>
          </w:p>
        </w:tc>
      </w:tr>
      <w:tr w:rsidR="005F18E0" w:rsidRPr="005F18E0" w:rsidTr="004955E1">
        <w:trPr>
          <w:trHeight w:val="750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3.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estimulará la visión global, la cultura de la comunicación, la sostenibilidad ambiental, los procesos de internacionalización y la consolidación del </w:t>
            </w:r>
            <w:proofErr w:type="spellStart"/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lastRenderedPageBreak/>
              <w:t>emprendedurismo</w:t>
            </w:r>
            <w:proofErr w:type="spellEnd"/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en los programas académicos.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lastRenderedPageBreak/>
              <w:t>3.1. Se impulsarán los procesos de internacionalización académica con miras a lograr realimentación del quehacer y de gestión, de la cooperación continua, la comunicación, proyección global y la comunicación de resultados.</w:t>
            </w:r>
          </w:p>
        </w:tc>
      </w:tr>
      <w:tr w:rsidR="005F18E0" w:rsidRPr="005F18E0" w:rsidTr="004955E1">
        <w:trPr>
          <w:trHeight w:val="75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3.2 Se estimulará el desarrollo del emprendimiento e innovación en los procesos de enseñanza-aprendizaje.</w:t>
            </w:r>
          </w:p>
        </w:tc>
      </w:tr>
      <w:tr w:rsidR="005F18E0" w:rsidRPr="005F18E0" w:rsidTr="004955E1">
        <w:trPr>
          <w:trHeight w:val="75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3.3 Se promoverá una conciencia hacia la sostenibilidad ambiental, económica, social y cultural y con  los derechos humanos.</w:t>
            </w:r>
          </w:p>
        </w:tc>
      </w:tr>
      <w:tr w:rsidR="005F18E0" w:rsidRPr="005F18E0" w:rsidTr="004955E1">
        <w:trPr>
          <w:trHeight w:val="1065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4.</w:t>
            </w: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planificarán y ejecutarán los procesos académicos, vida estudiantil y apoyo a la academia orientados a favorecer el impacto positivo sobre la salud integral y el ambiente.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4.1  Se fortalecerá el desarrollo de sistemas de gestión de los procesos institucionales, que incluyan los aspectos de ambiente, calidad, seguridad, salud integral y equidad</w:t>
            </w:r>
          </w:p>
        </w:tc>
      </w:tr>
      <w:tr w:rsidR="005F18E0" w:rsidRPr="005F18E0" w:rsidTr="004955E1">
        <w:trPr>
          <w:trHeight w:val="75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5. 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potenciará el desarrollo del profesorado en aspectos pedagógicos  y propios de su disciplina para alcanzar la excelencia académica desde una perspectiva humanística y multidisciplinaria.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5.1 Se fortalecerá la formación pedagógica del personal docente.</w:t>
            </w: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br/>
            </w: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br/>
              <w:t>5.2.  Se estimulará la formación del profesorado en los aspectos propios de su disciplina.</w:t>
            </w:r>
          </w:p>
        </w:tc>
      </w:tr>
      <w:tr w:rsidR="005F18E0" w:rsidRPr="005F18E0" w:rsidTr="004955E1">
        <w:trPr>
          <w:trHeight w:val="153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6.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incrementará la formación, capacitación y superación del personal para alcanzar la excelencia desde una perspectiva humanística que contemple el compromiso con la equidad, el ambiente y una cultura de paz.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6.1 Se fortalecerá la formación, capacitación y entrenamiento que contemple las necesidades de las dependencias, a partir de las prioridades Institucionales.</w:t>
            </w:r>
          </w:p>
        </w:tc>
      </w:tr>
      <w:tr w:rsidR="005F18E0" w:rsidRPr="005F18E0" w:rsidTr="004955E1">
        <w:trPr>
          <w:trHeight w:val="1335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7.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proyectos de investigación, extensión, acción social y desarrollo tecnológico, innovadores y de impacto científico, tecnológico y social conforme a los fines, principios, valores institucionales y a los ejes de conocimiento estratégicos.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7.1 Se mejorarán las capacidades de las instancias institucionales para el fortalecimiento de los proyectos de  investigación, extensión y acción social, según los ejes de conocimiento estratégicos y  transversales.</w:t>
            </w:r>
          </w:p>
        </w:tc>
      </w:tr>
      <w:tr w:rsidR="005F18E0" w:rsidRPr="005F18E0" w:rsidTr="004955E1">
        <w:trPr>
          <w:trHeight w:val="123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7.2 Se  implementarán estrategias de búsqueda de recursos financieros nacionales e internacionales para fortalecer el desarrollo de la investigación, la extensión, la cooperación, intercambio estudiantil, la acción social, la innovación,  el desarrollo científico y tecnológico y el desarrollo regional.</w:t>
            </w:r>
          </w:p>
        </w:tc>
      </w:tr>
      <w:tr w:rsidR="005F18E0" w:rsidRPr="005F18E0" w:rsidTr="004955E1">
        <w:trPr>
          <w:trHeight w:val="1245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lastRenderedPageBreak/>
              <w:t xml:space="preserve">8. 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estrategias que contribuyan a mejorar el acceso, la vida estudiantil, la formación integral y el éxito académico para los estudiantes del ITCR, procurando la equidad de condiciones para las poblaciones vulnerables y de bajo nivel socioeconómico.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8.1 Se crearán y fortalecerán los programas existentes para el acceso, la formación integral, el bienestar estudiantil, la permanencia óptima y la graduación exitosa de los estudiantes.</w:t>
            </w:r>
          </w:p>
        </w:tc>
      </w:tr>
      <w:tr w:rsidR="005F18E0" w:rsidRPr="005F18E0" w:rsidTr="004955E1">
        <w:trPr>
          <w:trHeight w:val="141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8.2. Se desarrollarán acciones en la comunidad Institucional,  para lograr una vida estudiantil integral e impulsar la equidad, igualdad de oportunidades, libertad de expresión, diversidad, respeto a la cultura y al origen étnico, de manera que se logre articular y atender las necesidades del estudiante en su contexto socio cultural.</w:t>
            </w:r>
          </w:p>
        </w:tc>
      </w:tr>
      <w:tr w:rsidR="005F18E0" w:rsidRPr="005F18E0" w:rsidTr="004955E1">
        <w:trPr>
          <w:trHeight w:val="1981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9. 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promoverán los procesos de investigación, extensión y de desarrollo tecnológico integrados a la enseñanza aprendizaje en los niveles de grado y posgrado. 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9.1 Se integrarán en la enseñanza y aprendizaje los procesos y proyectos de investigación,   extensión, acción social, cooperación y de desarrollo tecnológico, que estimulen la formación y participación estudiantil.</w:t>
            </w:r>
          </w:p>
        </w:tc>
      </w:tr>
      <w:tr w:rsidR="005F18E0" w:rsidRPr="005F18E0" w:rsidTr="004955E1">
        <w:trPr>
          <w:trHeight w:val="829"/>
          <w:jc w:val="center"/>
        </w:trPr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10.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Se mantendrá la vinculación permanente con los graduados con el propósito de retroalimentar el quehacer institucional y de fomentar su incorporación exitosa en el mercado laboral.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10.1 Se desarrollarán actividades de vinculación con los graduados u organizaciones  que los representen, para fortalecer el quehacer institucional.</w:t>
            </w:r>
          </w:p>
        </w:tc>
      </w:tr>
      <w:tr w:rsidR="005F18E0" w:rsidRPr="005F18E0" w:rsidTr="004955E1">
        <w:trPr>
          <w:trHeight w:val="93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10.2 Se fortalecerán los programas de educación continua para los graduados, que permitan ampliar e incidir de forma oportuna y pertinente en su perfil profesional, según las necesidades vigentes del sector laboral y necesidades del  país.</w:t>
            </w:r>
          </w:p>
        </w:tc>
      </w:tr>
      <w:tr w:rsidR="005F18E0" w:rsidRPr="005F18E0" w:rsidTr="004955E1">
        <w:trPr>
          <w:trHeight w:val="102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11.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 Se desarrollará la prestación de servicios a terceros como una forma de vinculación con la sociedad y fuente adicional de financiamiento, atendiendo a los fines y principios de la Institución, sin que vaya en detrimento de la academia ni el ambiente y no represente una competencia desleal a terceros.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11.1 Se fomentará la prestación de servicios en temas expertos desde las competencias académicas de cada unidad operativa con carácter remunerado a nivel nacional e internacional.</w:t>
            </w:r>
          </w:p>
        </w:tc>
      </w:tr>
      <w:tr w:rsidR="005F18E0" w:rsidRPr="005F18E0" w:rsidTr="004955E1">
        <w:trPr>
          <w:trHeight w:val="102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 12.  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fortalecerá la asignación de recursos para la extensión y acción social de manera que se logre una mayor proyección institucional en el ámbito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lastRenderedPageBreak/>
              <w:t>sociocultural, productivo y organizativo.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lastRenderedPageBreak/>
              <w:t>12.1 Se asignará recursos para la extensión y la acción social en los programas, proyectos y actividades institucionales, fundamentados en los ejes de conocimiento estratégicos y transversales, que respondan a las necesidades de los diferentes sectores.</w:t>
            </w:r>
          </w:p>
        </w:tc>
      </w:tr>
      <w:tr w:rsidR="005F18E0" w:rsidRPr="005F18E0" w:rsidTr="004955E1">
        <w:trPr>
          <w:trHeight w:val="102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13.  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fortalecerá el trabajo conjunto  en áreas estratégicas con las universidades que conforman el Sistema de  Educación Superior Universitario Público.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13.1 Se impulsarán actividades, proyectos o programas conjuntos entre las universidades que conforman el Sistema de Educación Superior Universitario Público.</w:t>
            </w:r>
          </w:p>
        </w:tc>
      </w:tr>
      <w:tr w:rsidR="005F18E0" w:rsidRPr="005F18E0" w:rsidTr="004955E1">
        <w:trPr>
          <w:trHeight w:val="1470"/>
          <w:jc w:val="center"/>
        </w:trPr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14.  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incrementará la formación, la capacitación y la superación de la comunidad institucional en la formulación, el desarrollo sostenible y la administración de proyectos, actividades de acción social y prestación de servicios.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14.1 Se impulsarán programas de capacitación y formación de la comunidad institucional que contribuyan al logro de los objetivos institucionales en el desarrollo de programas,  proyectos, actividades de generación y atracción de recursos.</w:t>
            </w:r>
          </w:p>
        </w:tc>
      </w:tr>
      <w:tr w:rsidR="005F18E0" w:rsidRPr="005F18E0" w:rsidTr="004955E1">
        <w:trPr>
          <w:trHeight w:val="687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15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. Los procesos institucionales se desarrollarán con excelencia, sustentados en la evaluación continua que involucre a los usuarios directos.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 xml:space="preserve">15.1 Se promoverá la incorporación de buenas prácticas de gestión orientadas al mejoramiento de los procesos, los proyectos y las funciones que se desarrollan en la Institución, ofreciendo prioridad a aquellos que tengan alto impacto en la relación con los usuarios directos. </w:t>
            </w:r>
          </w:p>
        </w:tc>
      </w:tr>
      <w:tr w:rsidR="005F18E0" w:rsidRPr="005F18E0" w:rsidTr="004955E1">
        <w:trPr>
          <w:trHeight w:val="72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15.2 Se fortalecerá el uso de las tecnologías digitales que permita integrar  los procesos institucionales.</w:t>
            </w:r>
          </w:p>
        </w:tc>
      </w:tr>
      <w:tr w:rsidR="005F18E0" w:rsidRPr="005F18E0" w:rsidTr="004955E1">
        <w:trPr>
          <w:trHeight w:val="1290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16.  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ejecutarán los recursos asignados a la Institución de manera oportuna, eficiente,   racional y transparente y se promoverá la consecución de fondos nacionales e internacionales que favorezcan el desarrollo y el impacto del quehacer  de la Institución en la sociedad.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16.1 Se implementarán acciones concretas para asegurar una ejecución oportuna, eficiente y transparente de los recursos asignados a la Institución, así como la rendición de cuentas a la sociedad.</w:t>
            </w:r>
          </w:p>
        </w:tc>
      </w:tr>
      <w:tr w:rsidR="005F18E0" w:rsidRPr="005F18E0" w:rsidTr="004955E1">
        <w:trPr>
          <w:trHeight w:val="1290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16.2 Se promoverá la consecución de nuevos recursos en coordinación con las instancias institucionales y actores sociales externos, que permitan incrementar y mejorar  la oferta de programas académicos, la vida estudiantil y el apoyo a la academia.</w:t>
            </w:r>
          </w:p>
        </w:tc>
      </w:tr>
      <w:tr w:rsidR="005F18E0" w:rsidRPr="005F18E0" w:rsidTr="004955E1">
        <w:trPr>
          <w:trHeight w:val="975"/>
          <w:jc w:val="center"/>
        </w:trPr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17.  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desarrollarán acciones en  distintas regiones para ampliar el </w:t>
            </w:r>
            <w:r w:rsidRPr="005F18E0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lastRenderedPageBreak/>
              <w:t>acceso a la educación superior y contribuir con el desarrollo integral de la población, con atención a  necesidades de grupos vulnerables, en condición de desventaja social</w:t>
            </w: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lastRenderedPageBreak/>
              <w:t xml:space="preserve">17.1 Se fortalecerán las acciones para brindar mayor acceso a la educación técnica y superior en distintas regiones del </w:t>
            </w: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lastRenderedPageBreak/>
              <w:t>país, así como a la población de grupos vulnerables o en condición de desventaja social.</w:t>
            </w:r>
          </w:p>
        </w:tc>
      </w:tr>
      <w:tr w:rsidR="005F18E0" w:rsidRPr="005F18E0" w:rsidTr="004955E1">
        <w:trPr>
          <w:trHeight w:val="975"/>
          <w:jc w:val="center"/>
        </w:trPr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E0" w:rsidRPr="005F18E0" w:rsidRDefault="005F18E0" w:rsidP="005F18E0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5F18E0">
              <w:rPr>
                <w:rFonts w:ascii="Arial" w:hAnsi="Arial" w:cs="Arial"/>
                <w:sz w:val="22"/>
                <w:szCs w:val="22"/>
                <w:lang w:val="es-CR"/>
              </w:rPr>
              <w:t>17.2. Se promoverá la cooperación  institucional e interinstitucional   para lograr  un mayor  acceso a la educación superior de los sectores vulnerables.</w:t>
            </w:r>
          </w:p>
        </w:tc>
      </w:tr>
    </w:tbl>
    <w:p w:rsidR="005F18E0" w:rsidRPr="005F18E0" w:rsidRDefault="005F18E0" w:rsidP="005F18E0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5F18E0" w:rsidRPr="005F18E0" w:rsidRDefault="005F18E0" w:rsidP="005F18E0">
      <w:pPr>
        <w:jc w:val="both"/>
        <w:rPr>
          <w:rFonts w:ascii="Arial" w:hAnsi="Arial" w:cs="Arial"/>
          <w:lang w:val="es-CR"/>
        </w:rPr>
      </w:pPr>
    </w:p>
    <w:p w:rsidR="005F18E0" w:rsidRPr="005F18E0" w:rsidRDefault="005F18E0" w:rsidP="005F18E0">
      <w:pPr>
        <w:tabs>
          <w:tab w:val="left" w:pos="3070"/>
        </w:tabs>
        <w:contextualSpacing/>
        <w:jc w:val="both"/>
        <w:outlineLvl w:val="0"/>
        <w:rPr>
          <w:rFonts w:ascii="Arial" w:hAnsi="Arial" w:cs="Arial"/>
          <w:b/>
          <w:lang w:val="es-CR"/>
        </w:rPr>
      </w:pPr>
      <w:r w:rsidRPr="005F18E0">
        <w:rPr>
          <w:rFonts w:ascii="Arial" w:hAnsi="Arial" w:cs="Arial"/>
          <w:b/>
          <w:lang w:val="es-CR"/>
        </w:rPr>
        <w:t>CONSIDERANDO QUE:</w:t>
      </w:r>
    </w:p>
    <w:p w:rsidR="005F18E0" w:rsidRPr="005F18E0" w:rsidRDefault="005F18E0" w:rsidP="005F18E0">
      <w:pPr>
        <w:tabs>
          <w:tab w:val="left" w:pos="3070"/>
        </w:tabs>
        <w:contextualSpacing/>
        <w:jc w:val="both"/>
        <w:outlineLvl w:val="0"/>
        <w:rPr>
          <w:rFonts w:ascii="Arial" w:hAnsi="Arial" w:cs="Arial"/>
          <w:b/>
          <w:lang w:val="es-CR"/>
        </w:rPr>
      </w:pPr>
    </w:p>
    <w:p w:rsidR="005F18E0" w:rsidRPr="005F18E0" w:rsidRDefault="005F18E0" w:rsidP="005F18E0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Arial" w:hAnsi="Arial" w:cs="Arial"/>
          <w:lang w:val="es-ES_tradnl"/>
        </w:rPr>
      </w:pPr>
      <w:r w:rsidRPr="005F18E0">
        <w:rPr>
          <w:rFonts w:ascii="Arial" w:hAnsi="Arial" w:cs="Arial"/>
          <w:lang w:val="es-ES_tradnl"/>
        </w:rPr>
        <w:t xml:space="preserve">La Secretaría del Consejo Institucional, recibe mediante correo electrónico, con fecha de recibido 13 de abril de 2018, observaciones a la Consulta Políticas Específicas 2019, elaborada por la Dra. </w:t>
      </w:r>
      <w:proofErr w:type="spellStart"/>
      <w:r w:rsidRPr="005F18E0">
        <w:rPr>
          <w:rFonts w:ascii="Arial" w:hAnsi="Arial" w:cs="Arial"/>
          <w:lang w:val="es-ES_tradnl"/>
        </w:rPr>
        <w:t>Lilliana</w:t>
      </w:r>
      <w:proofErr w:type="spellEnd"/>
      <w:r w:rsidRPr="005F18E0">
        <w:rPr>
          <w:rFonts w:ascii="Arial" w:hAnsi="Arial" w:cs="Arial"/>
          <w:lang w:val="es-ES_tradnl"/>
        </w:rPr>
        <w:t xml:space="preserve"> Harley Jiménez, funcionaria del Departamento de Trabajo Social y Salud. </w:t>
      </w:r>
    </w:p>
    <w:p w:rsidR="005F18E0" w:rsidRPr="005F18E0" w:rsidRDefault="005F18E0" w:rsidP="005F18E0">
      <w:pPr>
        <w:ind w:left="708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:rsidR="005F18E0" w:rsidRPr="005F18E0" w:rsidRDefault="005F18E0" w:rsidP="005F18E0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Arial" w:hAnsi="Arial" w:cs="Arial"/>
          <w:lang w:val="es-ES_tradnl"/>
        </w:rPr>
      </w:pPr>
      <w:r w:rsidRPr="005F18E0">
        <w:rPr>
          <w:rFonts w:ascii="Arial" w:hAnsi="Arial" w:cs="Arial"/>
          <w:lang w:val="es-ES_tradnl"/>
        </w:rPr>
        <w:t>Al vencimiento del plazo concedido en la consulta únicamente se recibieron las observaciones citadas en el Considerando anterior.</w:t>
      </w:r>
    </w:p>
    <w:p w:rsidR="005F18E0" w:rsidRPr="005F18E0" w:rsidRDefault="005F18E0" w:rsidP="005F18E0">
      <w:pPr>
        <w:jc w:val="both"/>
        <w:rPr>
          <w:rFonts w:ascii="Arial" w:hAnsi="Arial" w:cs="Arial"/>
          <w:sz w:val="20"/>
          <w:szCs w:val="20"/>
          <w:highlight w:val="yellow"/>
          <w:lang w:val="es-CR"/>
        </w:rPr>
      </w:pPr>
    </w:p>
    <w:p w:rsidR="005F18E0" w:rsidRPr="005F18E0" w:rsidRDefault="005F18E0" w:rsidP="005F18E0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Arial" w:hAnsi="Arial" w:cs="Arial"/>
          <w:lang w:val="es-ES_tradnl"/>
        </w:rPr>
      </w:pPr>
      <w:r w:rsidRPr="005F18E0">
        <w:rPr>
          <w:rFonts w:ascii="Arial" w:hAnsi="Arial" w:cs="Arial"/>
          <w:lang w:val="es-ES_tradnl"/>
        </w:rPr>
        <w:t xml:space="preserve">La Comisión de Planificación y Administración en las reuniones Nos.  767 y 768-2018, realiza la revisión de las observaciones </w:t>
      </w:r>
      <w:proofErr w:type="spellStart"/>
      <w:r w:rsidRPr="005F18E0">
        <w:rPr>
          <w:rFonts w:ascii="Arial" w:hAnsi="Arial" w:cs="Arial"/>
          <w:lang w:val="es-ES_tradnl"/>
        </w:rPr>
        <w:t>supracitadas</w:t>
      </w:r>
      <w:proofErr w:type="spellEnd"/>
      <w:r w:rsidRPr="005F18E0">
        <w:rPr>
          <w:rFonts w:ascii="Arial" w:hAnsi="Arial" w:cs="Arial"/>
          <w:lang w:val="es-ES_tradnl"/>
        </w:rPr>
        <w:t xml:space="preserve">, </w:t>
      </w:r>
      <w:bookmarkStart w:id="1" w:name="_Toc272225920"/>
      <w:bookmarkStart w:id="2" w:name="_Toc272238511"/>
      <w:bookmarkStart w:id="3" w:name="_Toc274319984"/>
      <w:r w:rsidRPr="005F18E0">
        <w:rPr>
          <w:rFonts w:ascii="Arial" w:hAnsi="Arial" w:cs="Arial"/>
          <w:lang w:val="es-ES_tradnl"/>
        </w:rPr>
        <w:t>incorpora los cambios que considera oportunos y se dispone elevar la propuesta al Pleno.</w:t>
      </w:r>
    </w:p>
    <w:p w:rsidR="005F18E0" w:rsidRPr="005F18E0" w:rsidRDefault="005F18E0" w:rsidP="005F18E0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5F18E0" w:rsidRPr="005F18E0" w:rsidRDefault="005F18E0" w:rsidP="005F18E0">
      <w:pPr>
        <w:jc w:val="both"/>
        <w:rPr>
          <w:rFonts w:ascii="Arial" w:hAnsi="Arial" w:cs="Arial"/>
          <w:b/>
          <w:lang w:val="es-CR"/>
        </w:rPr>
      </w:pPr>
      <w:r w:rsidRPr="005F18E0">
        <w:rPr>
          <w:rFonts w:ascii="Arial" w:hAnsi="Arial" w:cs="Arial"/>
          <w:b/>
          <w:lang w:val="es-CR"/>
        </w:rPr>
        <w:t>SE</w:t>
      </w:r>
      <w:r>
        <w:rPr>
          <w:rFonts w:ascii="Arial" w:hAnsi="Arial" w:cs="Arial"/>
          <w:b/>
          <w:lang w:val="es-CR"/>
        </w:rPr>
        <w:t xml:space="preserve"> ACUERDA</w:t>
      </w:r>
      <w:r w:rsidRPr="005F18E0">
        <w:rPr>
          <w:rFonts w:ascii="Arial" w:hAnsi="Arial" w:cs="Arial"/>
          <w:b/>
          <w:lang w:val="es-CR"/>
        </w:rPr>
        <w:t>:</w:t>
      </w:r>
    </w:p>
    <w:p w:rsidR="005F18E0" w:rsidRPr="005F18E0" w:rsidRDefault="005F18E0" w:rsidP="005F18E0">
      <w:pPr>
        <w:jc w:val="both"/>
        <w:rPr>
          <w:rFonts w:ascii="Arial" w:hAnsi="Arial" w:cs="Arial"/>
        </w:rPr>
      </w:pPr>
    </w:p>
    <w:p w:rsidR="005F18E0" w:rsidRPr="005F18E0" w:rsidRDefault="005F18E0" w:rsidP="005F18E0">
      <w:pPr>
        <w:numPr>
          <w:ilvl w:val="0"/>
          <w:numId w:val="6"/>
        </w:numPr>
        <w:ind w:left="378" w:right="-91"/>
        <w:jc w:val="both"/>
        <w:rPr>
          <w:rFonts w:ascii="Arial" w:hAnsi="Arial" w:cs="Arial"/>
          <w:lang w:val="es-CR"/>
        </w:rPr>
      </w:pPr>
      <w:r w:rsidRPr="005F18E0">
        <w:rPr>
          <w:rFonts w:ascii="Arial" w:hAnsi="Arial" w:cs="Arial"/>
          <w:lang w:val="es-CR"/>
        </w:rPr>
        <w:t>Aprobar las siguientes Políticas Específicas 2019, que regirán a partir del 1° de enero de 2019.</w:t>
      </w:r>
      <w:bookmarkEnd w:id="1"/>
      <w:bookmarkEnd w:id="2"/>
      <w:bookmarkEnd w:id="3"/>
    </w:p>
    <w:p w:rsidR="005F18E0" w:rsidRPr="005F18E0" w:rsidRDefault="005F18E0" w:rsidP="005F18E0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Style w:val="TableNormal"/>
        <w:tblW w:w="5000" w:type="pct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5712"/>
      </w:tblGrid>
      <w:tr w:rsidR="005F18E0" w:rsidRPr="005F18E0" w:rsidTr="004955E1">
        <w:trPr>
          <w:trHeight w:val="959"/>
          <w:tblHeader/>
          <w:jc w:val="center"/>
        </w:trPr>
        <w:tc>
          <w:tcPr>
            <w:tcW w:w="1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POLÍTICAS GENERALES </w:t>
            </w:r>
          </w:p>
          <w:p w:rsidR="005F18E0" w:rsidRPr="005F18E0" w:rsidRDefault="005F18E0" w:rsidP="005F18E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>2015-2019</w:t>
            </w:r>
          </w:p>
        </w:tc>
        <w:tc>
          <w:tcPr>
            <w:tcW w:w="3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Propuesta </w:t>
            </w:r>
          </w:p>
          <w:p w:rsidR="005F18E0" w:rsidRPr="005F18E0" w:rsidRDefault="005F18E0" w:rsidP="005F18E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Consejo Institucional</w:t>
            </w:r>
            <w:r w:rsidRPr="005F18E0">
              <w:rPr>
                <w:rFonts w:ascii="Arial" w:hAnsi="Arial" w:cs="Arial"/>
                <w:b/>
                <w:bCs/>
                <w:strike/>
                <w:sz w:val="20"/>
                <w:szCs w:val="20"/>
                <w:lang w:val="es-CR"/>
              </w:rPr>
              <w:t xml:space="preserve"> </w:t>
            </w:r>
          </w:p>
        </w:tc>
      </w:tr>
      <w:tr w:rsidR="005F18E0" w:rsidRPr="005F18E0" w:rsidTr="004955E1">
        <w:trPr>
          <w:trHeight w:val="610"/>
          <w:jc w:val="center"/>
        </w:trPr>
        <w:tc>
          <w:tcPr>
            <w:tcW w:w="18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1.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desarrollarán programas  académicos  en las áreas de ciencia y tecnología en concordancia con los ejes de conocimiento estratégicos, los fines y principios institucionales y con lo establecido en la Ley Orgánica del ITCR.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. Se crearán y fortalecerán los programas académicos de grado y posgrado en las áreas de ciencia y tecnología en consonancia con los ejes transversales del Modelo Académico aprobado en el III Congreso Institucional. </w:t>
            </w:r>
          </w:p>
        </w:tc>
      </w:tr>
      <w:tr w:rsidR="005F18E0" w:rsidRPr="005F18E0" w:rsidTr="004955E1">
        <w:trPr>
          <w:trHeight w:val="7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1.2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  Se crearán y fortalecerán los  programas de formación  técnica en </w:t>
            </w:r>
            <w:proofErr w:type="spellStart"/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>coadyuvancia</w:t>
            </w:r>
            <w:proofErr w:type="spellEnd"/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con FUNDATEC, en áreas donde el TEC tenga fortalezas académicas y exista alta demanda en el mercado laboral.</w:t>
            </w:r>
          </w:p>
        </w:tc>
      </w:tr>
      <w:tr w:rsidR="005F18E0" w:rsidRPr="005F18E0" w:rsidTr="004955E1">
        <w:trPr>
          <w:trHeight w:val="6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1.3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consolidarán los procesos de autoevaluación, acreditación y </w:t>
            </w:r>
            <w:proofErr w:type="spellStart"/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>reacreditación</w:t>
            </w:r>
            <w:proofErr w:type="spellEnd"/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de programas de grado y posgrado.</w:t>
            </w:r>
          </w:p>
        </w:tc>
      </w:tr>
      <w:tr w:rsidR="005F18E0" w:rsidRPr="005F18E0" w:rsidTr="004955E1">
        <w:trPr>
          <w:trHeight w:val="601"/>
          <w:jc w:val="center"/>
        </w:trPr>
        <w:tc>
          <w:tcPr>
            <w:tcW w:w="1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2. 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 xml:space="preserve">Se destinarán los recursos presupuestarios necesarios para la planificación, ejecución, control y evaluación exitosa de los programas académicos, vida estudiantil y apoyo a la academia acorde con los ejes de conocimiento estratégicos. 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2.1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fortalecerán las acciones para generación, atracción y asignación de recursos presupuestarios destinados al mejoramiento del quehacer académico, los  programas y servicios estudiantiles y de apoyo a la academia.</w:t>
            </w:r>
          </w:p>
        </w:tc>
      </w:tr>
      <w:tr w:rsidR="005F18E0" w:rsidRPr="005F18E0" w:rsidTr="004955E1">
        <w:trPr>
          <w:trHeight w:val="610"/>
          <w:jc w:val="center"/>
        </w:trPr>
        <w:tc>
          <w:tcPr>
            <w:tcW w:w="18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3.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 xml:space="preserve">Se estimulará la visión global, la cultura de la comunicación, la sostenibilidad ambiental, los procesos de internacionalización y la consolidación del </w:t>
            </w:r>
            <w:proofErr w:type="spellStart"/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emprendedurismo</w:t>
            </w:r>
            <w:proofErr w:type="spellEnd"/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 xml:space="preserve"> en los programas académicos.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3.1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>. Se impulsarán los procesos de internacionalización académica con miras a lograr realimentación del quehacer y de gestión, de la cooperación continua, la comunicación, proyección global y la comunicación de resultados.</w:t>
            </w:r>
          </w:p>
        </w:tc>
      </w:tr>
      <w:tr w:rsidR="005F18E0" w:rsidRPr="005F18E0" w:rsidTr="004955E1">
        <w:trPr>
          <w:trHeight w:val="6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3.2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estimulará el desarrollo del emprendimiento e innovación en los procesos de enseñanza-aprendizaje.</w:t>
            </w:r>
          </w:p>
        </w:tc>
      </w:tr>
      <w:tr w:rsidR="005F18E0" w:rsidRPr="005F18E0" w:rsidTr="004955E1">
        <w:trPr>
          <w:trHeight w:val="6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3.3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promoverá una conciencia hacia la sostenibilidad ambiental, económica, social y cultural y con  los derechos humanos.</w:t>
            </w:r>
          </w:p>
        </w:tc>
      </w:tr>
      <w:tr w:rsidR="005F18E0" w:rsidRPr="005F18E0" w:rsidTr="004955E1">
        <w:trPr>
          <w:trHeight w:val="867"/>
          <w:jc w:val="center"/>
        </w:trPr>
        <w:tc>
          <w:tcPr>
            <w:tcW w:w="1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4.</w:t>
            </w: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planificarán y ejecutarán los procesos académicos, vida estudiantil y apoyo a la academia orientados a favorecer el impacto positivo sobre la salud integral y el ambiente.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4.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fortalecerá el desarrollo y mejoramiento continuo de los sistemas de gestión de los procesos institucionales, que incluyan los aspectos de ambiente, calidad, seguridad, salud integral y equidad</w:t>
            </w:r>
          </w:p>
        </w:tc>
      </w:tr>
      <w:tr w:rsidR="005F18E0" w:rsidRPr="005F18E0" w:rsidTr="004955E1">
        <w:trPr>
          <w:trHeight w:val="610"/>
          <w:jc w:val="center"/>
        </w:trPr>
        <w:tc>
          <w:tcPr>
            <w:tcW w:w="1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5. 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potenciará el desarrollo del profesorado en aspectos pedagógicos  y propios de su disciplina para alcanzar la excelencia académica desde una perspectiva humanística y multidisciplinaria.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5.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fortalecerá la formación del profesorado en los aspectos propios de su disciplina, pedagógicos  y en materia de derechos humanos.</w:t>
            </w:r>
          </w:p>
        </w:tc>
      </w:tr>
      <w:tr w:rsidR="005F18E0" w:rsidRPr="005F18E0" w:rsidTr="004955E1">
        <w:trPr>
          <w:trHeight w:val="1245"/>
          <w:jc w:val="center"/>
        </w:trPr>
        <w:tc>
          <w:tcPr>
            <w:tcW w:w="1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6.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 xml:space="preserve">Se incrementará la formación, capacitación y superación del personal para alcanzar la excelencia desde una perspectiva humanística que contemple el compromiso con la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lastRenderedPageBreak/>
              <w:t>equidad, el ambiente y una cultura de paz.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lastRenderedPageBreak/>
              <w:t>6.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fortalecerá la formación, capacitación y entrenamiento que contemple las necesidades de las dependencias, a partir de las prioridades Institucionales.</w:t>
            </w:r>
          </w:p>
        </w:tc>
      </w:tr>
      <w:tr w:rsidR="005F18E0" w:rsidRPr="005F18E0" w:rsidTr="004955E1">
        <w:trPr>
          <w:trHeight w:val="1086"/>
          <w:jc w:val="center"/>
        </w:trPr>
        <w:tc>
          <w:tcPr>
            <w:tcW w:w="18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120" w:after="12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7.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desarrollarán proyectos de investigación, extensión, acción social y desarrollo tecnológico, innovadores y de impacto científico, tecnológico y social conforme a los fines, principios, valores institucionales y a los ejes de conocimiento estratégicos.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120" w:after="12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7.1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mejorarán las capacidades de las instancias institucionales para el fortalecimiento de los proyectos de  investigación, extensión y acción social, según los ejes de conocimiento estratégicos y  transversales.</w:t>
            </w:r>
          </w:p>
        </w:tc>
      </w:tr>
      <w:tr w:rsidR="005F18E0" w:rsidRPr="005F18E0" w:rsidTr="004955E1">
        <w:trPr>
          <w:trHeight w:val="10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120" w:after="12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7.2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  implementarán estrategias de búsqueda de recursos financieros nacionales e internacionales para fortalecer el desarrollo de la investigación, la extensión, la cooperación, intercambio estudiantil, la acción social, la innovación,  el desarrollo científico y tecnológico y el desarrollo regional.</w:t>
            </w:r>
          </w:p>
        </w:tc>
      </w:tr>
      <w:tr w:rsidR="005F18E0" w:rsidRPr="005F18E0" w:rsidTr="004955E1">
        <w:trPr>
          <w:trHeight w:val="1013"/>
          <w:jc w:val="center"/>
        </w:trPr>
        <w:tc>
          <w:tcPr>
            <w:tcW w:w="18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8. 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desarrollarán estrategias que contribuyan a mejorar el acceso, la vida estudiantil, la formación integral y el éxito académico para los estudiantes del ITCR, procurando la equidad de condiciones para las poblaciones vulnerables y de bajo nivel socioeconómico.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120" w:after="12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8.1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crearán y fortalecerán los programas existentes para el acceso, la formación integral, el bienestar estudiantil, la permanencia óptima y la graduación exitosa de los estudiantes.</w:t>
            </w:r>
          </w:p>
        </w:tc>
      </w:tr>
      <w:tr w:rsidR="005F18E0" w:rsidRPr="005F18E0" w:rsidTr="004955E1">
        <w:trPr>
          <w:trHeight w:val="11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120" w:after="12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8.2.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desarrollarán acciones en la comunidad Institucional,  para lograr una vida estudiantil integral e impulsar la equidad, igualdad de oportunidades, libertad de expresión, diversidad, respeto a la cultura y al origen étnico, de manera que se logre articular y atender las necesidades del estudiante en su contexto socio cultural.</w:t>
            </w:r>
          </w:p>
        </w:tc>
      </w:tr>
      <w:tr w:rsidR="005F18E0" w:rsidRPr="005F18E0" w:rsidTr="004955E1">
        <w:trPr>
          <w:trHeight w:val="1612"/>
          <w:jc w:val="center"/>
        </w:trPr>
        <w:tc>
          <w:tcPr>
            <w:tcW w:w="1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9. 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 xml:space="preserve">Se promoverán los procesos de investigación, extensión y de desarrollo tecnológico integrados a la enseñanza aprendizaje en los niveles de grado y posgrado. 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9.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integrarán en la enseñanza y aprendizaje los procesos y proyectos de investigación,   extensión, acción social, cooperación y de desarrollo tecnológico, que estimulen la formación y participación estudiantil.</w:t>
            </w:r>
          </w:p>
        </w:tc>
      </w:tr>
      <w:tr w:rsidR="005F18E0" w:rsidRPr="005F18E0" w:rsidTr="004955E1">
        <w:trPr>
          <w:trHeight w:val="674"/>
          <w:jc w:val="center"/>
        </w:trPr>
        <w:tc>
          <w:tcPr>
            <w:tcW w:w="18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>10.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 xml:space="preserve"> Se mantendrá la vinculación permanente con los graduados con el propósito de retroalimentar el quehacer institucional y de fomentar su incorporación exitosa en el mercado laboral.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120" w:after="12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10.1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desarrollarán actividades de vinculación con los graduados u organizaciones  que los representen, para fortalecer el quehacer institucional.</w:t>
            </w:r>
          </w:p>
        </w:tc>
      </w:tr>
      <w:tr w:rsidR="005F18E0" w:rsidRPr="005F18E0" w:rsidTr="004955E1">
        <w:trPr>
          <w:trHeight w:val="7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10.2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fortalecerán los programas de educación continua para los graduados, que permitan ampliar e incidir de forma oportuna y pertinente en su perfil profesional, según las necesidades vigentes del sector laboral y necesidades del  país.</w:t>
            </w:r>
          </w:p>
        </w:tc>
      </w:tr>
      <w:tr w:rsidR="005F18E0" w:rsidRPr="005F18E0" w:rsidTr="004955E1">
        <w:trPr>
          <w:trHeight w:val="830"/>
          <w:jc w:val="center"/>
        </w:trPr>
        <w:tc>
          <w:tcPr>
            <w:tcW w:w="1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>11.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 xml:space="preserve">  Se desarrollará la prestación de servicios a terceros como una forma de vinculación con la sociedad y fuente adicional de financiamiento, atendiendo a los fines y principios de la Institución, sin que vaya en detrimento de la academia ni el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lastRenderedPageBreak/>
              <w:t>ambiente y no represente una competencia desleal a terceros.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lastRenderedPageBreak/>
              <w:t>11.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fomentará la prestación de servicios en temas expertos desde las competencias académicas de cada unidad operativa con carácter remunerado a nivel nacional e internacional.</w:t>
            </w:r>
          </w:p>
        </w:tc>
      </w:tr>
      <w:tr w:rsidR="005F18E0" w:rsidRPr="005F18E0" w:rsidTr="004955E1">
        <w:trPr>
          <w:trHeight w:val="830"/>
          <w:jc w:val="center"/>
        </w:trPr>
        <w:tc>
          <w:tcPr>
            <w:tcW w:w="1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 12.  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fortalecerá la asignación de recursos para la extensión y acción social de manera que se logre una mayor proyección institucional en el ámbito sociocultural, productivo y organizativo.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12.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asignará recursos para la extensión y la acción social en los programas, proyectos y actividades institucionales, fundamentados en los ejes de conocimiento estratégicos y transversales, que respondan a las necesidades de los diferentes sectores.</w:t>
            </w:r>
          </w:p>
        </w:tc>
      </w:tr>
      <w:tr w:rsidR="005F18E0" w:rsidRPr="005F18E0" w:rsidTr="004955E1">
        <w:trPr>
          <w:trHeight w:val="830"/>
          <w:jc w:val="center"/>
        </w:trPr>
        <w:tc>
          <w:tcPr>
            <w:tcW w:w="1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13.  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fortalecerá el trabajo conjunto  en áreas estratégicas con las universidades que conforman el Sistema de  Educación Superior Universitario Público.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13.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impulsarán actividades, proyectos o programas conjuntos entre las universidades que conforman el Sistema de Educación Superior Universitario Público.</w:t>
            </w:r>
          </w:p>
        </w:tc>
      </w:tr>
      <w:tr w:rsidR="005F18E0" w:rsidRPr="005F18E0" w:rsidTr="004955E1">
        <w:trPr>
          <w:trHeight w:val="1196"/>
          <w:jc w:val="center"/>
        </w:trPr>
        <w:tc>
          <w:tcPr>
            <w:tcW w:w="1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14.  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incrementará la formación, la capacitación y la superación de la comunidad institucional en la formulación, el desarrollo sostenible y la administración de proyectos, actividades de acción social y prestación de servicios.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14.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impulsarán programas de capacitación y formación de la comunidad institucional que contribuyan al logro de los objetivos institucionales en el desarrollo de programas,  proyectos, actividades de generación y atracción de recursos.</w:t>
            </w:r>
          </w:p>
        </w:tc>
      </w:tr>
      <w:tr w:rsidR="005F18E0" w:rsidRPr="005F18E0" w:rsidTr="004955E1">
        <w:trPr>
          <w:trHeight w:val="559"/>
          <w:jc w:val="center"/>
        </w:trPr>
        <w:tc>
          <w:tcPr>
            <w:tcW w:w="18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>15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. Los procesos institucionales se desarrollarán con excelencia, sustentados en la evaluación continua que involucre a los usuarios directos.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15.1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promoverá la incorporación de buenas prácticas de gestión orientadas al mejoramiento de los procesos, los proyectos y las funciones que se desarrollan en la Institución, ofreciendo prioridad a aquellos que tengan alto impacto en la relación con los usuarios directos. </w:t>
            </w:r>
          </w:p>
        </w:tc>
      </w:tr>
      <w:tr w:rsidR="005F18E0" w:rsidRPr="005F18E0" w:rsidTr="004955E1">
        <w:trPr>
          <w:trHeight w:val="5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15.2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fortalecerá el uso de las tecnologías digitales que permita integrar  los procesos institucionales.</w:t>
            </w:r>
          </w:p>
        </w:tc>
      </w:tr>
      <w:tr w:rsidR="005F18E0" w:rsidRPr="005F18E0" w:rsidTr="004955E1">
        <w:trPr>
          <w:trHeight w:val="1050"/>
          <w:jc w:val="center"/>
        </w:trPr>
        <w:tc>
          <w:tcPr>
            <w:tcW w:w="18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t xml:space="preserve">16.  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ejecutarán los recursos asignados a la Institución de manera oportuna, eficiente,   racional y transparente y se promoverá la consecución de fondos nacionales e internacionales que favorezcan el desarrollo y el impacto del quehacer  de la Institución en la sociedad.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16.1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implementarán acciones concretas para asegurar una ejecución oportuna, eficiente y transparente de los recursos asignados a la Institución, así como la rendición de cuentas a la sociedad.</w:t>
            </w:r>
          </w:p>
        </w:tc>
      </w:tr>
      <w:tr w:rsidR="005F18E0" w:rsidRPr="005F18E0" w:rsidTr="004955E1">
        <w:trPr>
          <w:trHeight w:val="10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16.2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promoverá la consecución de nuevos recursos en coordinación con las instancias institucionales y actores sociales externos, que permitan incrementar y mejorar  la oferta de programas académicos, la vida estudiantil y el apoyo a la academia.</w:t>
            </w:r>
          </w:p>
        </w:tc>
      </w:tr>
      <w:tr w:rsidR="005F18E0" w:rsidRPr="005F18E0" w:rsidTr="004955E1">
        <w:trPr>
          <w:trHeight w:val="793"/>
          <w:jc w:val="center"/>
        </w:trPr>
        <w:tc>
          <w:tcPr>
            <w:tcW w:w="18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  <w:lastRenderedPageBreak/>
              <w:t xml:space="preserve">17.   </w:t>
            </w:r>
            <w:r w:rsidRPr="005F18E0">
              <w:rPr>
                <w:rFonts w:ascii="Arial" w:hAnsi="Arial" w:cs="Arial"/>
                <w:color w:val="000000"/>
                <w:sz w:val="20"/>
                <w:szCs w:val="20"/>
                <w:lang w:val="es-CR"/>
              </w:rPr>
              <w:t>Se desarrollarán acciones en  distintas regiones para ampliar el acceso a la educación superior y contribuir con el desarrollo integral de la población, con atención a  necesidades de grupos vulnerables, en condición de desventaja social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17.1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fortalecerán las acciones para brindar mayor acceso a la educación técnica y superior en distintas regiones del país, así como a la población de grupos vulnerables o en condición de desventaja social.</w:t>
            </w:r>
          </w:p>
        </w:tc>
      </w:tr>
      <w:tr w:rsidR="005F18E0" w:rsidRPr="005F18E0" w:rsidTr="004955E1">
        <w:trPr>
          <w:trHeight w:val="7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0" w:rsidRPr="005F18E0" w:rsidRDefault="005F18E0" w:rsidP="005F18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/>
              </w:rPr>
            </w:pP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8E0" w:rsidRPr="005F18E0" w:rsidRDefault="005F18E0" w:rsidP="005F18E0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F18E0">
              <w:rPr>
                <w:rFonts w:ascii="Arial" w:hAnsi="Arial" w:cs="Arial"/>
                <w:b/>
                <w:sz w:val="20"/>
                <w:szCs w:val="20"/>
                <w:lang w:val="es-CR"/>
              </w:rPr>
              <w:t>17.2.</w:t>
            </w:r>
            <w:r w:rsidRPr="005F18E0">
              <w:rPr>
                <w:rFonts w:ascii="Arial" w:hAnsi="Arial" w:cs="Arial"/>
                <w:sz w:val="20"/>
                <w:szCs w:val="20"/>
                <w:lang w:val="es-CR"/>
              </w:rPr>
              <w:t xml:space="preserve"> Se promoverá la cooperación  institucional e interinstitucional   para lograr  un mayor  acceso a la educación superior de los sectores vulnerables.</w:t>
            </w:r>
          </w:p>
        </w:tc>
      </w:tr>
    </w:tbl>
    <w:p w:rsidR="005F18E0" w:rsidRPr="005F18E0" w:rsidRDefault="005F18E0" w:rsidP="005F18E0">
      <w:pPr>
        <w:rPr>
          <w:sz w:val="20"/>
          <w:szCs w:val="20"/>
          <w:lang w:val="es-CR"/>
        </w:rPr>
      </w:pPr>
    </w:p>
    <w:p w:rsidR="00BD6FFA" w:rsidRDefault="00BD6FFA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BD6FFA" w:rsidRPr="005F18E0" w:rsidRDefault="00BD6FFA" w:rsidP="005F18E0">
      <w:pPr>
        <w:numPr>
          <w:ilvl w:val="0"/>
          <w:numId w:val="6"/>
        </w:numPr>
        <w:ind w:left="378" w:right="-91"/>
        <w:jc w:val="both"/>
        <w:rPr>
          <w:rFonts w:ascii="Arial" w:eastAsia="Calibri" w:hAnsi="Arial" w:cs="Arial"/>
          <w:lang w:eastAsia="es-CR"/>
        </w:rPr>
      </w:pPr>
      <w:r w:rsidRPr="00BD6FFA">
        <w:rPr>
          <w:rFonts w:ascii="Arial" w:eastAsia="Calibri" w:hAnsi="Arial" w:cs="Arial"/>
          <w:lang w:eastAsia="es-CR"/>
        </w:rPr>
        <w:t xml:space="preserve">Comunicar.  </w:t>
      </w:r>
      <w:r w:rsidRPr="00BD6FFA">
        <w:rPr>
          <w:rFonts w:ascii="Arial" w:eastAsia="Calibri" w:hAnsi="Arial" w:cs="Arial"/>
          <w:b/>
          <w:lang w:eastAsia="es-CR"/>
        </w:rPr>
        <w:t>ACUERDO FIRME.</w:t>
      </w:r>
    </w:p>
    <w:p w:rsidR="005F18E0" w:rsidRPr="00BD6FFA" w:rsidRDefault="005F18E0" w:rsidP="005F18E0">
      <w:pPr>
        <w:contextualSpacing/>
        <w:jc w:val="both"/>
        <w:rPr>
          <w:rFonts w:ascii="Arial" w:eastAsia="Calibri" w:hAnsi="Arial" w:cs="Arial"/>
          <w:lang w:eastAsia="es-CR"/>
        </w:rPr>
      </w:pPr>
    </w:p>
    <w:p w:rsidR="005F18E0" w:rsidRPr="005F18E0" w:rsidRDefault="005F18E0" w:rsidP="005F18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5F18E0">
        <w:rPr>
          <w:rFonts w:ascii="Arial" w:hAnsi="Arial" w:cs="Arial"/>
          <w:b/>
          <w:sz w:val="22"/>
          <w:szCs w:val="22"/>
          <w:lang w:val="es-CR"/>
        </w:rPr>
        <w:t xml:space="preserve">PALABRAS CLAVE:   </w:t>
      </w:r>
      <w:proofErr w:type="gramStart"/>
      <w:r w:rsidRPr="005F18E0">
        <w:rPr>
          <w:rFonts w:ascii="Arial" w:hAnsi="Arial" w:cs="Arial"/>
          <w:b/>
          <w:sz w:val="22"/>
          <w:szCs w:val="22"/>
          <w:lang w:val="es-CR"/>
        </w:rPr>
        <w:t>Políticas  –</w:t>
      </w:r>
      <w:proofErr w:type="gramEnd"/>
      <w:r w:rsidRPr="005F18E0">
        <w:rPr>
          <w:rFonts w:ascii="Arial" w:hAnsi="Arial" w:cs="Arial"/>
          <w:b/>
          <w:sz w:val="22"/>
          <w:szCs w:val="22"/>
          <w:lang w:val="es-CR"/>
        </w:rPr>
        <w:t xml:space="preserve"> Específicas  -  2019</w:t>
      </w:r>
    </w:p>
    <w:p w:rsidR="005F18E0" w:rsidRPr="005F18E0" w:rsidRDefault="005F18E0" w:rsidP="005F18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5F18E0" w:rsidRDefault="005F18E0" w:rsidP="005F18E0">
      <w:pPr>
        <w:jc w:val="both"/>
        <w:rPr>
          <w:rFonts w:ascii="Arial" w:eastAsia="Cambria" w:hAnsi="Arial" w:cs="Arial"/>
          <w:lang w:val="es-ES_tradnl" w:eastAsia="en-US"/>
        </w:rPr>
      </w:pPr>
    </w:p>
    <w:p w:rsidR="00BD6FFA" w:rsidRDefault="00BD6FFA" w:rsidP="00BD6FFA">
      <w:pPr>
        <w:jc w:val="both"/>
        <w:rPr>
          <w:rFonts w:ascii="Arial" w:eastAsia="Calibri" w:hAnsi="Arial" w:cs="Arial"/>
          <w:color w:val="000000"/>
          <w:lang w:val="es-CR" w:eastAsia="en-US"/>
        </w:rPr>
      </w:pPr>
    </w:p>
    <w:p w:rsidR="00253D00" w:rsidRDefault="00253D00" w:rsidP="00CE458D">
      <w:pPr>
        <w:jc w:val="both"/>
        <w:rPr>
          <w:rFonts w:ascii="Arial" w:eastAsia="Cambria" w:hAnsi="Arial" w:cs="Arial"/>
          <w:b/>
          <w:color w:val="000000"/>
          <w:lang w:val="es-ES_tradnl" w:eastAsia="en-US"/>
        </w:rPr>
      </w:pPr>
    </w:p>
    <w:tbl>
      <w:tblPr>
        <w:tblpPr w:leftFromText="142" w:rightFromText="142" w:vertAnchor="text" w:horzAnchor="margin" w:tblpY="1"/>
        <w:tblOverlap w:val="never"/>
        <w:tblW w:w="18186" w:type="dxa"/>
        <w:tblLook w:val="04A0" w:firstRow="1" w:lastRow="0" w:firstColumn="1" w:lastColumn="0" w:noHBand="0" w:noVBand="1"/>
      </w:tblPr>
      <w:tblGrid>
        <w:gridCol w:w="4361"/>
        <w:gridCol w:w="4361"/>
        <w:gridCol w:w="4361"/>
        <w:gridCol w:w="5103"/>
      </w:tblGrid>
      <w:tr w:rsidR="00CE7F7E" w:rsidRPr="00474B22" w:rsidTr="00B90A66">
        <w:trPr>
          <w:trHeight w:val="183"/>
        </w:trPr>
        <w:tc>
          <w:tcPr>
            <w:tcW w:w="4361" w:type="dxa"/>
          </w:tcPr>
          <w:p w:rsidR="00F4695B" w:rsidRPr="00474B22" w:rsidRDefault="00F4695B" w:rsidP="00B90A66">
            <w:pP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D23962">
            <w:pPr>
              <w:ind w:left="720" w:hanging="720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5103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</w:tbl>
    <w:p w:rsidR="00D23962" w:rsidRPr="00474B22" w:rsidRDefault="00D23962" w:rsidP="00EB0F82">
      <w:pPr>
        <w:jc w:val="both"/>
        <w:rPr>
          <w:rFonts w:ascii="Arial" w:eastAsia="Cambria" w:hAnsi="Arial" w:cs="Arial"/>
          <w:b/>
          <w:sz w:val="16"/>
          <w:szCs w:val="16"/>
          <w:lang w:val="es-ES_tradnl" w:eastAsia="en-US"/>
        </w:rPr>
      </w:pPr>
    </w:p>
    <w:p w:rsidR="00CE458D" w:rsidRPr="00885F0A" w:rsidRDefault="00CE458D" w:rsidP="00CE458D">
      <w:pPr>
        <w:jc w:val="both"/>
        <w:rPr>
          <w:rFonts w:ascii="Arial" w:eastAsia="Cambria" w:hAnsi="Arial" w:cs="Arial"/>
          <w:b/>
          <w:sz w:val="16"/>
          <w:szCs w:val="16"/>
          <w:lang w:val="es-ES_tradnl" w:eastAsia="en-US"/>
        </w:rPr>
      </w:pPr>
      <w:proofErr w:type="spellStart"/>
      <w:r>
        <w:rPr>
          <w:rFonts w:ascii="Arial" w:eastAsia="Cambria" w:hAnsi="Arial" w:cs="Arial"/>
          <w:b/>
          <w:sz w:val="16"/>
          <w:szCs w:val="16"/>
          <w:lang w:val="es-ES_tradnl" w:eastAsia="en-US"/>
        </w:rPr>
        <w:t>c.i.</w:t>
      </w:r>
      <w:proofErr w:type="spellEnd"/>
      <w:r>
        <w:rPr>
          <w:rFonts w:ascii="Arial" w:eastAsia="Cambria" w:hAnsi="Arial" w:cs="Arial"/>
          <w:b/>
          <w:sz w:val="16"/>
          <w:szCs w:val="16"/>
          <w:lang w:val="es-ES_tradnl" w:eastAsia="en-US"/>
        </w:rPr>
        <w:t xml:space="preserve">   </w:t>
      </w:r>
      <w:r w:rsidRPr="00474B22">
        <w:rPr>
          <w:rFonts w:ascii="Arial" w:eastAsia="Cambria" w:hAnsi="Arial" w:cs="Arial"/>
          <w:b/>
          <w:sz w:val="16"/>
          <w:szCs w:val="16"/>
          <w:lang w:val="es-ES_tradnl" w:eastAsia="en-US"/>
        </w:rPr>
        <w:t>Auditoría Interna (Notificado a la Secretaria vía correo electrónico)</w:t>
      </w:r>
    </w:p>
    <w:p w:rsidR="00E00132" w:rsidRPr="00D23962" w:rsidRDefault="00E00132" w:rsidP="00F41044">
      <w:pPr>
        <w:jc w:val="both"/>
        <w:rPr>
          <w:rFonts w:ascii="Arial" w:eastAsia="Cambria" w:hAnsi="Arial" w:cs="Arial"/>
          <w:b/>
          <w:lang w:val="es-ES_tradnl" w:eastAsia="en-US"/>
        </w:rPr>
      </w:pPr>
    </w:p>
    <w:p w:rsidR="00F41044" w:rsidRPr="00F41044" w:rsidRDefault="00F41044" w:rsidP="00F41044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proofErr w:type="spellStart"/>
      <w:r w:rsidRPr="00F41044">
        <w:rPr>
          <w:rFonts w:ascii="Arial" w:eastAsia="Cambria" w:hAnsi="Arial" w:cs="Arial"/>
          <w:sz w:val="22"/>
          <w:szCs w:val="22"/>
          <w:lang w:eastAsia="en-US"/>
        </w:rPr>
        <w:t>ars</w:t>
      </w:r>
      <w:proofErr w:type="spellEnd"/>
    </w:p>
    <w:sectPr w:rsidR="00F41044" w:rsidRPr="00F41044" w:rsidSect="00CE0215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8A" w:rsidRDefault="0092328A">
      <w:r>
        <w:separator/>
      </w:r>
    </w:p>
  </w:endnote>
  <w:endnote w:type="continuationSeparator" w:id="0">
    <w:p w:rsidR="0092328A" w:rsidRDefault="0092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E7" w:rsidRDefault="003538E7">
    <w:pPr>
      <w:pStyle w:val="Piedepgina"/>
      <w:jc w:val="center"/>
    </w:pPr>
  </w:p>
  <w:p w:rsidR="003538E7" w:rsidRDefault="003538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8A" w:rsidRDefault="0092328A">
      <w:r>
        <w:separator/>
      </w:r>
    </w:p>
  </w:footnote>
  <w:footnote w:type="continuationSeparator" w:id="0">
    <w:p w:rsidR="0092328A" w:rsidRDefault="0092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E7" w:rsidRPr="00D958BC" w:rsidRDefault="003538E7" w:rsidP="007742A1">
    <w:pPr>
      <w:ind w:right="-40"/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</w:pPr>
    <w:r w:rsidRPr="00D958BC"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  <w:t>COMUNICACIÓN DE ACUERDO</w:t>
    </w:r>
  </w:p>
  <w:p w:rsidR="003538E7" w:rsidRPr="00D958BC" w:rsidRDefault="003538E7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Sesión Ordinaria No. 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>30</w:t>
    </w:r>
    <w:r w:rsidR="00B90A66">
      <w:rPr>
        <w:rFonts w:ascii="Arial" w:eastAsia="Cambria" w:hAnsi="Arial" w:cs="Arial"/>
        <w:i/>
        <w:sz w:val="18"/>
        <w:szCs w:val="18"/>
        <w:lang w:val="es-ES_tradnl" w:eastAsia="x-none"/>
      </w:rPr>
      <w:t>70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, Artículo </w:t>
    </w:r>
    <w:r w:rsidR="00B90A66">
      <w:rPr>
        <w:rFonts w:ascii="Arial" w:eastAsia="Cambria" w:hAnsi="Arial" w:cs="Arial"/>
        <w:i/>
        <w:sz w:val="18"/>
        <w:szCs w:val="18"/>
        <w:lang w:val="es-ES_tradnl" w:eastAsia="x-none"/>
      </w:rPr>
      <w:t>8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>,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del </w:t>
    </w:r>
    <w:r w:rsidR="00B90A66">
      <w:rPr>
        <w:rFonts w:ascii="Arial" w:eastAsia="Cambria" w:hAnsi="Arial" w:cs="Arial"/>
        <w:i/>
        <w:sz w:val="18"/>
        <w:szCs w:val="18"/>
        <w:lang w:val="es-ES_tradnl" w:eastAsia="x-none"/>
      </w:rPr>
      <w:t>17</w:t>
    </w:r>
    <w:r w:rsidR="00C55D84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de </w:t>
    </w:r>
    <w:r w:rsidR="00CB19C2">
      <w:rPr>
        <w:rFonts w:ascii="Arial" w:eastAsia="Cambria" w:hAnsi="Arial" w:cs="Arial"/>
        <w:i/>
        <w:sz w:val="18"/>
        <w:szCs w:val="18"/>
        <w:lang w:val="es-ES_tradnl" w:eastAsia="x-none"/>
      </w:rPr>
      <w:t>mayo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>de 201</w:t>
    </w:r>
    <w:r w:rsidR="003B6DC0">
      <w:rPr>
        <w:rFonts w:ascii="Arial" w:eastAsia="Cambria" w:hAnsi="Arial" w:cs="Arial"/>
        <w:i/>
        <w:sz w:val="18"/>
        <w:szCs w:val="18"/>
        <w:lang w:val="es-ES_tradnl" w:eastAsia="x-none"/>
      </w:rPr>
      <w:t>8</w:t>
    </w:r>
  </w:p>
  <w:p w:rsidR="003538E7" w:rsidRDefault="003538E7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Página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begin"/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instrText xml:space="preserve"> PAGE   \* MERGEFORMAT </w:instrTex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separate"/>
    </w:r>
    <w:r w:rsidR="005F18E0">
      <w:rPr>
        <w:rFonts w:ascii="Arial" w:eastAsia="Cambria" w:hAnsi="Arial" w:cs="Arial"/>
        <w:i/>
        <w:noProof/>
        <w:sz w:val="18"/>
        <w:szCs w:val="18"/>
        <w:lang w:val="es-ES_tradnl" w:eastAsia="x-none"/>
      </w:rPr>
      <w:t>10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end"/>
    </w:r>
  </w:p>
  <w:p w:rsidR="003538E7" w:rsidRDefault="003538E7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511"/>
    <w:multiLevelType w:val="hybridMultilevel"/>
    <w:tmpl w:val="16F0751A"/>
    <w:lvl w:ilvl="0" w:tplc="FADEC2AE">
      <w:start w:val="1"/>
      <w:numFmt w:val="decimal"/>
      <w:pStyle w:val="clau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243D8"/>
    <w:multiLevelType w:val="hybridMultilevel"/>
    <w:tmpl w:val="4B7C5AEE"/>
    <w:lvl w:ilvl="0" w:tplc="EEA6F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037D"/>
    <w:multiLevelType w:val="hybridMultilevel"/>
    <w:tmpl w:val="79A41D9A"/>
    <w:lvl w:ilvl="0" w:tplc="14901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7ED4"/>
    <w:multiLevelType w:val="hybridMultilevel"/>
    <w:tmpl w:val="37A40CA0"/>
    <w:lvl w:ilvl="0" w:tplc="C4BE44F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B14ED"/>
    <w:multiLevelType w:val="hybridMultilevel"/>
    <w:tmpl w:val="C6B837CE"/>
    <w:lvl w:ilvl="0" w:tplc="6206F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C4F49"/>
    <w:multiLevelType w:val="hybridMultilevel"/>
    <w:tmpl w:val="445257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A72B3"/>
    <w:multiLevelType w:val="hybridMultilevel"/>
    <w:tmpl w:val="80E8D86E"/>
    <w:lvl w:ilvl="0" w:tplc="6BE4945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C5D64"/>
    <w:multiLevelType w:val="hybridMultilevel"/>
    <w:tmpl w:val="D318E652"/>
    <w:lvl w:ilvl="0" w:tplc="60B21C56">
      <w:start w:val="1"/>
      <w:numFmt w:val="lowerLetter"/>
      <w:lvlText w:val="%1."/>
      <w:lvlJc w:val="left"/>
      <w:pPr>
        <w:ind w:left="720" w:hanging="360"/>
      </w:pPr>
      <w:rPr>
        <w:b/>
        <w:strike w:val="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97"/>
    <w:rsid w:val="000012C8"/>
    <w:rsid w:val="00001369"/>
    <w:rsid w:val="000040EF"/>
    <w:rsid w:val="000046BC"/>
    <w:rsid w:val="0000518D"/>
    <w:rsid w:val="0000683B"/>
    <w:rsid w:val="00010592"/>
    <w:rsid w:val="00011DBE"/>
    <w:rsid w:val="000120EB"/>
    <w:rsid w:val="000128E2"/>
    <w:rsid w:val="00017DE2"/>
    <w:rsid w:val="00020858"/>
    <w:rsid w:val="000213DD"/>
    <w:rsid w:val="00024564"/>
    <w:rsid w:val="00024BA5"/>
    <w:rsid w:val="000254A5"/>
    <w:rsid w:val="000256DE"/>
    <w:rsid w:val="00033918"/>
    <w:rsid w:val="00034CE3"/>
    <w:rsid w:val="000359F5"/>
    <w:rsid w:val="00036DAC"/>
    <w:rsid w:val="000401D6"/>
    <w:rsid w:val="000414FE"/>
    <w:rsid w:val="000428F8"/>
    <w:rsid w:val="000437DE"/>
    <w:rsid w:val="00043B22"/>
    <w:rsid w:val="00044242"/>
    <w:rsid w:val="00047F2B"/>
    <w:rsid w:val="00050123"/>
    <w:rsid w:val="000602DE"/>
    <w:rsid w:val="00060CCC"/>
    <w:rsid w:val="00067296"/>
    <w:rsid w:val="00067992"/>
    <w:rsid w:val="00067BE7"/>
    <w:rsid w:val="00067C8C"/>
    <w:rsid w:val="0007411A"/>
    <w:rsid w:val="00076DBD"/>
    <w:rsid w:val="00076EC1"/>
    <w:rsid w:val="00077028"/>
    <w:rsid w:val="00077BC7"/>
    <w:rsid w:val="00077D4B"/>
    <w:rsid w:val="0008022E"/>
    <w:rsid w:val="00080FD1"/>
    <w:rsid w:val="000813BE"/>
    <w:rsid w:val="00081BCF"/>
    <w:rsid w:val="000846DF"/>
    <w:rsid w:val="00084FDD"/>
    <w:rsid w:val="000856DA"/>
    <w:rsid w:val="00087607"/>
    <w:rsid w:val="000903CE"/>
    <w:rsid w:val="00090FDF"/>
    <w:rsid w:val="00091B7B"/>
    <w:rsid w:val="000934FF"/>
    <w:rsid w:val="00093971"/>
    <w:rsid w:val="000A0756"/>
    <w:rsid w:val="000A5D85"/>
    <w:rsid w:val="000A6BE8"/>
    <w:rsid w:val="000B10B4"/>
    <w:rsid w:val="000B10C0"/>
    <w:rsid w:val="000B39AF"/>
    <w:rsid w:val="000B55D7"/>
    <w:rsid w:val="000B5852"/>
    <w:rsid w:val="000B624C"/>
    <w:rsid w:val="000B6B41"/>
    <w:rsid w:val="000B7C5A"/>
    <w:rsid w:val="000C0A23"/>
    <w:rsid w:val="000C25EB"/>
    <w:rsid w:val="000C3E9F"/>
    <w:rsid w:val="000C52B7"/>
    <w:rsid w:val="000C68C0"/>
    <w:rsid w:val="000D220C"/>
    <w:rsid w:val="000D2AD1"/>
    <w:rsid w:val="000D34C2"/>
    <w:rsid w:val="000D5ACC"/>
    <w:rsid w:val="000D5C6B"/>
    <w:rsid w:val="000D6061"/>
    <w:rsid w:val="000D7162"/>
    <w:rsid w:val="000E1F4D"/>
    <w:rsid w:val="000E39E4"/>
    <w:rsid w:val="000E420E"/>
    <w:rsid w:val="000E4FED"/>
    <w:rsid w:val="000E5B14"/>
    <w:rsid w:val="000E6DC9"/>
    <w:rsid w:val="000F106C"/>
    <w:rsid w:val="000F1E1D"/>
    <w:rsid w:val="000F2A0F"/>
    <w:rsid w:val="000F4527"/>
    <w:rsid w:val="000F473C"/>
    <w:rsid w:val="000F490D"/>
    <w:rsid w:val="000F4B43"/>
    <w:rsid w:val="000F5572"/>
    <w:rsid w:val="000F710B"/>
    <w:rsid w:val="000F7A0A"/>
    <w:rsid w:val="000F7FF1"/>
    <w:rsid w:val="00104E6C"/>
    <w:rsid w:val="00105392"/>
    <w:rsid w:val="00107032"/>
    <w:rsid w:val="00107C78"/>
    <w:rsid w:val="0011053E"/>
    <w:rsid w:val="001113FE"/>
    <w:rsid w:val="001125EE"/>
    <w:rsid w:val="00113FAA"/>
    <w:rsid w:val="00115853"/>
    <w:rsid w:val="00117C68"/>
    <w:rsid w:val="00121308"/>
    <w:rsid w:val="001237E1"/>
    <w:rsid w:val="001240CC"/>
    <w:rsid w:val="001248CE"/>
    <w:rsid w:val="001272AF"/>
    <w:rsid w:val="001304BF"/>
    <w:rsid w:val="0013093C"/>
    <w:rsid w:val="001319DF"/>
    <w:rsid w:val="00132C08"/>
    <w:rsid w:val="00133EEB"/>
    <w:rsid w:val="00135EE8"/>
    <w:rsid w:val="001370D6"/>
    <w:rsid w:val="001370DB"/>
    <w:rsid w:val="001372BC"/>
    <w:rsid w:val="0013796E"/>
    <w:rsid w:val="00141B28"/>
    <w:rsid w:val="00143E80"/>
    <w:rsid w:val="00146F6F"/>
    <w:rsid w:val="00150F07"/>
    <w:rsid w:val="00153E19"/>
    <w:rsid w:val="00154839"/>
    <w:rsid w:val="00155121"/>
    <w:rsid w:val="00155891"/>
    <w:rsid w:val="00156111"/>
    <w:rsid w:val="001644B1"/>
    <w:rsid w:val="00165556"/>
    <w:rsid w:val="00165902"/>
    <w:rsid w:val="00165B51"/>
    <w:rsid w:val="00165C83"/>
    <w:rsid w:val="00165F34"/>
    <w:rsid w:val="00166375"/>
    <w:rsid w:val="0017077A"/>
    <w:rsid w:val="00171AC3"/>
    <w:rsid w:val="001746E5"/>
    <w:rsid w:val="0018030A"/>
    <w:rsid w:val="001806C4"/>
    <w:rsid w:val="00182124"/>
    <w:rsid w:val="00187E00"/>
    <w:rsid w:val="00190010"/>
    <w:rsid w:val="00194BC3"/>
    <w:rsid w:val="00195F6A"/>
    <w:rsid w:val="001962C2"/>
    <w:rsid w:val="00196E82"/>
    <w:rsid w:val="001A0A20"/>
    <w:rsid w:val="001A214B"/>
    <w:rsid w:val="001A33C3"/>
    <w:rsid w:val="001B1E0E"/>
    <w:rsid w:val="001B208D"/>
    <w:rsid w:val="001B59CC"/>
    <w:rsid w:val="001B7AB0"/>
    <w:rsid w:val="001C1124"/>
    <w:rsid w:val="001C1335"/>
    <w:rsid w:val="001C54CE"/>
    <w:rsid w:val="001D40F5"/>
    <w:rsid w:val="001E0224"/>
    <w:rsid w:val="001E08C0"/>
    <w:rsid w:val="001E0E52"/>
    <w:rsid w:val="001E11D4"/>
    <w:rsid w:val="001E3DCB"/>
    <w:rsid w:val="001E684C"/>
    <w:rsid w:val="001E69A6"/>
    <w:rsid w:val="001E69C9"/>
    <w:rsid w:val="001F0C0F"/>
    <w:rsid w:val="001F26FD"/>
    <w:rsid w:val="001F3C06"/>
    <w:rsid w:val="001F3E92"/>
    <w:rsid w:val="0020019E"/>
    <w:rsid w:val="0020223D"/>
    <w:rsid w:val="00202E06"/>
    <w:rsid w:val="00203662"/>
    <w:rsid w:val="0020429C"/>
    <w:rsid w:val="00204A01"/>
    <w:rsid w:val="00204A3D"/>
    <w:rsid w:val="00210743"/>
    <w:rsid w:val="002118B2"/>
    <w:rsid w:val="002127EE"/>
    <w:rsid w:val="002139D9"/>
    <w:rsid w:val="002172C6"/>
    <w:rsid w:val="00217BCB"/>
    <w:rsid w:val="002204D7"/>
    <w:rsid w:val="002207D9"/>
    <w:rsid w:val="00220ED5"/>
    <w:rsid w:val="00221713"/>
    <w:rsid w:val="00221F57"/>
    <w:rsid w:val="00225D59"/>
    <w:rsid w:val="002279E5"/>
    <w:rsid w:val="00227D3E"/>
    <w:rsid w:val="00230EB0"/>
    <w:rsid w:val="00234BB0"/>
    <w:rsid w:val="00235258"/>
    <w:rsid w:val="0024107D"/>
    <w:rsid w:val="00242D06"/>
    <w:rsid w:val="00245783"/>
    <w:rsid w:val="00246D38"/>
    <w:rsid w:val="00250B47"/>
    <w:rsid w:val="00253D00"/>
    <w:rsid w:val="00253D5C"/>
    <w:rsid w:val="00255202"/>
    <w:rsid w:val="002569E9"/>
    <w:rsid w:val="00260F3E"/>
    <w:rsid w:val="00261D4A"/>
    <w:rsid w:val="00263233"/>
    <w:rsid w:val="00264EFA"/>
    <w:rsid w:val="00266024"/>
    <w:rsid w:val="00266221"/>
    <w:rsid w:val="002668E5"/>
    <w:rsid w:val="0026727D"/>
    <w:rsid w:val="00267A3B"/>
    <w:rsid w:val="00267FAF"/>
    <w:rsid w:val="002743B7"/>
    <w:rsid w:val="00275822"/>
    <w:rsid w:val="00275FE3"/>
    <w:rsid w:val="00280C7B"/>
    <w:rsid w:val="00281B37"/>
    <w:rsid w:val="00283360"/>
    <w:rsid w:val="00283375"/>
    <w:rsid w:val="00284956"/>
    <w:rsid w:val="00286461"/>
    <w:rsid w:val="0029068F"/>
    <w:rsid w:val="00293111"/>
    <w:rsid w:val="00293149"/>
    <w:rsid w:val="00293595"/>
    <w:rsid w:val="0029396B"/>
    <w:rsid w:val="00294D1D"/>
    <w:rsid w:val="002978E4"/>
    <w:rsid w:val="002A148D"/>
    <w:rsid w:val="002A285B"/>
    <w:rsid w:val="002A39D6"/>
    <w:rsid w:val="002A51A3"/>
    <w:rsid w:val="002A57B5"/>
    <w:rsid w:val="002A7751"/>
    <w:rsid w:val="002B2032"/>
    <w:rsid w:val="002B2346"/>
    <w:rsid w:val="002B3224"/>
    <w:rsid w:val="002C163E"/>
    <w:rsid w:val="002C19F4"/>
    <w:rsid w:val="002C228F"/>
    <w:rsid w:val="002C2B58"/>
    <w:rsid w:val="002C468D"/>
    <w:rsid w:val="002C4D2C"/>
    <w:rsid w:val="002C6BE2"/>
    <w:rsid w:val="002D170E"/>
    <w:rsid w:val="002D2C7C"/>
    <w:rsid w:val="002D6978"/>
    <w:rsid w:val="002D76DD"/>
    <w:rsid w:val="002E03BF"/>
    <w:rsid w:val="002E1507"/>
    <w:rsid w:val="002E2751"/>
    <w:rsid w:val="002E49F2"/>
    <w:rsid w:val="002E5A2A"/>
    <w:rsid w:val="002F03FC"/>
    <w:rsid w:val="002F05FD"/>
    <w:rsid w:val="002F1374"/>
    <w:rsid w:val="002F6367"/>
    <w:rsid w:val="00300778"/>
    <w:rsid w:val="003011A3"/>
    <w:rsid w:val="0030153B"/>
    <w:rsid w:val="00301B0B"/>
    <w:rsid w:val="00302A99"/>
    <w:rsid w:val="00305BC2"/>
    <w:rsid w:val="00310865"/>
    <w:rsid w:val="003162A0"/>
    <w:rsid w:val="00316937"/>
    <w:rsid w:val="00316C74"/>
    <w:rsid w:val="00317D3B"/>
    <w:rsid w:val="00322446"/>
    <w:rsid w:val="00322B8A"/>
    <w:rsid w:val="00323397"/>
    <w:rsid w:val="00323590"/>
    <w:rsid w:val="00324AB0"/>
    <w:rsid w:val="00325DEA"/>
    <w:rsid w:val="00325E1C"/>
    <w:rsid w:val="003262C5"/>
    <w:rsid w:val="00332808"/>
    <w:rsid w:val="00333402"/>
    <w:rsid w:val="00334300"/>
    <w:rsid w:val="00337455"/>
    <w:rsid w:val="0034046D"/>
    <w:rsid w:val="00340863"/>
    <w:rsid w:val="0034405E"/>
    <w:rsid w:val="00344103"/>
    <w:rsid w:val="00345207"/>
    <w:rsid w:val="0035043F"/>
    <w:rsid w:val="00350681"/>
    <w:rsid w:val="003506A7"/>
    <w:rsid w:val="00350E0D"/>
    <w:rsid w:val="003518BD"/>
    <w:rsid w:val="00352E01"/>
    <w:rsid w:val="003538E7"/>
    <w:rsid w:val="0035725E"/>
    <w:rsid w:val="00365E69"/>
    <w:rsid w:val="0036607E"/>
    <w:rsid w:val="00366F0E"/>
    <w:rsid w:val="00370216"/>
    <w:rsid w:val="00371DC1"/>
    <w:rsid w:val="003756F2"/>
    <w:rsid w:val="00380871"/>
    <w:rsid w:val="0038120A"/>
    <w:rsid w:val="00381397"/>
    <w:rsid w:val="00382EA8"/>
    <w:rsid w:val="00385402"/>
    <w:rsid w:val="003858A8"/>
    <w:rsid w:val="00387158"/>
    <w:rsid w:val="00387E4E"/>
    <w:rsid w:val="00391FB9"/>
    <w:rsid w:val="003921B6"/>
    <w:rsid w:val="00392B56"/>
    <w:rsid w:val="00394733"/>
    <w:rsid w:val="00395647"/>
    <w:rsid w:val="00396AAA"/>
    <w:rsid w:val="003A34C0"/>
    <w:rsid w:val="003A3C06"/>
    <w:rsid w:val="003A434F"/>
    <w:rsid w:val="003A49BC"/>
    <w:rsid w:val="003A5456"/>
    <w:rsid w:val="003A5BCA"/>
    <w:rsid w:val="003A7912"/>
    <w:rsid w:val="003B0A2D"/>
    <w:rsid w:val="003B245E"/>
    <w:rsid w:val="003B4C91"/>
    <w:rsid w:val="003B5F32"/>
    <w:rsid w:val="003B5FFB"/>
    <w:rsid w:val="003B6DC0"/>
    <w:rsid w:val="003C0632"/>
    <w:rsid w:val="003C0783"/>
    <w:rsid w:val="003C19D5"/>
    <w:rsid w:val="003C1FAB"/>
    <w:rsid w:val="003C2706"/>
    <w:rsid w:val="003C3290"/>
    <w:rsid w:val="003C359A"/>
    <w:rsid w:val="003C388C"/>
    <w:rsid w:val="003C5FFE"/>
    <w:rsid w:val="003C6ED7"/>
    <w:rsid w:val="003D2633"/>
    <w:rsid w:val="003D3F8A"/>
    <w:rsid w:val="003D5AAA"/>
    <w:rsid w:val="003D7515"/>
    <w:rsid w:val="003E02A1"/>
    <w:rsid w:val="003E0C89"/>
    <w:rsid w:val="003E2233"/>
    <w:rsid w:val="003E2804"/>
    <w:rsid w:val="003E369B"/>
    <w:rsid w:val="003E6A14"/>
    <w:rsid w:val="003E7EDF"/>
    <w:rsid w:val="003F0204"/>
    <w:rsid w:val="003F0538"/>
    <w:rsid w:val="003F7349"/>
    <w:rsid w:val="003F7807"/>
    <w:rsid w:val="003F7A14"/>
    <w:rsid w:val="00400C92"/>
    <w:rsid w:val="0040137C"/>
    <w:rsid w:val="004023E1"/>
    <w:rsid w:val="004053D4"/>
    <w:rsid w:val="004060DD"/>
    <w:rsid w:val="0040694C"/>
    <w:rsid w:val="0040799C"/>
    <w:rsid w:val="00407FF0"/>
    <w:rsid w:val="00410683"/>
    <w:rsid w:val="00411530"/>
    <w:rsid w:val="00411531"/>
    <w:rsid w:val="00411F04"/>
    <w:rsid w:val="00412158"/>
    <w:rsid w:val="004161F8"/>
    <w:rsid w:val="00416909"/>
    <w:rsid w:val="00416BD5"/>
    <w:rsid w:val="00420202"/>
    <w:rsid w:val="0042189A"/>
    <w:rsid w:val="004227AA"/>
    <w:rsid w:val="00423B77"/>
    <w:rsid w:val="004246F4"/>
    <w:rsid w:val="00424D7C"/>
    <w:rsid w:val="0042619C"/>
    <w:rsid w:val="00426401"/>
    <w:rsid w:val="004268E7"/>
    <w:rsid w:val="00426AC7"/>
    <w:rsid w:val="00427B05"/>
    <w:rsid w:val="00430CF8"/>
    <w:rsid w:val="004314B6"/>
    <w:rsid w:val="00431763"/>
    <w:rsid w:val="00432A0F"/>
    <w:rsid w:val="004335D5"/>
    <w:rsid w:val="00436940"/>
    <w:rsid w:val="00436F0E"/>
    <w:rsid w:val="00437F0F"/>
    <w:rsid w:val="0044013A"/>
    <w:rsid w:val="00443B63"/>
    <w:rsid w:val="004442EF"/>
    <w:rsid w:val="00445CED"/>
    <w:rsid w:val="00447784"/>
    <w:rsid w:val="004505E8"/>
    <w:rsid w:val="004511A1"/>
    <w:rsid w:val="00452394"/>
    <w:rsid w:val="0045318C"/>
    <w:rsid w:val="004542F9"/>
    <w:rsid w:val="00456A37"/>
    <w:rsid w:val="0045743F"/>
    <w:rsid w:val="00457DD8"/>
    <w:rsid w:val="00460D38"/>
    <w:rsid w:val="00461FB2"/>
    <w:rsid w:val="00462436"/>
    <w:rsid w:val="00464247"/>
    <w:rsid w:val="00465585"/>
    <w:rsid w:val="00467089"/>
    <w:rsid w:val="004730AC"/>
    <w:rsid w:val="0047360D"/>
    <w:rsid w:val="00473A47"/>
    <w:rsid w:val="00474B22"/>
    <w:rsid w:val="00476861"/>
    <w:rsid w:val="00480A91"/>
    <w:rsid w:val="00481E38"/>
    <w:rsid w:val="004823B5"/>
    <w:rsid w:val="00482A59"/>
    <w:rsid w:val="004873EC"/>
    <w:rsid w:val="00487C3B"/>
    <w:rsid w:val="00492457"/>
    <w:rsid w:val="0049385C"/>
    <w:rsid w:val="004945D5"/>
    <w:rsid w:val="004947BD"/>
    <w:rsid w:val="00495B4F"/>
    <w:rsid w:val="00497506"/>
    <w:rsid w:val="00497832"/>
    <w:rsid w:val="004A0A9A"/>
    <w:rsid w:val="004A172B"/>
    <w:rsid w:val="004A4274"/>
    <w:rsid w:val="004A6FE0"/>
    <w:rsid w:val="004A7236"/>
    <w:rsid w:val="004B2B3D"/>
    <w:rsid w:val="004B3C97"/>
    <w:rsid w:val="004B43AF"/>
    <w:rsid w:val="004B4763"/>
    <w:rsid w:val="004B66FD"/>
    <w:rsid w:val="004C2F5E"/>
    <w:rsid w:val="004C36C4"/>
    <w:rsid w:val="004C43F0"/>
    <w:rsid w:val="004C568E"/>
    <w:rsid w:val="004C5B2A"/>
    <w:rsid w:val="004C5DDD"/>
    <w:rsid w:val="004D0616"/>
    <w:rsid w:val="004D0B7A"/>
    <w:rsid w:val="004D0E9A"/>
    <w:rsid w:val="004D19F3"/>
    <w:rsid w:val="004D2D67"/>
    <w:rsid w:val="004D3777"/>
    <w:rsid w:val="004D5B06"/>
    <w:rsid w:val="004D6CA2"/>
    <w:rsid w:val="004E1FC9"/>
    <w:rsid w:val="004E23CB"/>
    <w:rsid w:val="004E3D7B"/>
    <w:rsid w:val="004E6438"/>
    <w:rsid w:val="004E65FB"/>
    <w:rsid w:val="004E6E23"/>
    <w:rsid w:val="004F18EF"/>
    <w:rsid w:val="004F319C"/>
    <w:rsid w:val="004F36F9"/>
    <w:rsid w:val="004F6BA9"/>
    <w:rsid w:val="004F7EB0"/>
    <w:rsid w:val="00502116"/>
    <w:rsid w:val="00503263"/>
    <w:rsid w:val="005032E7"/>
    <w:rsid w:val="00504D5D"/>
    <w:rsid w:val="005052C7"/>
    <w:rsid w:val="00506EDE"/>
    <w:rsid w:val="00510C22"/>
    <w:rsid w:val="00511246"/>
    <w:rsid w:val="005121D8"/>
    <w:rsid w:val="005156CF"/>
    <w:rsid w:val="00515CEC"/>
    <w:rsid w:val="00523260"/>
    <w:rsid w:val="0052377B"/>
    <w:rsid w:val="0052523D"/>
    <w:rsid w:val="00525250"/>
    <w:rsid w:val="00525FBA"/>
    <w:rsid w:val="00527985"/>
    <w:rsid w:val="00527A3C"/>
    <w:rsid w:val="005300C8"/>
    <w:rsid w:val="00530CF9"/>
    <w:rsid w:val="00531529"/>
    <w:rsid w:val="005318C7"/>
    <w:rsid w:val="00531D6E"/>
    <w:rsid w:val="00532545"/>
    <w:rsid w:val="00532698"/>
    <w:rsid w:val="00533095"/>
    <w:rsid w:val="005335F3"/>
    <w:rsid w:val="00533D6D"/>
    <w:rsid w:val="00535BFB"/>
    <w:rsid w:val="00537CCA"/>
    <w:rsid w:val="00540263"/>
    <w:rsid w:val="00540BF7"/>
    <w:rsid w:val="00541FFA"/>
    <w:rsid w:val="005428FF"/>
    <w:rsid w:val="00542FD2"/>
    <w:rsid w:val="00543D7B"/>
    <w:rsid w:val="005447D0"/>
    <w:rsid w:val="00546B67"/>
    <w:rsid w:val="00554E8E"/>
    <w:rsid w:val="005578CB"/>
    <w:rsid w:val="005579A5"/>
    <w:rsid w:val="00561FD4"/>
    <w:rsid w:val="00563417"/>
    <w:rsid w:val="00563E83"/>
    <w:rsid w:val="005653A1"/>
    <w:rsid w:val="0056674D"/>
    <w:rsid w:val="00570916"/>
    <w:rsid w:val="00574E3C"/>
    <w:rsid w:val="005766E0"/>
    <w:rsid w:val="00577426"/>
    <w:rsid w:val="0058259B"/>
    <w:rsid w:val="005832B2"/>
    <w:rsid w:val="005876D0"/>
    <w:rsid w:val="00591483"/>
    <w:rsid w:val="00591A6C"/>
    <w:rsid w:val="00593737"/>
    <w:rsid w:val="005972A7"/>
    <w:rsid w:val="005978DB"/>
    <w:rsid w:val="00597AA2"/>
    <w:rsid w:val="005A1349"/>
    <w:rsid w:val="005A2507"/>
    <w:rsid w:val="005A2803"/>
    <w:rsid w:val="005A57FA"/>
    <w:rsid w:val="005A583E"/>
    <w:rsid w:val="005A5BEC"/>
    <w:rsid w:val="005A7087"/>
    <w:rsid w:val="005A74FE"/>
    <w:rsid w:val="005A76D9"/>
    <w:rsid w:val="005B2823"/>
    <w:rsid w:val="005B465B"/>
    <w:rsid w:val="005B6F1F"/>
    <w:rsid w:val="005C0755"/>
    <w:rsid w:val="005C2C87"/>
    <w:rsid w:val="005C52A3"/>
    <w:rsid w:val="005C56A6"/>
    <w:rsid w:val="005D234B"/>
    <w:rsid w:val="005D242A"/>
    <w:rsid w:val="005D52AB"/>
    <w:rsid w:val="005D6EFD"/>
    <w:rsid w:val="005E06F0"/>
    <w:rsid w:val="005E10A2"/>
    <w:rsid w:val="005E1B2D"/>
    <w:rsid w:val="005E3547"/>
    <w:rsid w:val="005E4831"/>
    <w:rsid w:val="005E6C51"/>
    <w:rsid w:val="005E6F3F"/>
    <w:rsid w:val="005E779D"/>
    <w:rsid w:val="005F18E0"/>
    <w:rsid w:val="005F3429"/>
    <w:rsid w:val="005F3B68"/>
    <w:rsid w:val="005F40F5"/>
    <w:rsid w:val="005F6B28"/>
    <w:rsid w:val="00603C4D"/>
    <w:rsid w:val="006059E6"/>
    <w:rsid w:val="00610697"/>
    <w:rsid w:val="0061239A"/>
    <w:rsid w:val="00612C0F"/>
    <w:rsid w:val="0062298E"/>
    <w:rsid w:val="00623598"/>
    <w:rsid w:val="00623979"/>
    <w:rsid w:val="00623BA9"/>
    <w:rsid w:val="0062557C"/>
    <w:rsid w:val="00625AB2"/>
    <w:rsid w:val="00631B4A"/>
    <w:rsid w:val="00633029"/>
    <w:rsid w:val="00633E40"/>
    <w:rsid w:val="00641982"/>
    <w:rsid w:val="0064406E"/>
    <w:rsid w:val="006442DF"/>
    <w:rsid w:val="0064444E"/>
    <w:rsid w:val="006465AB"/>
    <w:rsid w:val="00646ED5"/>
    <w:rsid w:val="00647711"/>
    <w:rsid w:val="006478EC"/>
    <w:rsid w:val="00651E73"/>
    <w:rsid w:val="0065208E"/>
    <w:rsid w:val="00653936"/>
    <w:rsid w:val="00656B1D"/>
    <w:rsid w:val="00661406"/>
    <w:rsid w:val="00662142"/>
    <w:rsid w:val="00664E8B"/>
    <w:rsid w:val="00665335"/>
    <w:rsid w:val="0066604E"/>
    <w:rsid w:val="0066690B"/>
    <w:rsid w:val="00672900"/>
    <w:rsid w:val="00672D32"/>
    <w:rsid w:val="0067394A"/>
    <w:rsid w:val="00675C04"/>
    <w:rsid w:val="00676630"/>
    <w:rsid w:val="00676DF3"/>
    <w:rsid w:val="0068346A"/>
    <w:rsid w:val="006842AD"/>
    <w:rsid w:val="006851C8"/>
    <w:rsid w:val="0068595E"/>
    <w:rsid w:val="006862AA"/>
    <w:rsid w:val="006871B3"/>
    <w:rsid w:val="00691130"/>
    <w:rsid w:val="006938F4"/>
    <w:rsid w:val="006976E0"/>
    <w:rsid w:val="006A0355"/>
    <w:rsid w:val="006A0409"/>
    <w:rsid w:val="006A0667"/>
    <w:rsid w:val="006A2A49"/>
    <w:rsid w:val="006A3233"/>
    <w:rsid w:val="006A362E"/>
    <w:rsid w:val="006A4A3E"/>
    <w:rsid w:val="006B0A68"/>
    <w:rsid w:val="006B0D38"/>
    <w:rsid w:val="006B1D76"/>
    <w:rsid w:val="006B20B4"/>
    <w:rsid w:val="006B3AB9"/>
    <w:rsid w:val="006B4FBB"/>
    <w:rsid w:val="006B59C4"/>
    <w:rsid w:val="006B5EC0"/>
    <w:rsid w:val="006B7D15"/>
    <w:rsid w:val="006C3D72"/>
    <w:rsid w:val="006C45BA"/>
    <w:rsid w:val="006C4FFB"/>
    <w:rsid w:val="006C7BCB"/>
    <w:rsid w:val="006D0052"/>
    <w:rsid w:val="006D2575"/>
    <w:rsid w:val="006D4418"/>
    <w:rsid w:val="006D5CAB"/>
    <w:rsid w:val="006E0F76"/>
    <w:rsid w:val="006E1429"/>
    <w:rsid w:val="006E2881"/>
    <w:rsid w:val="006E4522"/>
    <w:rsid w:val="006E4F8A"/>
    <w:rsid w:val="006E6682"/>
    <w:rsid w:val="006E673C"/>
    <w:rsid w:val="006F39FD"/>
    <w:rsid w:val="006F47D9"/>
    <w:rsid w:val="006F6992"/>
    <w:rsid w:val="006F7054"/>
    <w:rsid w:val="006F736E"/>
    <w:rsid w:val="006F7C62"/>
    <w:rsid w:val="00704042"/>
    <w:rsid w:val="0071118B"/>
    <w:rsid w:val="007133B5"/>
    <w:rsid w:val="007140BA"/>
    <w:rsid w:val="0071574F"/>
    <w:rsid w:val="00716307"/>
    <w:rsid w:val="00716A85"/>
    <w:rsid w:val="00717E7B"/>
    <w:rsid w:val="00720E26"/>
    <w:rsid w:val="007221C8"/>
    <w:rsid w:val="00722637"/>
    <w:rsid w:val="00725291"/>
    <w:rsid w:val="00730242"/>
    <w:rsid w:val="00730BAA"/>
    <w:rsid w:val="007313FD"/>
    <w:rsid w:val="00731403"/>
    <w:rsid w:val="00731891"/>
    <w:rsid w:val="0073280F"/>
    <w:rsid w:val="00733178"/>
    <w:rsid w:val="00734993"/>
    <w:rsid w:val="0073629D"/>
    <w:rsid w:val="007369BA"/>
    <w:rsid w:val="00740752"/>
    <w:rsid w:val="0074284B"/>
    <w:rsid w:val="00744C74"/>
    <w:rsid w:val="007512F6"/>
    <w:rsid w:val="0075179A"/>
    <w:rsid w:val="00751AB1"/>
    <w:rsid w:val="007553D4"/>
    <w:rsid w:val="00760AD1"/>
    <w:rsid w:val="00760D93"/>
    <w:rsid w:val="00761133"/>
    <w:rsid w:val="007619FB"/>
    <w:rsid w:val="00763AF2"/>
    <w:rsid w:val="00764C9D"/>
    <w:rsid w:val="00767AF5"/>
    <w:rsid w:val="00771193"/>
    <w:rsid w:val="007729C9"/>
    <w:rsid w:val="007742A1"/>
    <w:rsid w:val="00774600"/>
    <w:rsid w:val="00777FF4"/>
    <w:rsid w:val="00781332"/>
    <w:rsid w:val="007819B0"/>
    <w:rsid w:val="007837C1"/>
    <w:rsid w:val="0078514D"/>
    <w:rsid w:val="00791713"/>
    <w:rsid w:val="00794454"/>
    <w:rsid w:val="00795377"/>
    <w:rsid w:val="007A2D73"/>
    <w:rsid w:val="007A5E5B"/>
    <w:rsid w:val="007B23D9"/>
    <w:rsid w:val="007B381B"/>
    <w:rsid w:val="007B56C0"/>
    <w:rsid w:val="007B6F61"/>
    <w:rsid w:val="007B7700"/>
    <w:rsid w:val="007C024F"/>
    <w:rsid w:val="007C10F3"/>
    <w:rsid w:val="007C46B5"/>
    <w:rsid w:val="007C6A05"/>
    <w:rsid w:val="007D0868"/>
    <w:rsid w:val="007D13D9"/>
    <w:rsid w:val="007D2E3F"/>
    <w:rsid w:val="007D3430"/>
    <w:rsid w:val="007D3593"/>
    <w:rsid w:val="007D5BC0"/>
    <w:rsid w:val="007D6321"/>
    <w:rsid w:val="007D71B4"/>
    <w:rsid w:val="007D77B2"/>
    <w:rsid w:val="007D7B7B"/>
    <w:rsid w:val="007E0809"/>
    <w:rsid w:val="007E12A1"/>
    <w:rsid w:val="007E7814"/>
    <w:rsid w:val="007F1052"/>
    <w:rsid w:val="007F49BB"/>
    <w:rsid w:val="007F5314"/>
    <w:rsid w:val="007F60AC"/>
    <w:rsid w:val="007F625C"/>
    <w:rsid w:val="007F63D0"/>
    <w:rsid w:val="007F6D48"/>
    <w:rsid w:val="007F6F78"/>
    <w:rsid w:val="007F7114"/>
    <w:rsid w:val="007F730F"/>
    <w:rsid w:val="00800060"/>
    <w:rsid w:val="008009B0"/>
    <w:rsid w:val="00800C95"/>
    <w:rsid w:val="00803BB3"/>
    <w:rsid w:val="00804036"/>
    <w:rsid w:val="008059AB"/>
    <w:rsid w:val="008071A7"/>
    <w:rsid w:val="00807CCB"/>
    <w:rsid w:val="008101FC"/>
    <w:rsid w:val="008108E8"/>
    <w:rsid w:val="0081353F"/>
    <w:rsid w:val="00816407"/>
    <w:rsid w:val="00821226"/>
    <w:rsid w:val="00821E37"/>
    <w:rsid w:val="00823CC6"/>
    <w:rsid w:val="00825809"/>
    <w:rsid w:val="00825F93"/>
    <w:rsid w:val="00831982"/>
    <w:rsid w:val="0083257F"/>
    <w:rsid w:val="00835E65"/>
    <w:rsid w:val="00836144"/>
    <w:rsid w:val="00837AFC"/>
    <w:rsid w:val="00841F61"/>
    <w:rsid w:val="008434BA"/>
    <w:rsid w:val="00845D24"/>
    <w:rsid w:val="00845DBC"/>
    <w:rsid w:val="00846266"/>
    <w:rsid w:val="00851093"/>
    <w:rsid w:val="008517A6"/>
    <w:rsid w:val="008522DF"/>
    <w:rsid w:val="008544DB"/>
    <w:rsid w:val="00862FA3"/>
    <w:rsid w:val="00862FDC"/>
    <w:rsid w:val="00863F94"/>
    <w:rsid w:val="00865845"/>
    <w:rsid w:val="00866EEF"/>
    <w:rsid w:val="008757CC"/>
    <w:rsid w:val="008765DF"/>
    <w:rsid w:val="00876EC4"/>
    <w:rsid w:val="00877453"/>
    <w:rsid w:val="0088064F"/>
    <w:rsid w:val="008833CD"/>
    <w:rsid w:val="00887FCC"/>
    <w:rsid w:val="00891B08"/>
    <w:rsid w:val="00893524"/>
    <w:rsid w:val="00893FAC"/>
    <w:rsid w:val="0089404C"/>
    <w:rsid w:val="008A03C9"/>
    <w:rsid w:val="008A0859"/>
    <w:rsid w:val="008A1075"/>
    <w:rsid w:val="008A160D"/>
    <w:rsid w:val="008A28F0"/>
    <w:rsid w:val="008A53D4"/>
    <w:rsid w:val="008A5C04"/>
    <w:rsid w:val="008B0272"/>
    <w:rsid w:val="008B43F5"/>
    <w:rsid w:val="008C0ED3"/>
    <w:rsid w:val="008C0FFF"/>
    <w:rsid w:val="008C162C"/>
    <w:rsid w:val="008C2C97"/>
    <w:rsid w:val="008C57E2"/>
    <w:rsid w:val="008C7007"/>
    <w:rsid w:val="008D06F2"/>
    <w:rsid w:val="008D0FEC"/>
    <w:rsid w:val="008D1976"/>
    <w:rsid w:val="008D3FB0"/>
    <w:rsid w:val="008D74B3"/>
    <w:rsid w:val="008D7C3D"/>
    <w:rsid w:val="008E18B1"/>
    <w:rsid w:val="008E4197"/>
    <w:rsid w:val="008E463C"/>
    <w:rsid w:val="008E4708"/>
    <w:rsid w:val="008E58B9"/>
    <w:rsid w:val="008E75AE"/>
    <w:rsid w:val="008F0CC4"/>
    <w:rsid w:val="008F3D1E"/>
    <w:rsid w:val="008F4B86"/>
    <w:rsid w:val="009006A5"/>
    <w:rsid w:val="00900ABC"/>
    <w:rsid w:val="00902B37"/>
    <w:rsid w:val="0090700F"/>
    <w:rsid w:val="00911F5C"/>
    <w:rsid w:val="00911F70"/>
    <w:rsid w:val="009120EB"/>
    <w:rsid w:val="00914473"/>
    <w:rsid w:val="00914F38"/>
    <w:rsid w:val="00917F97"/>
    <w:rsid w:val="0092328A"/>
    <w:rsid w:val="00924AA2"/>
    <w:rsid w:val="009258C6"/>
    <w:rsid w:val="00925985"/>
    <w:rsid w:val="00930A02"/>
    <w:rsid w:val="00931FBC"/>
    <w:rsid w:val="009401C7"/>
    <w:rsid w:val="009437D1"/>
    <w:rsid w:val="009526A4"/>
    <w:rsid w:val="00953265"/>
    <w:rsid w:val="00953CA5"/>
    <w:rsid w:val="009546D0"/>
    <w:rsid w:val="0096004A"/>
    <w:rsid w:val="00961770"/>
    <w:rsid w:val="00962660"/>
    <w:rsid w:val="00963F04"/>
    <w:rsid w:val="00964B8E"/>
    <w:rsid w:val="009651B9"/>
    <w:rsid w:val="00967CC7"/>
    <w:rsid w:val="00971830"/>
    <w:rsid w:val="0097202A"/>
    <w:rsid w:val="00972E3C"/>
    <w:rsid w:val="00974D66"/>
    <w:rsid w:val="009750E5"/>
    <w:rsid w:val="0097636F"/>
    <w:rsid w:val="009766BD"/>
    <w:rsid w:val="00976EA8"/>
    <w:rsid w:val="009775C5"/>
    <w:rsid w:val="0098075C"/>
    <w:rsid w:val="0098130D"/>
    <w:rsid w:val="00985EBE"/>
    <w:rsid w:val="009860F5"/>
    <w:rsid w:val="00990B7F"/>
    <w:rsid w:val="009912AB"/>
    <w:rsid w:val="00992545"/>
    <w:rsid w:val="00994C10"/>
    <w:rsid w:val="00997E5D"/>
    <w:rsid w:val="009A56D9"/>
    <w:rsid w:val="009A664B"/>
    <w:rsid w:val="009A7B2E"/>
    <w:rsid w:val="009A7FC5"/>
    <w:rsid w:val="009B0294"/>
    <w:rsid w:val="009B0462"/>
    <w:rsid w:val="009B0DBA"/>
    <w:rsid w:val="009B267A"/>
    <w:rsid w:val="009B542F"/>
    <w:rsid w:val="009B6E5E"/>
    <w:rsid w:val="009B7EF8"/>
    <w:rsid w:val="009C11B1"/>
    <w:rsid w:val="009C13F9"/>
    <w:rsid w:val="009C402F"/>
    <w:rsid w:val="009C5A69"/>
    <w:rsid w:val="009D1437"/>
    <w:rsid w:val="009D587E"/>
    <w:rsid w:val="009D680A"/>
    <w:rsid w:val="009D7E35"/>
    <w:rsid w:val="009E53A3"/>
    <w:rsid w:val="009E5AB7"/>
    <w:rsid w:val="009E65F6"/>
    <w:rsid w:val="009E74DA"/>
    <w:rsid w:val="009F2039"/>
    <w:rsid w:val="009F26A6"/>
    <w:rsid w:val="009F2D9A"/>
    <w:rsid w:val="009F4734"/>
    <w:rsid w:val="009F4B6B"/>
    <w:rsid w:val="009F58D0"/>
    <w:rsid w:val="009F79DC"/>
    <w:rsid w:val="00A00DE4"/>
    <w:rsid w:val="00A034D6"/>
    <w:rsid w:val="00A03DB5"/>
    <w:rsid w:val="00A04B4B"/>
    <w:rsid w:val="00A05486"/>
    <w:rsid w:val="00A06A2B"/>
    <w:rsid w:val="00A07231"/>
    <w:rsid w:val="00A07BF1"/>
    <w:rsid w:val="00A144ED"/>
    <w:rsid w:val="00A1609F"/>
    <w:rsid w:val="00A22594"/>
    <w:rsid w:val="00A22FC1"/>
    <w:rsid w:val="00A2484D"/>
    <w:rsid w:val="00A258C2"/>
    <w:rsid w:val="00A261DF"/>
    <w:rsid w:val="00A276D0"/>
    <w:rsid w:val="00A27C72"/>
    <w:rsid w:val="00A305BA"/>
    <w:rsid w:val="00A32610"/>
    <w:rsid w:val="00A35122"/>
    <w:rsid w:val="00A354D5"/>
    <w:rsid w:val="00A359F6"/>
    <w:rsid w:val="00A369A0"/>
    <w:rsid w:val="00A405DB"/>
    <w:rsid w:val="00A449FD"/>
    <w:rsid w:val="00A44C4E"/>
    <w:rsid w:val="00A46673"/>
    <w:rsid w:val="00A54E67"/>
    <w:rsid w:val="00A559D5"/>
    <w:rsid w:val="00A57051"/>
    <w:rsid w:val="00A602B0"/>
    <w:rsid w:val="00A60666"/>
    <w:rsid w:val="00A60DB0"/>
    <w:rsid w:val="00A618D1"/>
    <w:rsid w:val="00A666DE"/>
    <w:rsid w:val="00A702FC"/>
    <w:rsid w:val="00A70CFC"/>
    <w:rsid w:val="00A71CCB"/>
    <w:rsid w:val="00A72D3C"/>
    <w:rsid w:val="00A772EF"/>
    <w:rsid w:val="00A77F8A"/>
    <w:rsid w:val="00A80881"/>
    <w:rsid w:val="00A82FEA"/>
    <w:rsid w:val="00A8408D"/>
    <w:rsid w:val="00A87849"/>
    <w:rsid w:val="00A9472C"/>
    <w:rsid w:val="00AA0A77"/>
    <w:rsid w:val="00AA4A78"/>
    <w:rsid w:val="00AA5259"/>
    <w:rsid w:val="00AA542A"/>
    <w:rsid w:val="00AA7CF3"/>
    <w:rsid w:val="00AB0454"/>
    <w:rsid w:val="00AB1D20"/>
    <w:rsid w:val="00AB4A79"/>
    <w:rsid w:val="00AC6805"/>
    <w:rsid w:val="00AD394D"/>
    <w:rsid w:val="00AD5306"/>
    <w:rsid w:val="00AD6483"/>
    <w:rsid w:val="00AD7835"/>
    <w:rsid w:val="00AE0779"/>
    <w:rsid w:val="00AE2D5A"/>
    <w:rsid w:val="00AE2F65"/>
    <w:rsid w:val="00AE36D5"/>
    <w:rsid w:val="00AE6733"/>
    <w:rsid w:val="00AE6DB1"/>
    <w:rsid w:val="00AF2316"/>
    <w:rsid w:val="00AF3280"/>
    <w:rsid w:val="00AF34C9"/>
    <w:rsid w:val="00AF49E9"/>
    <w:rsid w:val="00AF5ACF"/>
    <w:rsid w:val="00B008C0"/>
    <w:rsid w:val="00B0598C"/>
    <w:rsid w:val="00B05C4B"/>
    <w:rsid w:val="00B05D21"/>
    <w:rsid w:val="00B10D6F"/>
    <w:rsid w:val="00B124AA"/>
    <w:rsid w:val="00B2081E"/>
    <w:rsid w:val="00B219FF"/>
    <w:rsid w:val="00B227C4"/>
    <w:rsid w:val="00B229A7"/>
    <w:rsid w:val="00B23A76"/>
    <w:rsid w:val="00B269D8"/>
    <w:rsid w:val="00B26FFA"/>
    <w:rsid w:val="00B36A6C"/>
    <w:rsid w:val="00B40B55"/>
    <w:rsid w:val="00B415F0"/>
    <w:rsid w:val="00B4212A"/>
    <w:rsid w:val="00B421BD"/>
    <w:rsid w:val="00B429A5"/>
    <w:rsid w:val="00B4627C"/>
    <w:rsid w:val="00B47959"/>
    <w:rsid w:val="00B500C3"/>
    <w:rsid w:val="00B50C53"/>
    <w:rsid w:val="00B50DD5"/>
    <w:rsid w:val="00B544F0"/>
    <w:rsid w:val="00B545A7"/>
    <w:rsid w:val="00B60382"/>
    <w:rsid w:val="00B6158F"/>
    <w:rsid w:val="00B63D1C"/>
    <w:rsid w:val="00B64B23"/>
    <w:rsid w:val="00B65D67"/>
    <w:rsid w:val="00B70E30"/>
    <w:rsid w:val="00B715D6"/>
    <w:rsid w:val="00B7167E"/>
    <w:rsid w:val="00B7392D"/>
    <w:rsid w:val="00B74005"/>
    <w:rsid w:val="00B80A64"/>
    <w:rsid w:val="00B80D70"/>
    <w:rsid w:val="00B83213"/>
    <w:rsid w:val="00B84CA4"/>
    <w:rsid w:val="00B87D56"/>
    <w:rsid w:val="00B9004B"/>
    <w:rsid w:val="00B904C4"/>
    <w:rsid w:val="00B90A66"/>
    <w:rsid w:val="00B90CD4"/>
    <w:rsid w:val="00B91F8D"/>
    <w:rsid w:val="00B93728"/>
    <w:rsid w:val="00B93D3F"/>
    <w:rsid w:val="00B9565B"/>
    <w:rsid w:val="00B95CBE"/>
    <w:rsid w:val="00B975EE"/>
    <w:rsid w:val="00B97900"/>
    <w:rsid w:val="00BA14F1"/>
    <w:rsid w:val="00BA1AB4"/>
    <w:rsid w:val="00BA2DD4"/>
    <w:rsid w:val="00BA4CDF"/>
    <w:rsid w:val="00BB2E58"/>
    <w:rsid w:val="00BB52F5"/>
    <w:rsid w:val="00BB6E6E"/>
    <w:rsid w:val="00BC005D"/>
    <w:rsid w:val="00BC10F8"/>
    <w:rsid w:val="00BC53DB"/>
    <w:rsid w:val="00BD426A"/>
    <w:rsid w:val="00BD6464"/>
    <w:rsid w:val="00BD64C2"/>
    <w:rsid w:val="00BD6FFA"/>
    <w:rsid w:val="00BD72A1"/>
    <w:rsid w:val="00BE11A5"/>
    <w:rsid w:val="00BE36E5"/>
    <w:rsid w:val="00BE41A3"/>
    <w:rsid w:val="00BE546A"/>
    <w:rsid w:val="00BE5D68"/>
    <w:rsid w:val="00BF7038"/>
    <w:rsid w:val="00BF7AAD"/>
    <w:rsid w:val="00C0001A"/>
    <w:rsid w:val="00C00074"/>
    <w:rsid w:val="00C001DF"/>
    <w:rsid w:val="00C0578A"/>
    <w:rsid w:val="00C06CDD"/>
    <w:rsid w:val="00C1061F"/>
    <w:rsid w:val="00C10AC0"/>
    <w:rsid w:val="00C11B55"/>
    <w:rsid w:val="00C11CB1"/>
    <w:rsid w:val="00C12BB9"/>
    <w:rsid w:val="00C16E0E"/>
    <w:rsid w:val="00C229BF"/>
    <w:rsid w:val="00C25779"/>
    <w:rsid w:val="00C3150F"/>
    <w:rsid w:val="00C331DC"/>
    <w:rsid w:val="00C338DB"/>
    <w:rsid w:val="00C33B68"/>
    <w:rsid w:val="00C3580C"/>
    <w:rsid w:val="00C37602"/>
    <w:rsid w:val="00C47C47"/>
    <w:rsid w:val="00C540BB"/>
    <w:rsid w:val="00C54CCA"/>
    <w:rsid w:val="00C54F22"/>
    <w:rsid w:val="00C55D84"/>
    <w:rsid w:val="00C56393"/>
    <w:rsid w:val="00C6171B"/>
    <w:rsid w:val="00C61909"/>
    <w:rsid w:val="00C62A27"/>
    <w:rsid w:val="00C64580"/>
    <w:rsid w:val="00C64624"/>
    <w:rsid w:val="00C65E08"/>
    <w:rsid w:val="00C67192"/>
    <w:rsid w:val="00C718B7"/>
    <w:rsid w:val="00C71968"/>
    <w:rsid w:val="00C73715"/>
    <w:rsid w:val="00C75274"/>
    <w:rsid w:val="00C77AFE"/>
    <w:rsid w:val="00C80386"/>
    <w:rsid w:val="00C8108C"/>
    <w:rsid w:val="00C83113"/>
    <w:rsid w:val="00C8352C"/>
    <w:rsid w:val="00C876C2"/>
    <w:rsid w:val="00C909AC"/>
    <w:rsid w:val="00C93118"/>
    <w:rsid w:val="00C93AE1"/>
    <w:rsid w:val="00C940BF"/>
    <w:rsid w:val="00C947EB"/>
    <w:rsid w:val="00C95610"/>
    <w:rsid w:val="00C95715"/>
    <w:rsid w:val="00C968B4"/>
    <w:rsid w:val="00C971F9"/>
    <w:rsid w:val="00C97317"/>
    <w:rsid w:val="00CA1B7B"/>
    <w:rsid w:val="00CA3E94"/>
    <w:rsid w:val="00CA406B"/>
    <w:rsid w:val="00CB0CB0"/>
    <w:rsid w:val="00CB0ED4"/>
    <w:rsid w:val="00CB19C2"/>
    <w:rsid w:val="00CB1EFF"/>
    <w:rsid w:val="00CB4C4E"/>
    <w:rsid w:val="00CB5DCD"/>
    <w:rsid w:val="00CB682F"/>
    <w:rsid w:val="00CB7A61"/>
    <w:rsid w:val="00CC1B49"/>
    <w:rsid w:val="00CC363D"/>
    <w:rsid w:val="00CC41FF"/>
    <w:rsid w:val="00CC64CA"/>
    <w:rsid w:val="00CC68BB"/>
    <w:rsid w:val="00CD4387"/>
    <w:rsid w:val="00CE0215"/>
    <w:rsid w:val="00CE458D"/>
    <w:rsid w:val="00CE5E1A"/>
    <w:rsid w:val="00CE6A7A"/>
    <w:rsid w:val="00CE7F7E"/>
    <w:rsid w:val="00CF025B"/>
    <w:rsid w:val="00CF0602"/>
    <w:rsid w:val="00CF1711"/>
    <w:rsid w:val="00CF1C87"/>
    <w:rsid w:val="00CF1E9D"/>
    <w:rsid w:val="00CF22B9"/>
    <w:rsid w:val="00CF2D7E"/>
    <w:rsid w:val="00CF3F70"/>
    <w:rsid w:val="00D0233D"/>
    <w:rsid w:val="00D023EE"/>
    <w:rsid w:val="00D0240D"/>
    <w:rsid w:val="00D040A1"/>
    <w:rsid w:val="00D04291"/>
    <w:rsid w:val="00D0436A"/>
    <w:rsid w:val="00D111F5"/>
    <w:rsid w:val="00D12861"/>
    <w:rsid w:val="00D14DDC"/>
    <w:rsid w:val="00D20378"/>
    <w:rsid w:val="00D2214C"/>
    <w:rsid w:val="00D237DE"/>
    <w:rsid w:val="00D23962"/>
    <w:rsid w:val="00D24A4B"/>
    <w:rsid w:val="00D26F12"/>
    <w:rsid w:val="00D31B0E"/>
    <w:rsid w:val="00D3376F"/>
    <w:rsid w:val="00D350A6"/>
    <w:rsid w:val="00D3783E"/>
    <w:rsid w:val="00D41CFB"/>
    <w:rsid w:val="00D43FD9"/>
    <w:rsid w:val="00D4408D"/>
    <w:rsid w:val="00D44CBD"/>
    <w:rsid w:val="00D45874"/>
    <w:rsid w:val="00D46755"/>
    <w:rsid w:val="00D479AF"/>
    <w:rsid w:val="00D500A1"/>
    <w:rsid w:val="00D51BB1"/>
    <w:rsid w:val="00D5565D"/>
    <w:rsid w:val="00D558F9"/>
    <w:rsid w:val="00D57547"/>
    <w:rsid w:val="00D60137"/>
    <w:rsid w:val="00D6173A"/>
    <w:rsid w:val="00D65680"/>
    <w:rsid w:val="00D6604C"/>
    <w:rsid w:val="00D66756"/>
    <w:rsid w:val="00D67BAD"/>
    <w:rsid w:val="00D729A5"/>
    <w:rsid w:val="00D72ECB"/>
    <w:rsid w:val="00D76B5F"/>
    <w:rsid w:val="00D8542F"/>
    <w:rsid w:val="00D85AF2"/>
    <w:rsid w:val="00D86B2D"/>
    <w:rsid w:val="00D91190"/>
    <w:rsid w:val="00D91D3F"/>
    <w:rsid w:val="00D91FDE"/>
    <w:rsid w:val="00D9781D"/>
    <w:rsid w:val="00DA005F"/>
    <w:rsid w:val="00DA0942"/>
    <w:rsid w:val="00DA0D04"/>
    <w:rsid w:val="00DB11AA"/>
    <w:rsid w:val="00DB4191"/>
    <w:rsid w:val="00DB7352"/>
    <w:rsid w:val="00DB7F2C"/>
    <w:rsid w:val="00DC17C3"/>
    <w:rsid w:val="00DC2CBA"/>
    <w:rsid w:val="00DC33A5"/>
    <w:rsid w:val="00DC33AD"/>
    <w:rsid w:val="00DC34D3"/>
    <w:rsid w:val="00DC4940"/>
    <w:rsid w:val="00DC495A"/>
    <w:rsid w:val="00DC5266"/>
    <w:rsid w:val="00DD46A3"/>
    <w:rsid w:val="00DD50B4"/>
    <w:rsid w:val="00DD739B"/>
    <w:rsid w:val="00DD760F"/>
    <w:rsid w:val="00DE0B28"/>
    <w:rsid w:val="00DE4B08"/>
    <w:rsid w:val="00DE6765"/>
    <w:rsid w:val="00DE7014"/>
    <w:rsid w:val="00DE7BB8"/>
    <w:rsid w:val="00DF0212"/>
    <w:rsid w:val="00DF2BAA"/>
    <w:rsid w:val="00DF2F90"/>
    <w:rsid w:val="00DF45FF"/>
    <w:rsid w:val="00DF7755"/>
    <w:rsid w:val="00E00132"/>
    <w:rsid w:val="00E01250"/>
    <w:rsid w:val="00E03D24"/>
    <w:rsid w:val="00E05701"/>
    <w:rsid w:val="00E0753C"/>
    <w:rsid w:val="00E07EE4"/>
    <w:rsid w:val="00E11488"/>
    <w:rsid w:val="00E12B5E"/>
    <w:rsid w:val="00E158A2"/>
    <w:rsid w:val="00E16F62"/>
    <w:rsid w:val="00E1750C"/>
    <w:rsid w:val="00E22D17"/>
    <w:rsid w:val="00E26992"/>
    <w:rsid w:val="00E30502"/>
    <w:rsid w:val="00E359B9"/>
    <w:rsid w:val="00E37B8A"/>
    <w:rsid w:val="00E41D82"/>
    <w:rsid w:val="00E42135"/>
    <w:rsid w:val="00E42492"/>
    <w:rsid w:val="00E426E5"/>
    <w:rsid w:val="00E43030"/>
    <w:rsid w:val="00E43A3A"/>
    <w:rsid w:val="00E4464A"/>
    <w:rsid w:val="00E46C3E"/>
    <w:rsid w:val="00E47137"/>
    <w:rsid w:val="00E512B0"/>
    <w:rsid w:val="00E527E9"/>
    <w:rsid w:val="00E5372B"/>
    <w:rsid w:val="00E5768A"/>
    <w:rsid w:val="00E61736"/>
    <w:rsid w:val="00E61CDC"/>
    <w:rsid w:val="00E6487C"/>
    <w:rsid w:val="00E64C9D"/>
    <w:rsid w:val="00E6544B"/>
    <w:rsid w:val="00E65876"/>
    <w:rsid w:val="00E718A6"/>
    <w:rsid w:val="00E80FBE"/>
    <w:rsid w:val="00E81E9F"/>
    <w:rsid w:val="00E82183"/>
    <w:rsid w:val="00E84C74"/>
    <w:rsid w:val="00E85F6A"/>
    <w:rsid w:val="00E909DA"/>
    <w:rsid w:val="00E9331A"/>
    <w:rsid w:val="00E96B6D"/>
    <w:rsid w:val="00E97E4C"/>
    <w:rsid w:val="00E97F75"/>
    <w:rsid w:val="00EA1870"/>
    <w:rsid w:val="00EA406F"/>
    <w:rsid w:val="00EA5044"/>
    <w:rsid w:val="00EA7D5B"/>
    <w:rsid w:val="00EB0F82"/>
    <w:rsid w:val="00EB118F"/>
    <w:rsid w:val="00EB1F53"/>
    <w:rsid w:val="00EB4683"/>
    <w:rsid w:val="00EB602D"/>
    <w:rsid w:val="00EB7E2E"/>
    <w:rsid w:val="00EC05E8"/>
    <w:rsid w:val="00EC20F1"/>
    <w:rsid w:val="00EC2289"/>
    <w:rsid w:val="00EC2B3F"/>
    <w:rsid w:val="00EC30C2"/>
    <w:rsid w:val="00EC3BD7"/>
    <w:rsid w:val="00EC3C5B"/>
    <w:rsid w:val="00EC3FA1"/>
    <w:rsid w:val="00EC5EF3"/>
    <w:rsid w:val="00EC6EDE"/>
    <w:rsid w:val="00EC73DD"/>
    <w:rsid w:val="00ED0DA7"/>
    <w:rsid w:val="00ED2FE7"/>
    <w:rsid w:val="00ED3805"/>
    <w:rsid w:val="00ED3841"/>
    <w:rsid w:val="00ED4BF0"/>
    <w:rsid w:val="00ED5B24"/>
    <w:rsid w:val="00ED5E2F"/>
    <w:rsid w:val="00EE0E1C"/>
    <w:rsid w:val="00EE38FD"/>
    <w:rsid w:val="00EE4333"/>
    <w:rsid w:val="00EE4A43"/>
    <w:rsid w:val="00EE5B66"/>
    <w:rsid w:val="00EF12D0"/>
    <w:rsid w:val="00EF2547"/>
    <w:rsid w:val="00EF5573"/>
    <w:rsid w:val="00EF5E39"/>
    <w:rsid w:val="00EF5FB4"/>
    <w:rsid w:val="00F03F64"/>
    <w:rsid w:val="00F042C1"/>
    <w:rsid w:val="00F045FB"/>
    <w:rsid w:val="00F0496E"/>
    <w:rsid w:val="00F05A2A"/>
    <w:rsid w:val="00F07BFB"/>
    <w:rsid w:val="00F109E0"/>
    <w:rsid w:val="00F12D01"/>
    <w:rsid w:val="00F1317F"/>
    <w:rsid w:val="00F13905"/>
    <w:rsid w:val="00F14247"/>
    <w:rsid w:val="00F14918"/>
    <w:rsid w:val="00F1534E"/>
    <w:rsid w:val="00F2209C"/>
    <w:rsid w:val="00F220BC"/>
    <w:rsid w:val="00F23EFD"/>
    <w:rsid w:val="00F245F7"/>
    <w:rsid w:val="00F25DC2"/>
    <w:rsid w:val="00F30E9B"/>
    <w:rsid w:val="00F3442B"/>
    <w:rsid w:val="00F35A19"/>
    <w:rsid w:val="00F36F9F"/>
    <w:rsid w:val="00F37610"/>
    <w:rsid w:val="00F41044"/>
    <w:rsid w:val="00F41878"/>
    <w:rsid w:val="00F4630D"/>
    <w:rsid w:val="00F4695B"/>
    <w:rsid w:val="00F46A3F"/>
    <w:rsid w:val="00F47518"/>
    <w:rsid w:val="00F5261B"/>
    <w:rsid w:val="00F55303"/>
    <w:rsid w:val="00F60439"/>
    <w:rsid w:val="00F609B3"/>
    <w:rsid w:val="00F617DE"/>
    <w:rsid w:val="00F623C8"/>
    <w:rsid w:val="00F63922"/>
    <w:rsid w:val="00F64331"/>
    <w:rsid w:val="00F67816"/>
    <w:rsid w:val="00F72058"/>
    <w:rsid w:val="00F737AC"/>
    <w:rsid w:val="00F73C35"/>
    <w:rsid w:val="00F73E1E"/>
    <w:rsid w:val="00F75168"/>
    <w:rsid w:val="00F803D2"/>
    <w:rsid w:val="00F808D8"/>
    <w:rsid w:val="00F81130"/>
    <w:rsid w:val="00F8405B"/>
    <w:rsid w:val="00F85C49"/>
    <w:rsid w:val="00F9258D"/>
    <w:rsid w:val="00F925E2"/>
    <w:rsid w:val="00F93629"/>
    <w:rsid w:val="00F952C5"/>
    <w:rsid w:val="00F95643"/>
    <w:rsid w:val="00F96A43"/>
    <w:rsid w:val="00F97429"/>
    <w:rsid w:val="00FA31A5"/>
    <w:rsid w:val="00FA361C"/>
    <w:rsid w:val="00FA370C"/>
    <w:rsid w:val="00FA3C47"/>
    <w:rsid w:val="00FA4749"/>
    <w:rsid w:val="00FA53B1"/>
    <w:rsid w:val="00FA6F2C"/>
    <w:rsid w:val="00FB0CC5"/>
    <w:rsid w:val="00FB0D21"/>
    <w:rsid w:val="00FB29FB"/>
    <w:rsid w:val="00FB31FA"/>
    <w:rsid w:val="00FB3BFF"/>
    <w:rsid w:val="00FB3EB6"/>
    <w:rsid w:val="00FB5D65"/>
    <w:rsid w:val="00FB6232"/>
    <w:rsid w:val="00FC2047"/>
    <w:rsid w:val="00FC2763"/>
    <w:rsid w:val="00FC322D"/>
    <w:rsid w:val="00FD13B7"/>
    <w:rsid w:val="00FD259F"/>
    <w:rsid w:val="00FD43DC"/>
    <w:rsid w:val="00FD56CC"/>
    <w:rsid w:val="00FD5A54"/>
    <w:rsid w:val="00FD5D76"/>
    <w:rsid w:val="00FD6179"/>
    <w:rsid w:val="00FD6E37"/>
    <w:rsid w:val="00FD7A4A"/>
    <w:rsid w:val="00FE0406"/>
    <w:rsid w:val="00FE0D65"/>
    <w:rsid w:val="00FE1978"/>
    <w:rsid w:val="00FE2A23"/>
    <w:rsid w:val="00FE327A"/>
    <w:rsid w:val="00FE3EF9"/>
    <w:rsid w:val="00FE4B41"/>
    <w:rsid w:val="00FE7819"/>
    <w:rsid w:val="00FF0695"/>
    <w:rsid w:val="00FF30F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C4D21"/>
  <w15:chartTrackingRefBased/>
  <w15:docId w15:val="{EC2BB4DB-248C-4F44-B8B8-37CAE7F3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5F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5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6E45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D239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51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5DDD"/>
    <w:pPr>
      <w:keepNext/>
      <w:jc w:val="center"/>
      <w:outlineLvl w:val="5"/>
    </w:pPr>
    <w:rPr>
      <w:rFonts w:ascii="Arial" w:hAnsi="Arial" w:cs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978DB"/>
    <w:rPr>
      <w:rFonts w:ascii="Tahoma" w:hAnsi="Tahoma"/>
      <w:sz w:val="16"/>
      <w:szCs w:val="16"/>
    </w:rPr>
  </w:style>
  <w:style w:type="paragraph" w:styleId="Prrafodelista">
    <w:name w:val="List Paragraph"/>
    <w:aliases w:val="texto con viñeta,Sin sangría"/>
    <w:basedOn w:val="Normal"/>
    <w:link w:val="PrrafodelistaCar"/>
    <w:uiPriority w:val="34"/>
    <w:qFormat/>
    <w:rsid w:val="00730242"/>
    <w:pPr>
      <w:ind w:left="708"/>
    </w:pPr>
  </w:style>
  <w:style w:type="paragraph" w:styleId="Encabezado">
    <w:name w:val="header"/>
    <w:basedOn w:val="Normal"/>
    <w:rsid w:val="004C5DDD"/>
    <w:pPr>
      <w:tabs>
        <w:tab w:val="center" w:pos="4252"/>
        <w:tab w:val="right" w:pos="8504"/>
      </w:tabs>
    </w:pPr>
    <w:rPr>
      <w:rFonts w:ascii="Arial" w:hAnsi="Arial" w:cs="Arial"/>
      <w:i/>
      <w:sz w:val="16"/>
      <w:szCs w:val="20"/>
    </w:rPr>
  </w:style>
  <w:style w:type="paragraph" w:customStyle="1" w:styleId="Fuentedeprrafopredet">
    <w:name w:val="Fuente de párrafo predet"/>
    <w:rsid w:val="00077D4B"/>
    <w:pPr>
      <w:widowControl w:val="0"/>
    </w:pPr>
    <w:rPr>
      <w:rFonts w:ascii="CG Times (W1)" w:hAnsi="CG Times (W1)"/>
      <w:lang w:val="es-ES" w:eastAsia="es-ES"/>
    </w:rPr>
  </w:style>
  <w:style w:type="paragraph" w:styleId="Textoindependiente3">
    <w:name w:val="Body Text 3"/>
    <w:basedOn w:val="Normal"/>
    <w:rsid w:val="002668E5"/>
    <w:pPr>
      <w:jc w:val="both"/>
    </w:pPr>
    <w:rPr>
      <w:rFonts w:ascii="Arial" w:hAnsi="Arial" w:cs="Arial"/>
      <w:i/>
      <w:iCs/>
      <w:u w:val="single"/>
    </w:rPr>
  </w:style>
  <w:style w:type="paragraph" w:styleId="Piedepgina">
    <w:name w:val="footer"/>
    <w:basedOn w:val="Normal"/>
    <w:link w:val="PiedepginaCar"/>
    <w:uiPriority w:val="99"/>
    <w:rsid w:val="008C0FF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825F93"/>
    <w:pPr>
      <w:spacing w:after="120"/>
    </w:pPr>
  </w:style>
  <w:style w:type="character" w:customStyle="1" w:styleId="TextoindependienteCar">
    <w:name w:val="Texto independiente Car"/>
    <w:link w:val="Textoindependiente"/>
    <w:rsid w:val="00825F93"/>
    <w:rPr>
      <w:sz w:val="24"/>
      <w:szCs w:val="24"/>
      <w:lang w:val="es-ES" w:eastAsia="es-ES"/>
    </w:rPr>
  </w:style>
  <w:style w:type="paragraph" w:customStyle="1" w:styleId="clau">
    <w:name w:val="clau"/>
    <w:basedOn w:val="Ttulo1"/>
    <w:next w:val="Normal"/>
    <w:autoRedefine/>
    <w:rsid w:val="00825F93"/>
    <w:pPr>
      <w:numPr>
        <w:numId w:val="1"/>
      </w:numPr>
      <w:tabs>
        <w:tab w:val="clear" w:pos="357"/>
        <w:tab w:val="num" w:pos="720"/>
      </w:tabs>
      <w:spacing w:before="120" w:after="0"/>
      <w:ind w:left="720" w:hanging="360"/>
      <w:jc w:val="both"/>
    </w:pPr>
    <w:rPr>
      <w:rFonts w:ascii="Arial" w:hAnsi="Arial"/>
      <w:kern w:val="0"/>
      <w:sz w:val="24"/>
      <w:szCs w:val="20"/>
    </w:rPr>
  </w:style>
  <w:style w:type="character" w:customStyle="1" w:styleId="Ttulo1Car">
    <w:name w:val="Título 1 Car"/>
    <w:link w:val="Ttulo1"/>
    <w:rsid w:val="00825F9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0215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ñeta Car,Sin sangría Car"/>
    <w:basedOn w:val="Fuentedeprrafopredeter"/>
    <w:link w:val="Prrafodelista"/>
    <w:uiPriority w:val="72"/>
    <w:qFormat/>
    <w:rsid w:val="0038087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80A64"/>
    <w:rPr>
      <w:rFonts w:ascii="Cambria" w:eastAsia="Cambria" w:hAnsi="Cambria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0A64"/>
    <w:rPr>
      <w:rFonts w:ascii="Cambria" w:eastAsia="Cambria" w:hAnsi="Cambria"/>
      <w:lang w:val="es-ES_tradnl" w:eastAsia="en-US"/>
    </w:rPr>
  </w:style>
  <w:style w:type="character" w:customStyle="1" w:styleId="Ttulo5Car">
    <w:name w:val="Título 5 Car"/>
    <w:link w:val="Ttulo5"/>
    <w:rsid w:val="00293595"/>
    <w:rPr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6E45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E45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E4522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E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0D7162"/>
    <w:pPr>
      <w:spacing w:after="120"/>
      <w:jc w:val="both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D7162"/>
    <w:rPr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0D7162"/>
    <w:rPr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860F5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187E00"/>
    <w:pPr>
      <w:spacing w:before="100" w:beforeAutospacing="1" w:after="100" w:afterAutospacing="1"/>
    </w:pPr>
    <w:rPr>
      <w:lang w:val="es-CR" w:eastAsia="es-CR"/>
    </w:rPr>
  </w:style>
  <w:style w:type="paragraph" w:styleId="Sinespaciado">
    <w:name w:val="No Spacing"/>
    <w:uiPriority w:val="1"/>
    <w:qFormat/>
    <w:rsid w:val="002C228F"/>
    <w:rPr>
      <w:rFonts w:ascii="Cambria" w:eastAsia="Cambria" w:hAnsi="Cambria"/>
      <w:sz w:val="24"/>
      <w:szCs w:val="24"/>
      <w:lang w:val="es-ES_tradnl"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37F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47360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7360D"/>
    <w:rPr>
      <w:sz w:val="24"/>
      <w:szCs w:val="24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6C4FFB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763AF2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locked/>
    <w:rsid w:val="00F41044"/>
    <w:rPr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154839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E38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7362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D2396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customStyle="1" w:styleId="Ttulo71">
    <w:name w:val="Título 71"/>
    <w:basedOn w:val="Normal"/>
    <w:next w:val="Normal"/>
    <w:unhideWhenUsed/>
    <w:qFormat/>
    <w:rsid w:val="00D23962"/>
    <w:pPr>
      <w:tabs>
        <w:tab w:val="num" w:pos="5040"/>
      </w:tabs>
      <w:spacing w:line="276" w:lineRule="auto"/>
      <w:ind w:left="5040" w:hanging="360"/>
      <w:outlineLvl w:val="6"/>
    </w:pPr>
    <w:rPr>
      <w:rFonts w:ascii="Calibri" w:hAnsi="Calibri"/>
      <w:b/>
      <w:bCs/>
      <w:i/>
      <w:iCs/>
      <w:color w:val="2E74B5"/>
      <w:sz w:val="20"/>
      <w:szCs w:val="20"/>
      <w:lang w:eastAsia="en-US"/>
    </w:rPr>
  </w:style>
  <w:style w:type="paragraph" w:customStyle="1" w:styleId="Ttulo81">
    <w:name w:val="Título 81"/>
    <w:basedOn w:val="Normal"/>
    <w:next w:val="Normal"/>
    <w:unhideWhenUsed/>
    <w:qFormat/>
    <w:rsid w:val="00D23962"/>
    <w:pPr>
      <w:tabs>
        <w:tab w:val="num" w:pos="5760"/>
      </w:tabs>
      <w:spacing w:line="276" w:lineRule="auto"/>
      <w:ind w:left="5760" w:hanging="360"/>
      <w:outlineLvl w:val="7"/>
    </w:pPr>
    <w:rPr>
      <w:rFonts w:ascii="Calibri" w:hAnsi="Calibri"/>
      <w:b/>
      <w:bCs/>
      <w:color w:val="C45911"/>
      <w:sz w:val="20"/>
      <w:szCs w:val="20"/>
      <w:lang w:eastAsia="en-US"/>
    </w:rPr>
  </w:style>
  <w:style w:type="paragraph" w:customStyle="1" w:styleId="Ttulo91">
    <w:name w:val="Título 91"/>
    <w:basedOn w:val="Normal"/>
    <w:next w:val="Normal"/>
    <w:unhideWhenUsed/>
    <w:qFormat/>
    <w:rsid w:val="00D23962"/>
    <w:pPr>
      <w:tabs>
        <w:tab w:val="num" w:pos="6480"/>
      </w:tabs>
      <w:spacing w:line="276" w:lineRule="auto"/>
      <w:ind w:left="6480" w:hanging="180"/>
      <w:outlineLvl w:val="8"/>
    </w:pPr>
    <w:rPr>
      <w:rFonts w:ascii="Calibri" w:hAnsi="Calibri"/>
      <w:b/>
      <w:bCs/>
      <w:i/>
      <w:iCs/>
      <w:color w:val="C45911"/>
      <w:sz w:val="18"/>
      <w:szCs w:val="18"/>
      <w:lang w:eastAsia="en-US"/>
    </w:rPr>
  </w:style>
  <w:style w:type="table" w:customStyle="1" w:styleId="Tablaconcuadrcula9">
    <w:name w:val="Tabla con cuadrícula9"/>
    <w:basedOn w:val="Tablanormal"/>
    <w:next w:val="Tablaconcuadrcula"/>
    <w:locked/>
    <w:rsid w:val="002F636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sid w:val="005F18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288F-BD17-46AC-9C30-50DECA3D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10</Pages>
  <Words>3425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Considerando que:</vt:lpstr>
    </vt:vector>
  </TitlesOfParts>
  <Company/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Considerando que:</dc:title>
  <dc:subject/>
  <dc:creator>Carlos Mata</dc:creator>
  <cp:keywords/>
  <cp:lastModifiedBy>Ana Ruth Solano Moya</cp:lastModifiedBy>
  <cp:revision>56</cp:revision>
  <cp:lastPrinted>2018-04-26T20:10:00Z</cp:lastPrinted>
  <dcterms:created xsi:type="dcterms:W3CDTF">2018-01-31T17:57:00Z</dcterms:created>
  <dcterms:modified xsi:type="dcterms:W3CDTF">2018-05-17T20:29:00Z</dcterms:modified>
</cp:coreProperties>
</file>