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441EC6" w:rsidP="000E4C68">
      <w:pPr>
        <w:tabs>
          <w:tab w:val="left" w:pos="7313"/>
        </w:tabs>
        <w:outlineLvl w:val="4"/>
        <w:rPr>
          <w:rFonts w:ascii="Arial" w:hAnsi="Arial" w:cs="Arial"/>
          <w:b/>
          <w:bCs/>
          <w:iCs/>
          <w:sz w:val="26"/>
          <w:szCs w:val="22"/>
          <w:lang w:val="es-CR"/>
        </w:rPr>
      </w:pPr>
      <w:r>
        <w:rPr>
          <w:rFonts w:ascii="Arial" w:hAnsi="Arial" w:cs="Arial"/>
          <w:b/>
          <w:bCs/>
          <w:iCs/>
          <w:sz w:val="26"/>
          <w:szCs w:val="22"/>
          <w:lang w:val="es-CR"/>
        </w:rPr>
        <w:t>SCI-444-</w:t>
      </w:r>
      <w:r w:rsidR="007742A1"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995F34" w:rsidRDefault="00F52439"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441EC6" w:rsidRDefault="00243B0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243B05" w:rsidRDefault="00243B0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Agustín Francesa</w:t>
            </w:r>
            <w:bookmarkStart w:id="0" w:name="_GoBack"/>
            <w:bookmarkEnd w:id="0"/>
            <w:r>
              <w:rPr>
                <w:rFonts w:ascii="Arial" w:eastAsia="Cambria" w:hAnsi="Arial" w:cs="Arial"/>
                <w:sz w:val="22"/>
                <w:szCs w:val="22"/>
                <w:lang w:val="es-ES_tradnl" w:eastAsia="en-US"/>
              </w:rPr>
              <w:t xml:space="preserve"> Alfaro, Coordinador de la Unidad TEC-Digital</w:t>
            </w:r>
          </w:p>
          <w:p w:rsidR="00995F34" w:rsidRDefault="00995F34" w:rsidP="00F52439">
            <w:pPr>
              <w:jc w:val="both"/>
              <w:rPr>
                <w:rFonts w:ascii="Arial" w:eastAsia="Cambria" w:hAnsi="Arial" w:cs="Arial"/>
                <w:sz w:val="22"/>
                <w:szCs w:val="22"/>
                <w:lang w:val="es-ES_tradnl" w:eastAsia="en-US"/>
              </w:rPr>
            </w:pPr>
          </w:p>
          <w:p w:rsidR="00441EC6" w:rsidRPr="008E0D8C" w:rsidRDefault="00441EC6" w:rsidP="00F52439">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8E0D8C" w:rsidRDefault="00C55D84" w:rsidP="00841F61">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M</w:t>
            </w:r>
            <w:r w:rsidR="003859C1" w:rsidRPr="008E0D8C">
              <w:rPr>
                <w:rFonts w:ascii="Arial" w:eastAsia="Cambria" w:hAnsi="Arial" w:cs="Arial"/>
                <w:sz w:val="22"/>
                <w:szCs w:val="22"/>
                <w:lang w:val="es-ES_tradnl" w:eastAsia="en-US"/>
              </w:rPr>
              <w:t>.A.E.</w:t>
            </w:r>
            <w:r w:rsidRPr="008E0D8C">
              <w:rPr>
                <w:rFonts w:ascii="Arial" w:eastAsia="Cambria" w:hAnsi="Arial" w:cs="Arial"/>
                <w:sz w:val="22"/>
                <w:szCs w:val="22"/>
                <w:lang w:val="es-ES_tradnl" w:eastAsia="en-US"/>
              </w:rPr>
              <w:t xml:space="preserve"> Ana Damaris Quesada Murillo</w:t>
            </w:r>
            <w:r w:rsidR="00841F61" w:rsidRPr="008E0D8C">
              <w:rPr>
                <w:rFonts w:ascii="Arial" w:eastAsia="Cambria" w:hAnsi="Arial" w:cs="Arial"/>
                <w:sz w:val="22"/>
                <w:szCs w:val="22"/>
                <w:lang w:val="es-ES_tradnl" w:eastAsia="en-US"/>
              </w:rPr>
              <w:t>, Directora Ejecutiva</w:t>
            </w:r>
          </w:p>
          <w:p w:rsidR="007742A1" w:rsidRPr="008E0D8C" w:rsidRDefault="00880D5D" w:rsidP="00AC372A">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 xml:space="preserve">Secretaría del </w:t>
            </w:r>
            <w:r w:rsidR="00841F61" w:rsidRPr="008E0D8C">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5243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C001DF" w:rsidRPr="008E0D8C">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 xml:space="preserve">de </w:t>
            </w:r>
            <w:r w:rsidR="000A0FF7">
              <w:rPr>
                <w:rFonts w:ascii="Arial" w:eastAsia="Cambria" w:hAnsi="Arial" w:cs="Arial"/>
                <w:b/>
                <w:sz w:val="22"/>
                <w:szCs w:val="22"/>
                <w:lang w:val="es-ES_tradnl" w:eastAsia="en-US"/>
              </w:rPr>
              <w:t>junio</w:t>
            </w:r>
            <w:r w:rsidR="007742A1" w:rsidRPr="008E0D8C">
              <w:rPr>
                <w:rFonts w:ascii="Arial" w:eastAsia="Cambria" w:hAnsi="Arial" w:cs="Arial"/>
                <w:b/>
                <w:sz w:val="22"/>
                <w:szCs w:val="22"/>
                <w:lang w:val="es-ES_tradnl" w:eastAsia="en-US"/>
              </w:rPr>
              <w:t xml:space="preserve"> 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995F34" w:rsidRDefault="00FF209C" w:rsidP="00F52439">
            <w:pPr>
              <w:jc w:val="both"/>
              <w:rPr>
                <w:rFonts w:ascii="Arial" w:eastAsia="Cambria" w:hAnsi="Arial" w:cs="Arial"/>
                <w:b/>
                <w:color w:val="000000"/>
                <w:sz w:val="22"/>
                <w:szCs w:val="22"/>
                <w:lang w:val="es-CR" w:eastAsia="en-US"/>
              </w:rPr>
            </w:pPr>
            <w:r>
              <w:rPr>
                <w:rFonts w:ascii="Arial" w:eastAsia="Calibri" w:hAnsi="Arial" w:cs="Arial"/>
                <w:b/>
                <w:sz w:val="22"/>
                <w:szCs w:val="22"/>
              </w:rPr>
              <w:t>S</w:t>
            </w:r>
            <w:r w:rsidR="007742A1" w:rsidRPr="00FF209C">
              <w:rPr>
                <w:rFonts w:ascii="Arial" w:eastAsia="Calibri" w:hAnsi="Arial" w:cs="Arial"/>
                <w:b/>
                <w:sz w:val="22"/>
                <w:szCs w:val="22"/>
              </w:rPr>
              <w:t xml:space="preserve">esión Ordinaria No. </w:t>
            </w:r>
            <w:r w:rsidR="00337455" w:rsidRPr="00FF209C">
              <w:rPr>
                <w:rFonts w:ascii="Arial" w:eastAsia="Calibri" w:hAnsi="Arial" w:cs="Arial"/>
                <w:b/>
                <w:sz w:val="22"/>
                <w:szCs w:val="22"/>
              </w:rPr>
              <w:t>30</w:t>
            </w:r>
            <w:r w:rsidRPr="00FF209C">
              <w:rPr>
                <w:rFonts w:ascii="Arial" w:eastAsia="Calibri" w:hAnsi="Arial" w:cs="Arial"/>
                <w:b/>
                <w:sz w:val="22"/>
                <w:szCs w:val="22"/>
              </w:rPr>
              <w:t>7</w:t>
            </w:r>
            <w:r w:rsidR="00F52439">
              <w:rPr>
                <w:rFonts w:ascii="Arial" w:eastAsia="Calibri" w:hAnsi="Arial" w:cs="Arial"/>
                <w:b/>
                <w:sz w:val="22"/>
                <w:szCs w:val="22"/>
              </w:rPr>
              <w:t>7</w:t>
            </w:r>
            <w:r w:rsidR="007742A1" w:rsidRPr="00FF209C">
              <w:rPr>
                <w:rFonts w:ascii="Arial" w:eastAsia="Calibri" w:hAnsi="Arial" w:cs="Arial"/>
                <w:b/>
                <w:sz w:val="22"/>
                <w:szCs w:val="22"/>
              </w:rPr>
              <w:t>, Artículo</w:t>
            </w:r>
            <w:r w:rsidR="00925985" w:rsidRPr="00FF209C">
              <w:rPr>
                <w:rFonts w:ascii="Arial" w:eastAsia="Calibri" w:hAnsi="Arial" w:cs="Arial"/>
                <w:b/>
                <w:sz w:val="22"/>
                <w:szCs w:val="22"/>
              </w:rPr>
              <w:t xml:space="preserve"> </w:t>
            </w:r>
            <w:r w:rsidR="00E019D1">
              <w:rPr>
                <w:rFonts w:ascii="Arial" w:eastAsia="Calibri" w:hAnsi="Arial" w:cs="Arial"/>
                <w:b/>
                <w:sz w:val="22"/>
                <w:szCs w:val="22"/>
              </w:rPr>
              <w:t>9</w:t>
            </w:r>
            <w:r w:rsidR="00FF3C43" w:rsidRPr="00FF209C">
              <w:rPr>
                <w:rFonts w:ascii="Arial" w:eastAsia="Calibri" w:hAnsi="Arial" w:cs="Arial"/>
                <w:b/>
                <w:sz w:val="22"/>
                <w:szCs w:val="22"/>
              </w:rPr>
              <w:t>,</w:t>
            </w:r>
            <w:r w:rsidR="007742A1" w:rsidRPr="00FF209C">
              <w:rPr>
                <w:rFonts w:ascii="Arial" w:eastAsia="Calibri" w:hAnsi="Arial" w:cs="Arial"/>
                <w:b/>
                <w:sz w:val="22"/>
                <w:szCs w:val="22"/>
              </w:rPr>
              <w:t xml:space="preserve"> del </w:t>
            </w:r>
            <w:r w:rsidR="00F52439">
              <w:rPr>
                <w:rFonts w:ascii="Arial" w:eastAsia="Calibri" w:hAnsi="Arial" w:cs="Arial"/>
                <w:b/>
                <w:sz w:val="22"/>
                <w:szCs w:val="22"/>
              </w:rPr>
              <w:t>20</w:t>
            </w:r>
            <w:r w:rsidR="001E1E49">
              <w:rPr>
                <w:rFonts w:ascii="Arial" w:eastAsia="Calibri" w:hAnsi="Arial" w:cs="Arial"/>
                <w:b/>
                <w:sz w:val="22"/>
                <w:szCs w:val="22"/>
              </w:rPr>
              <w:t xml:space="preserve"> </w:t>
            </w:r>
            <w:r w:rsidR="000A0FF7">
              <w:rPr>
                <w:rFonts w:ascii="Arial" w:eastAsia="Calibri" w:hAnsi="Arial" w:cs="Arial"/>
                <w:b/>
                <w:sz w:val="22"/>
                <w:szCs w:val="22"/>
              </w:rPr>
              <w:t xml:space="preserve">de junio </w:t>
            </w:r>
            <w:r w:rsidR="00A772EF" w:rsidRPr="00FF209C">
              <w:rPr>
                <w:rFonts w:ascii="Arial" w:eastAsia="Calibri" w:hAnsi="Arial" w:cs="Arial"/>
                <w:b/>
                <w:sz w:val="22"/>
                <w:szCs w:val="22"/>
              </w:rPr>
              <w:t>de 201</w:t>
            </w:r>
            <w:r w:rsidR="003B6DC0" w:rsidRPr="00FF209C">
              <w:rPr>
                <w:rFonts w:ascii="Arial" w:eastAsia="Calibri" w:hAnsi="Arial" w:cs="Arial"/>
                <w:b/>
                <w:sz w:val="22"/>
                <w:szCs w:val="22"/>
              </w:rPr>
              <w:t>8</w:t>
            </w:r>
            <w:r w:rsidR="00925985" w:rsidRPr="00FF209C">
              <w:rPr>
                <w:rFonts w:ascii="Arial" w:eastAsia="Calibri" w:hAnsi="Arial" w:cs="Arial"/>
                <w:b/>
                <w:sz w:val="22"/>
                <w:szCs w:val="22"/>
              </w:rPr>
              <w:t xml:space="preserve">.  </w:t>
            </w:r>
            <w:r w:rsidR="00F52439" w:rsidRPr="00F52439">
              <w:rPr>
                <w:rFonts w:ascii="Arial" w:eastAsia="Cambria" w:hAnsi="Arial" w:cs="Arial"/>
                <w:b/>
                <w:bCs/>
                <w:sz w:val="22"/>
                <w:szCs w:val="22"/>
                <w:lang w:val="es-CR" w:eastAsia="en-US"/>
              </w:rPr>
              <w:t>Respuesta al oficio TD-98-2018, sobre Consejos en las unidades de apoyo a la academia y nombramiento de su coordinador</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2B4AA8" w:rsidRDefault="002B4AA8" w:rsidP="00441EC6">
      <w:pPr>
        <w:jc w:val="right"/>
        <w:rPr>
          <w:rFonts w:ascii="Arial" w:eastAsia="Cambria" w:hAnsi="Arial" w:cs="Arial"/>
          <w:lang w:val="es-ES_tradnl" w:eastAsia="en-US"/>
        </w:rPr>
      </w:pPr>
    </w:p>
    <w:p w:rsidR="00243B05" w:rsidRPr="00243B05" w:rsidRDefault="00243B05" w:rsidP="00243B05">
      <w:pPr>
        <w:jc w:val="both"/>
        <w:rPr>
          <w:rFonts w:ascii="Arial" w:eastAsia="Calibri" w:hAnsi="Arial" w:cs="Arial"/>
          <w:b/>
          <w:bCs/>
          <w:lang w:val="es-CR" w:eastAsia="en-US"/>
        </w:rPr>
      </w:pPr>
      <w:r w:rsidRPr="00243B05">
        <w:rPr>
          <w:rFonts w:ascii="Arial" w:eastAsia="Calibri" w:hAnsi="Arial" w:cs="Arial"/>
          <w:b/>
          <w:bCs/>
          <w:lang w:val="es-CR" w:eastAsia="en-US"/>
        </w:rPr>
        <w:t>RESULTANDO QUE:</w:t>
      </w:r>
    </w:p>
    <w:p w:rsidR="00243B05" w:rsidRPr="00243B05" w:rsidRDefault="00243B05" w:rsidP="00243B05">
      <w:pPr>
        <w:ind w:left="1320" w:hanging="1320"/>
        <w:jc w:val="both"/>
        <w:rPr>
          <w:rFonts w:ascii="Arial" w:hAnsi="Arial" w:cs="Arial"/>
        </w:rPr>
      </w:pPr>
    </w:p>
    <w:p w:rsidR="00243B05" w:rsidRPr="00243B05" w:rsidRDefault="00243B05" w:rsidP="00243B05">
      <w:pPr>
        <w:numPr>
          <w:ilvl w:val="0"/>
          <w:numId w:val="42"/>
        </w:numPr>
        <w:ind w:left="357" w:hanging="357"/>
        <w:jc w:val="both"/>
        <w:rPr>
          <w:rFonts w:ascii="Arial" w:hAnsi="Arial" w:cs="Arial"/>
          <w:i/>
          <w:sz w:val="20"/>
          <w:szCs w:val="20"/>
          <w:lang w:val="es-CR" w:eastAsia="es-CR"/>
        </w:rPr>
      </w:pPr>
      <w:r w:rsidRPr="00243B05">
        <w:rPr>
          <w:rFonts w:ascii="Arial" w:eastAsia="Calibri" w:hAnsi="Arial" w:cs="Arial"/>
          <w:lang w:val="es-CR" w:eastAsia="es-CR"/>
        </w:rPr>
        <w:t xml:space="preserve">Mediante el oficio TD-98-2018, del 31 de mayo de 2018, dirigido al Dr. Julio Calvo Alvarado, Presidente del Consejo Institucional, el Máster. Agustín Francesa Alfaro, Coordinador de la Unidad TEC-Digital, consulta, en su condición de Coordinador de la Unidad TEC DIGITAL, lo siguiente: </w:t>
      </w:r>
    </w:p>
    <w:p w:rsidR="00243B05" w:rsidRPr="00243B05" w:rsidRDefault="00243B05" w:rsidP="00243B05">
      <w:pPr>
        <w:jc w:val="both"/>
        <w:rPr>
          <w:rFonts w:ascii="Arial" w:hAnsi="Arial" w:cs="Arial"/>
          <w:sz w:val="22"/>
          <w:szCs w:val="22"/>
          <w:lang w:val="es-CR"/>
        </w:rPr>
      </w:pPr>
    </w:p>
    <w:p w:rsidR="00243B05" w:rsidRPr="00243B05" w:rsidRDefault="00243B05" w:rsidP="00243B05">
      <w:pPr>
        <w:numPr>
          <w:ilvl w:val="0"/>
          <w:numId w:val="44"/>
        </w:numPr>
        <w:ind w:right="474"/>
        <w:contextualSpacing/>
        <w:jc w:val="both"/>
        <w:rPr>
          <w:rFonts w:ascii="Arial" w:hAnsi="Arial" w:cs="Arial"/>
          <w:i/>
          <w:sz w:val="22"/>
          <w:szCs w:val="22"/>
        </w:rPr>
      </w:pPr>
      <w:r w:rsidRPr="00243B05">
        <w:rPr>
          <w:rFonts w:ascii="Arial" w:hAnsi="Arial" w:cs="Arial"/>
          <w:i/>
          <w:sz w:val="22"/>
          <w:szCs w:val="22"/>
        </w:rPr>
        <w:t>Realizar la interpretación respectiva sobre si las unidades de apoyo a la academia deben contar con un consejo de unidad y a su vez, se aclare la forma de elección del coordinador de unidades de este tipo.</w:t>
      </w:r>
    </w:p>
    <w:p w:rsidR="00243B05" w:rsidRPr="00243B05" w:rsidRDefault="00243B05" w:rsidP="00243B05">
      <w:pPr>
        <w:ind w:left="708" w:right="474"/>
        <w:jc w:val="both"/>
        <w:rPr>
          <w:rFonts w:ascii="Arial" w:hAnsi="Arial" w:cs="Arial"/>
          <w:i/>
          <w:sz w:val="22"/>
          <w:szCs w:val="22"/>
        </w:rPr>
      </w:pPr>
    </w:p>
    <w:p w:rsidR="00243B05" w:rsidRPr="00243B05" w:rsidRDefault="00243B05" w:rsidP="00243B05">
      <w:pPr>
        <w:numPr>
          <w:ilvl w:val="0"/>
          <w:numId w:val="44"/>
        </w:numPr>
        <w:ind w:right="474"/>
        <w:contextualSpacing/>
        <w:jc w:val="both"/>
        <w:rPr>
          <w:rFonts w:ascii="Arial" w:hAnsi="Arial" w:cs="Arial"/>
          <w:i/>
          <w:sz w:val="22"/>
          <w:szCs w:val="22"/>
        </w:rPr>
      </w:pPr>
      <w:r w:rsidRPr="00243B05">
        <w:rPr>
          <w:rFonts w:ascii="Arial" w:hAnsi="Arial" w:cs="Arial"/>
          <w:i/>
          <w:sz w:val="22"/>
          <w:szCs w:val="22"/>
        </w:rPr>
        <w:t>Así mismo, se indique qué sucede con los acuerdos que fueron tomados por el Consejo de unidad del TEC DIGITAL.</w:t>
      </w:r>
    </w:p>
    <w:p w:rsidR="00243B05" w:rsidRPr="00243B05" w:rsidRDefault="00243B05" w:rsidP="00243B05">
      <w:pPr>
        <w:ind w:left="708" w:right="474"/>
        <w:jc w:val="both"/>
        <w:rPr>
          <w:rFonts w:ascii="Arial" w:hAnsi="Arial" w:cs="Arial"/>
          <w:i/>
          <w:sz w:val="22"/>
          <w:szCs w:val="22"/>
        </w:rPr>
      </w:pPr>
    </w:p>
    <w:p w:rsidR="00243B05" w:rsidRPr="00243B05" w:rsidRDefault="00243B05" w:rsidP="00243B05">
      <w:pPr>
        <w:numPr>
          <w:ilvl w:val="0"/>
          <w:numId w:val="44"/>
        </w:numPr>
        <w:ind w:right="474"/>
        <w:contextualSpacing/>
        <w:jc w:val="both"/>
        <w:rPr>
          <w:rFonts w:ascii="Arial" w:hAnsi="Arial" w:cs="Arial"/>
          <w:i/>
          <w:sz w:val="22"/>
          <w:szCs w:val="22"/>
        </w:rPr>
      </w:pPr>
      <w:r w:rsidRPr="00243B05">
        <w:rPr>
          <w:rFonts w:ascii="Arial" w:hAnsi="Arial" w:cs="Arial"/>
          <w:i/>
          <w:sz w:val="22"/>
          <w:szCs w:val="22"/>
        </w:rPr>
        <w:t>Cómo proceder con los concursos de selección de personal mientras se resuelven los dos puntos anteriores, debido a la necesidad de seguir con los procesos que están suspendidos y los que se deben iniciar</w:t>
      </w:r>
    </w:p>
    <w:p w:rsidR="00243B05" w:rsidRPr="00243B05" w:rsidRDefault="00243B05" w:rsidP="00243B05">
      <w:pPr>
        <w:jc w:val="both"/>
        <w:rPr>
          <w:rFonts w:ascii="Arial" w:hAnsi="Arial" w:cs="Arial"/>
          <w:i/>
          <w:sz w:val="22"/>
          <w:szCs w:val="22"/>
        </w:rPr>
      </w:pPr>
    </w:p>
    <w:p w:rsidR="00243B05" w:rsidRPr="00243B05" w:rsidRDefault="00243B05" w:rsidP="00243B05">
      <w:pPr>
        <w:numPr>
          <w:ilvl w:val="0"/>
          <w:numId w:val="42"/>
        </w:numPr>
        <w:ind w:left="357" w:hanging="357"/>
        <w:jc w:val="both"/>
        <w:rPr>
          <w:rFonts w:ascii="Arial" w:eastAsia="Calibri" w:hAnsi="Arial" w:cs="Arial"/>
          <w:lang w:val="es-CR" w:eastAsia="en-US"/>
        </w:rPr>
      </w:pPr>
      <w:r w:rsidRPr="00243B05">
        <w:rPr>
          <w:rFonts w:ascii="Arial" w:eastAsia="Calibri" w:hAnsi="Arial" w:cs="Arial"/>
          <w:color w:val="000000"/>
          <w:lang w:val="es-CR" w:eastAsia="en-US"/>
        </w:rPr>
        <w:t xml:space="preserve">El Estatuto Orgánico establece en el artículo 50 BIS la figura del Consejo de Área, en el artículo 59 BIS-1 la de Consejo de Unidad de las Unidades internas de las Escuelas y en el artículo 83 BIS-4 la de Consejo de Unidad de las Unidades Desconcentradas. </w:t>
      </w:r>
    </w:p>
    <w:p w:rsidR="00243B05" w:rsidRPr="00243B05" w:rsidRDefault="00243B05" w:rsidP="00243B05">
      <w:pPr>
        <w:jc w:val="both"/>
        <w:rPr>
          <w:rFonts w:ascii="Arial" w:eastAsia="Calibri" w:hAnsi="Arial" w:cs="Arial"/>
          <w:lang w:val="es-CR" w:eastAsia="es-CR"/>
        </w:rPr>
      </w:pPr>
    </w:p>
    <w:p w:rsidR="00243B05" w:rsidRPr="00243B05" w:rsidRDefault="00243B05" w:rsidP="00243B05">
      <w:pPr>
        <w:numPr>
          <w:ilvl w:val="0"/>
          <w:numId w:val="42"/>
        </w:numPr>
        <w:ind w:left="357" w:hanging="357"/>
        <w:jc w:val="both"/>
        <w:rPr>
          <w:rFonts w:ascii="Arial" w:eastAsia="Arial" w:hAnsi="Arial" w:cs="Arial"/>
          <w:i/>
        </w:rPr>
      </w:pPr>
      <w:r w:rsidRPr="00243B05">
        <w:rPr>
          <w:rFonts w:ascii="Arial" w:eastAsia="Arial" w:hAnsi="Arial" w:cs="Arial"/>
        </w:rPr>
        <w:t>El Artículo 32, inciso e, del Estatuto Orgánico del ITCR, establece como función general de los vicerrectores:</w:t>
      </w:r>
    </w:p>
    <w:p w:rsidR="00243B05" w:rsidRPr="00243B05" w:rsidRDefault="00243B05" w:rsidP="00243B05">
      <w:pPr>
        <w:ind w:left="720"/>
        <w:contextualSpacing/>
        <w:rPr>
          <w:rFonts w:ascii="Arial" w:eastAsia="Arial" w:hAnsi="Arial" w:cs="Arial"/>
        </w:rPr>
      </w:pPr>
    </w:p>
    <w:p w:rsidR="00243B05" w:rsidRPr="00243B05" w:rsidRDefault="00243B05" w:rsidP="00243B05">
      <w:pPr>
        <w:ind w:left="709" w:right="333"/>
        <w:jc w:val="both"/>
        <w:rPr>
          <w:rFonts w:ascii="Arial" w:eastAsia="Arial" w:hAnsi="Arial" w:cs="Arial"/>
          <w:i/>
          <w:sz w:val="22"/>
          <w:szCs w:val="22"/>
        </w:rPr>
      </w:pPr>
      <w:r w:rsidRPr="00243B05">
        <w:rPr>
          <w:rFonts w:ascii="Arial" w:eastAsia="Arial" w:hAnsi="Arial" w:cs="Arial"/>
          <w:sz w:val="22"/>
          <w:szCs w:val="22"/>
        </w:rPr>
        <w:t>“</w:t>
      </w:r>
      <w:r w:rsidRPr="00243B05">
        <w:rPr>
          <w:rFonts w:ascii="Arial" w:hAnsi="Arial" w:cs="Arial"/>
          <w:i/>
          <w:sz w:val="22"/>
          <w:szCs w:val="22"/>
        </w:rPr>
        <w:t>Nombrar y remover por causas graves o cuando incurran en acciones u omisiones inconvenientes o perjudiciales para los intereses institucionales o del órgano que dirigen, a los coordinadores de las unidades, o directores de departamentos asesores que, de acuerdo con la estructura organizacional, dependen en forma directa de la Vicerrectoría, y cuyo nombramiento no sea realizado por Asamblea Plebiscitaria.”</w:t>
      </w:r>
    </w:p>
    <w:p w:rsidR="00243B05" w:rsidRPr="00243B05" w:rsidRDefault="00243B05" w:rsidP="00243B05">
      <w:pPr>
        <w:jc w:val="both"/>
        <w:rPr>
          <w:rFonts w:ascii="Arial" w:eastAsia="Calibri" w:hAnsi="Arial" w:cs="Arial"/>
          <w:lang w:eastAsia="en-US"/>
        </w:rPr>
      </w:pPr>
    </w:p>
    <w:p w:rsidR="00243B05" w:rsidRPr="00243B05" w:rsidRDefault="00243B05" w:rsidP="00243B05">
      <w:pPr>
        <w:tabs>
          <w:tab w:val="left" w:pos="3070"/>
        </w:tabs>
        <w:ind w:right="423"/>
        <w:rPr>
          <w:rFonts w:ascii="Arial" w:eastAsia="Arial" w:hAnsi="Arial" w:cs="Arial"/>
          <w:b/>
        </w:rPr>
      </w:pPr>
      <w:r w:rsidRPr="00243B05">
        <w:rPr>
          <w:rFonts w:ascii="Arial" w:eastAsia="Arial" w:hAnsi="Arial" w:cs="Arial"/>
          <w:b/>
        </w:rPr>
        <w:t xml:space="preserve">CONSIDERANDO QUE: </w:t>
      </w:r>
    </w:p>
    <w:p w:rsidR="00243B05" w:rsidRPr="00243B05" w:rsidRDefault="00243B05" w:rsidP="00243B05">
      <w:pPr>
        <w:tabs>
          <w:tab w:val="left" w:pos="3070"/>
        </w:tabs>
        <w:ind w:left="357" w:right="423"/>
        <w:rPr>
          <w:rFonts w:ascii="Arial" w:hAnsi="Arial" w:cs="Arial"/>
          <w:sz w:val="22"/>
          <w:szCs w:val="22"/>
        </w:rPr>
      </w:pPr>
    </w:p>
    <w:p w:rsidR="00243B05" w:rsidRPr="00243B05" w:rsidRDefault="00243B05" w:rsidP="00243B05">
      <w:pPr>
        <w:numPr>
          <w:ilvl w:val="0"/>
          <w:numId w:val="43"/>
        </w:numPr>
        <w:ind w:left="426" w:right="423" w:hanging="426"/>
        <w:jc w:val="both"/>
        <w:rPr>
          <w:rFonts w:ascii="Arial" w:eastAsia="Arial" w:hAnsi="Arial" w:cs="Arial"/>
        </w:rPr>
      </w:pPr>
      <w:bookmarkStart w:id="1" w:name="_Hlk516913224"/>
      <w:r w:rsidRPr="00243B05">
        <w:rPr>
          <w:rFonts w:ascii="Arial" w:eastAsia="Arial" w:hAnsi="Arial" w:cs="Arial"/>
        </w:rPr>
        <w:t>El Estatuto Orgánico establece la figura de los Consejos de Unidad para las Unidades Internas de las Escuelas, las Unidades Desconcentradas y las Áreas Académicas, más no considera la de Consejo de Unidad, en los casos de las unidades de apoyo académico.</w:t>
      </w:r>
    </w:p>
    <w:bookmarkEnd w:id="1"/>
    <w:p w:rsidR="00243B05" w:rsidRPr="00243B05" w:rsidRDefault="00243B05" w:rsidP="00243B05">
      <w:pPr>
        <w:rPr>
          <w:rFonts w:ascii="Arial" w:eastAsia="Arial" w:hAnsi="Arial" w:cs="Arial"/>
        </w:rPr>
      </w:pPr>
    </w:p>
    <w:p w:rsidR="00243B05" w:rsidRPr="00243B05" w:rsidRDefault="00243B05" w:rsidP="00243B05">
      <w:pPr>
        <w:numPr>
          <w:ilvl w:val="0"/>
          <w:numId w:val="43"/>
        </w:numPr>
        <w:ind w:left="426" w:right="423" w:hanging="426"/>
        <w:jc w:val="both"/>
        <w:rPr>
          <w:rFonts w:ascii="Arial" w:eastAsia="Arial" w:hAnsi="Arial" w:cs="Arial"/>
        </w:rPr>
      </w:pPr>
      <w:r w:rsidRPr="00243B05">
        <w:rPr>
          <w:rFonts w:ascii="Arial" w:eastAsia="Arial" w:hAnsi="Arial" w:cs="Arial"/>
        </w:rPr>
        <w:t xml:space="preserve">Las únicas unidades que cuentan con Asamblea Plebiscitaria para el nombramiento de Coordinadores, son las Áreas Académicas y las Unidades Desconcentradas que cuenten con más de diez profesores en propiedad y con nombramientos de al menos medio tiempo. </w:t>
      </w:r>
    </w:p>
    <w:p w:rsidR="00243B05" w:rsidRPr="00243B05" w:rsidRDefault="00243B05" w:rsidP="00243B05">
      <w:pPr>
        <w:ind w:left="357" w:right="423"/>
        <w:jc w:val="both"/>
        <w:rPr>
          <w:rFonts w:ascii="Arial" w:eastAsia="Arial" w:hAnsi="Arial" w:cs="Arial"/>
        </w:rPr>
      </w:pPr>
    </w:p>
    <w:p w:rsidR="00243B05" w:rsidRPr="00243B05" w:rsidRDefault="00243B05" w:rsidP="00243B05">
      <w:pPr>
        <w:numPr>
          <w:ilvl w:val="0"/>
          <w:numId w:val="43"/>
        </w:numPr>
        <w:ind w:left="426" w:right="423" w:hanging="426"/>
        <w:jc w:val="both"/>
        <w:rPr>
          <w:rFonts w:ascii="Arial" w:eastAsia="Arial" w:hAnsi="Arial" w:cs="Arial"/>
        </w:rPr>
      </w:pPr>
      <w:r w:rsidRPr="00243B05">
        <w:rPr>
          <w:rFonts w:ascii="Arial" w:eastAsia="Arial" w:hAnsi="Arial" w:cs="Arial"/>
        </w:rPr>
        <w:t>El Artículo 32, inciso e, del Estatuto Orgánico del ITCR, indica con toda precisión, que compete al Vicerrector el nombramiento de los coordinadores de las unidades o de los directores de los departamentos asesores que dependen en forma directa de la Vicerrectoría y cuyo nombramiento no sea realizado por Asamblea Plebiscitaria.</w:t>
      </w:r>
    </w:p>
    <w:p w:rsidR="00243B05" w:rsidRPr="00243B05" w:rsidRDefault="00243B05" w:rsidP="00243B05">
      <w:pPr>
        <w:ind w:left="357" w:right="423"/>
        <w:jc w:val="both"/>
        <w:rPr>
          <w:rFonts w:ascii="Arial" w:eastAsia="Arial" w:hAnsi="Arial" w:cs="Arial"/>
        </w:rPr>
      </w:pPr>
    </w:p>
    <w:p w:rsidR="00243B05" w:rsidRPr="00243B05" w:rsidRDefault="00243B05" w:rsidP="00243B05">
      <w:pPr>
        <w:numPr>
          <w:ilvl w:val="0"/>
          <w:numId w:val="43"/>
        </w:numPr>
        <w:ind w:left="426" w:right="423" w:hanging="426"/>
        <w:jc w:val="both"/>
        <w:rPr>
          <w:rFonts w:ascii="Arial" w:eastAsia="Arial" w:hAnsi="Arial" w:cs="Arial"/>
        </w:rPr>
      </w:pPr>
      <w:r w:rsidRPr="00243B05">
        <w:rPr>
          <w:rFonts w:ascii="Arial" w:hAnsi="Arial" w:cs="Arial"/>
        </w:rPr>
        <w:t xml:space="preserve">La Unidad TEC Digital está adscrita a la Vicerrectoría de Docencia y es una Unidad de Apoyo Académico. </w:t>
      </w:r>
    </w:p>
    <w:p w:rsidR="00243B05" w:rsidRPr="00243B05" w:rsidRDefault="00243B05" w:rsidP="00243B05">
      <w:pPr>
        <w:ind w:left="357" w:right="423"/>
        <w:jc w:val="both"/>
        <w:rPr>
          <w:rFonts w:ascii="Arial" w:eastAsia="Arial" w:hAnsi="Arial" w:cs="Arial"/>
        </w:rPr>
      </w:pPr>
    </w:p>
    <w:p w:rsidR="00243B05" w:rsidRPr="00243B05" w:rsidRDefault="00243B05" w:rsidP="00243B05">
      <w:pPr>
        <w:numPr>
          <w:ilvl w:val="0"/>
          <w:numId w:val="43"/>
        </w:numPr>
        <w:ind w:left="426" w:right="423" w:hanging="426"/>
        <w:jc w:val="both"/>
        <w:rPr>
          <w:rFonts w:ascii="Arial" w:hAnsi="Arial" w:cs="Arial"/>
        </w:rPr>
      </w:pPr>
      <w:r w:rsidRPr="00243B05">
        <w:rPr>
          <w:rFonts w:ascii="Arial" w:hAnsi="Arial" w:cs="Arial"/>
        </w:rPr>
        <w:t xml:space="preserve">El Estatuto Orgánico es sumamente claro en indicar qué instancias cuentan con Asamblea Plebiscitaria y con Consejo de Unidad, razón por la que resulta innecesario acudir a la figura de la interpretación de ese cuerpo normativo, para responder las consultas del oficio </w:t>
      </w:r>
      <w:r w:rsidRPr="00243B05">
        <w:rPr>
          <w:rFonts w:ascii="Arial" w:eastAsia="Calibri" w:hAnsi="Arial" w:cs="Arial"/>
          <w:bCs/>
          <w:lang w:eastAsia="en-US"/>
        </w:rPr>
        <w:t>TD-98-2018.</w:t>
      </w:r>
    </w:p>
    <w:p w:rsidR="00243B05" w:rsidRPr="00243B05" w:rsidRDefault="00243B05" w:rsidP="00243B05">
      <w:pPr>
        <w:ind w:left="357" w:right="423"/>
        <w:jc w:val="both"/>
        <w:rPr>
          <w:rFonts w:ascii="Arial" w:eastAsia="Arial" w:hAnsi="Arial" w:cs="Arial"/>
        </w:rPr>
      </w:pPr>
    </w:p>
    <w:p w:rsidR="00243B05" w:rsidRPr="00243B05" w:rsidRDefault="00243B05" w:rsidP="00243B05">
      <w:pPr>
        <w:numPr>
          <w:ilvl w:val="0"/>
          <w:numId w:val="43"/>
        </w:numPr>
        <w:ind w:left="426" w:right="423" w:hanging="426"/>
        <w:jc w:val="both"/>
        <w:rPr>
          <w:rFonts w:ascii="Arial" w:hAnsi="Arial" w:cs="Arial"/>
        </w:rPr>
      </w:pPr>
      <w:r w:rsidRPr="00243B05">
        <w:rPr>
          <w:rFonts w:ascii="Arial" w:hAnsi="Arial" w:cs="Arial"/>
        </w:rPr>
        <w:t>Corresponde al superior jerárquico de cada dependencia resolver sobre los casos dudosos, sobre la legalidad de las actuaciones de los subordinados.</w:t>
      </w:r>
    </w:p>
    <w:p w:rsidR="00243B05" w:rsidRPr="00243B05" w:rsidRDefault="00243B05" w:rsidP="00243B05">
      <w:pPr>
        <w:ind w:left="357" w:right="423"/>
        <w:jc w:val="both"/>
        <w:rPr>
          <w:rFonts w:ascii="Arial" w:eastAsia="Arial" w:hAnsi="Arial" w:cs="Arial"/>
        </w:rPr>
      </w:pPr>
    </w:p>
    <w:p w:rsidR="00243B05" w:rsidRPr="00243B05" w:rsidRDefault="00243B05" w:rsidP="00243B05">
      <w:pPr>
        <w:numPr>
          <w:ilvl w:val="0"/>
          <w:numId w:val="43"/>
        </w:numPr>
        <w:ind w:left="426" w:right="423" w:hanging="426"/>
        <w:jc w:val="both"/>
        <w:rPr>
          <w:rFonts w:ascii="Arial" w:hAnsi="Arial" w:cs="Arial"/>
        </w:rPr>
      </w:pPr>
      <w:r w:rsidRPr="00243B05">
        <w:rPr>
          <w:rFonts w:ascii="Arial" w:hAnsi="Arial" w:cs="Arial"/>
        </w:rPr>
        <w:t xml:space="preserve">La Comisión de Planificación y Administración, en la reunión No. 774-2018, realizada el jueves 14 de junio de 2018, recibe al Máster. Agustín Francesa Alfaro, Coordinador de la Unidad TEC-Digital, para el análisis de la consulta planteada en el oficio TD-98-2018.  Se discute ampliamente y se dispone elevar la propuesta al Consejo Institucional para dar respuesta al citado oficio. </w:t>
      </w:r>
    </w:p>
    <w:p w:rsidR="00243B05" w:rsidRPr="00243B05" w:rsidRDefault="00243B05" w:rsidP="00243B05">
      <w:pPr>
        <w:ind w:left="357" w:right="423"/>
        <w:jc w:val="both"/>
        <w:rPr>
          <w:rFonts w:ascii="Arial" w:eastAsia="Arial" w:hAnsi="Arial" w:cs="Arial"/>
        </w:rPr>
      </w:pPr>
    </w:p>
    <w:p w:rsidR="00243B05" w:rsidRPr="00243B05" w:rsidRDefault="00243B05" w:rsidP="00243B05">
      <w:pPr>
        <w:ind w:right="423"/>
        <w:rPr>
          <w:rFonts w:ascii="Arial" w:eastAsia="Arial" w:hAnsi="Arial" w:cs="Arial"/>
          <w:b/>
        </w:rPr>
      </w:pPr>
      <w:r w:rsidRPr="00243B05">
        <w:rPr>
          <w:rFonts w:ascii="Arial" w:eastAsia="Arial" w:hAnsi="Arial" w:cs="Arial"/>
          <w:b/>
        </w:rPr>
        <w:t>SE</w:t>
      </w:r>
      <w:r>
        <w:rPr>
          <w:rFonts w:ascii="Arial" w:eastAsia="Arial" w:hAnsi="Arial" w:cs="Arial"/>
          <w:b/>
        </w:rPr>
        <w:t xml:space="preserve"> ACUERDA</w:t>
      </w:r>
      <w:r w:rsidRPr="00243B05">
        <w:rPr>
          <w:rFonts w:ascii="Arial" w:eastAsia="Arial" w:hAnsi="Arial" w:cs="Arial"/>
          <w:b/>
        </w:rPr>
        <w:t>:</w:t>
      </w:r>
    </w:p>
    <w:p w:rsidR="00243B05" w:rsidRPr="00243B05" w:rsidRDefault="00243B05" w:rsidP="00243B05">
      <w:pPr>
        <w:ind w:left="357" w:right="423"/>
        <w:rPr>
          <w:rFonts w:ascii="Arial" w:hAnsi="Arial" w:cs="Arial"/>
        </w:rPr>
      </w:pPr>
    </w:p>
    <w:p w:rsidR="00243B05" w:rsidRPr="00243B05" w:rsidRDefault="00243B05" w:rsidP="00243B05">
      <w:pPr>
        <w:numPr>
          <w:ilvl w:val="0"/>
          <w:numId w:val="45"/>
        </w:numPr>
        <w:ind w:left="426" w:right="-2" w:hanging="426"/>
        <w:contextualSpacing/>
        <w:jc w:val="both"/>
        <w:rPr>
          <w:rFonts w:ascii="Arial" w:eastAsia="Arial" w:hAnsi="Arial" w:cs="Arial"/>
        </w:rPr>
      </w:pPr>
      <w:r w:rsidRPr="00243B05">
        <w:rPr>
          <w:rFonts w:ascii="Arial" w:eastAsia="Arial" w:hAnsi="Arial" w:cs="Arial"/>
        </w:rPr>
        <w:t xml:space="preserve">Responder las consultas del oficio </w:t>
      </w:r>
      <w:r w:rsidRPr="00243B05">
        <w:rPr>
          <w:rFonts w:ascii="Arial" w:eastAsia="Calibri" w:hAnsi="Arial" w:cs="Arial"/>
          <w:bCs/>
          <w:lang w:eastAsia="en-US"/>
        </w:rPr>
        <w:t>TD-98-2018 en los siguientes términos:</w:t>
      </w:r>
    </w:p>
    <w:p w:rsidR="00243B05" w:rsidRPr="00243B05" w:rsidRDefault="00243B05" w:rsidP="00243B05">
      <w:pPr>
        <w:ind w:right="423"/>
        <w:rPr>
          <w:rFonts w:ascii="Arial" w:eastAsia="Arial" w:hAnsi="Arial" w:cs="Arial"/>
          <w:sz w:val="20"/>
          <w:szCs w:val="20"/>
        </w:rPr>
      </w:pPr>
    </w:p>
    <w:p w:rsidR="00243B05" w:rsidRPr="00243B05" w:rsidRDefault="00243B05" w:rsidP="00243B05">
      <w:pPr>
        <w:ind w:left="1134" w:right="474" w:hanging="567"/>
        <w:jc w:val="both"/>
        <w:rPr>
          <w:rFonts w:ascii="Arial" w:hAnsi="Arial" w:cs="Arial"/>
        </w:rPr>
      </w:pPr>
      <w:r w:rsidRPr="00243B05">
        <w:rPr>
          <w:rFonts w:ascii="Arial" w:hAnsi="Arial" w:cs="Arial"/>
          <w:b/>
        </w:rPr>
        <w:t>a.1.</w:t>
      </w:r>
      <w:r w:rsidRPr="00243B05">
        <w:rPr>
          <w:rFonts w:ascii="Arial" w:hAnsi="Arial" w:cs="Arial"/>
        </w:rPr>
        <w:t xml:space="preserve">  Realizar la interpretación respectiva sobre si las unidades de apoyo a la academia deben contar con un consejo de unidad y a su vez, se aclare la forma de elección del coordinador de unidades de este tipo.</w:t>
      </w:r>
    </w:p>
    <w:p w:rsidR="00243B05" w:rsidRPr="00243B05" w:rsidRDefault="00243B05" w:rsidP="00243B05">
      <w:pPr>
        <w:ind w:left="1162" w:right="423"/>
        <w:jc w:val="both"/>
        <w:rPr>
          <w:rFonts w:ascii="Arial" w:eastAsia="Arial" w:hAnsi="Arial" w:cs="Arial"/>
        </w:rPr>
      </w:pPr>
      <w:r w:rsidRPr="00243B05">
        <w:rPr>
          <w:rFonts w:ascii="Arial" w:eastAsia="Arial" w:hAnsi="Arial" w:cs="Arial"/>
          <w:b/>
        </w:rPr>
        <w:t xml:space="preserve">Respuesta: </w:t>
      </w:r>
      <w:r w:rsidRPr="00243B05">
        <w:rPr>
          <w:rFonts w:ascii="Arial" w:eastAsia="Arial" w:hAnsi="Arial" w:cs="Arial"/>
        </w:rPr>
        <w:t xml:space="preserve">Las unidades de apoyo académico no cuentan con Consejo de Unidad, pues tal figura no está contemplada en el Estatuto Orgánico. El nombramiento de los Coordinadores de las Unidades de apoyo académico compete a la Asamblea Plebiscitaria de Departamento de apoyo académico, cuando esta instancia exista o al vicerrector correspondiente, según lo dispuesto en el artículo 32, inciso e, del Estatuto Orgánico en caso de que no haya Asamblea </w:t>
      </w:r>
      <w:r w:rsidRPr="00243B05">
        <w:rPr>
          <w:rFonts w:ascii="Arial" w:eastAsia="Arial" w:hAnsi="Arial" w:cs="Arial"/>
        </w:rPr>
        <w:lastRenderedPageBreak/>
        <w:t>Plebiscitaria. En el caso de la Unidad TEC DIGITAL es claro que no tiene Consejo de Unidad y que le corresponde al Vicerrector de Docencia el nombramiento del Coordinador.</w:t>
      </w:r>
    </w:p>
    <w:p w:rsidR="00243B05" w:rsidRPr="00243B05" w:rsidRDefault="00243B05" w:rsidP="00243B05">
      <w:pPr>
        <w:ind w:left="282" w:right="423"/>
        <w:rPr>
          <w:rFonts w:ascii="Arial" w:eastAsia="Arial" w:hAnsi="Arial" w:cs="Arial"/>
          <w:sz w:val="16"/>
          <w:szCs w:val="16"/>
        </w:rPr>
      </w:pPr>
    </w:p>
    <w:p w:rsidR="00243B05" w:rsidRPr="00243B05" w:rsidRDefault="00243B05" w:rsidP="00243B05">
      <w:pPr>
        <w:ind w:left="282" w:right="423"/>
        <w:rPr>
          <w:rFonts w:ascii="Arial" w:eastAsia="Arial" w:hAnsi="Arial" w:cs="Arial"/>
          <w:sz w:val="16"/>
          <w:szCs w:val="16"/>
        </w:rPr>
      </w:pPr>
    </w:p>
    <w:p w:rsidR="00243B05" w:rsidRPr="00243B05" w:rsidRDefault="00243B05" w:rsidP="00243B05">
      <w:pPr>
        <w:ind w:left="1064" w:right="474" w:hanging="567"/>
        <w:jc w:val="both"/>
        <w:rPr>
          <w:rFonts w:ascii="Arial" w:hAnsi="Arial" w:cs="Arial"/>
        </w:rPr>
      </w:pPr>
      <w:r w:rsidRPr="00243B05">
        <w:rPr>
          <w:rFonts w:ascii="Arial" w:hAnsi="Arial" w:cs="Arial"/>
          <w:b/>
        </w:rPr>
        <w:t>a.2.</w:t>
      </w:r>
      <w:r w:rsidRPr="00243B05">
        <w:rPr>
          <w:rFonts w:ascii="Arial" w:hAnsi="Arial" w:cs="Arial"/>
        </w:rPr>
        <w:t xml:space="preserve">  Se indique qué sucede con los acuerdos que fueron tomados por el Consejo de Unidad del TEC DIGITAL.</w:t>
      </w:r>
    </w:p>
    <w:p w:rsidR="00243B05" w:rsidRPr="00243B05" w:rsidRDefault="00243B05" w:rsidP="00243B05">
      <w:pPr>
        <w:ind w:left="282" w:right="423"/>
        <w:rPr>
          <w:rFonts w:ascii="Arial" w:eastAsia="Arial" w:hAnsi="Arial" w:cs="Arial"/>
          <w:sz w:val="16"/>
          <w:szCs w:val="16"/>
        </w:rPr>
      </w:pPr>
    </w:p>
    <w:p w:rsidR="00243B05" w:rsidRPr="00243B05" w:rsidRDefault="00243B05" w:rsidP="00243B05">
      <w:pPr>
        <w:ind w:left="1162" w:right="423"/>
        <w:jc w:val="both"/>
        <w:rPr>
          <w:rFonts w:ascii="Arial" w:eastAsia="Arial" w:hAnsi="Arial" w:cs="Arial"/>
        </w:rPr>
      </w:pPr>
      <w:r w:rsidRPr="00243B05">
        <w:rPr>
          <w:rFonts w:ascii="Arial" w:eastAsia="Arial" w:hAnsi="Arial" w:cs="Arial"/>
          <w:b/>
        </w:rPr>
        <w:t xml:space="preserve">Respuesta: </w:t>
      </w:r>
      <w:r w:rsidRPr="00243B05">
        <w:rPr>
          <w:rFonts w:ascii="Arial" w:eastAsia="Arial" w:hAnsi="Arial" w:cs="Arial"/>
        </w:rPr>
        <w:t>corresponde al Vicerrector de Docencia, en su condición de superior jerárquico de la Unidad TEC DIGITAL, resolver sobre la validez o nulidad, como en derecho corresponda, de los acuerdos adoptados por la figura inexistente, desde la perspectiva jurídica del Consejo de Unidad del TEC DIGITAL.</w:t>
      </w:r>
    </w:p>
    <w:p w:rsidR="00243B05" w:rsidRPr="00243B05" w:rsidRDefault="00243B05" w:rsidP="00243B05">
      <w:pPr>
        <w:ind w:left="348" w:right="474"/>
        <w:jc w:val="both"/>
        <w:rPr>
          <w:rFonts w:ascii="Arial" w:hAnsi="Arial" w:cs="Arial"/>
          <w:i/>
          <w:sz w:val="22"/>
          <w:szCs w:val="22"/>
          <w:highlight w:val="yellow"/>
        </w:rPr>
      </w:pPr>
    </w:p>
    <w:p w:rsidR="00243B05" w:rsidRPr="00243B05" w:rsidRDefault="00243B05" w:rsidP="00243B05">
      <w:pPr>
        <w:ind w:left="1064" w:right="474" w:hanging="567"/>
        <w:jc w:val="both"/>
        <w:rPr>
          <w:rFonts w:ascii="Arial" w:hAnsi="Arial" w:cs="Arial"/>
        </w:rPr>
      </w:pPr>
      <w:r w:rsidRPr="00243B05">
        <w:rPr>
          <w:rFonts w:ascii="Arial" w:hAnsi="Arial" w:cs="Arial"/>
          <w:b/>
        </w:rPr>
        <w:t>a.3.</w:t>
      </w:r>
      <w:r w:rsidRPr="00243B05">
        <w:rPr>
          <w:rFonts w:ascii="Arial" w:hAnsi="Arial" w:cs="Arial"/>
        </w:rPr>
        <w:t xml:space="preserve">   Cómo proceder con los concursos de selección de personal mientras se resuelven los dos puntos anteriores, debido a la necesidad de seguir con los procesos que están suspendidos y los que se deben iniciar</w:t>
      </w:r>
    </w:p>
    <w:p w:rsidR="00243B05" w:rsidRPr="00243B05" w:rsidRDefault="00243B05" w:rsidP="00243B05">
      <w:pPr>
        <w:ind w:left="642"/>
        <w:jc w:val="both"/>
        <w:rPr>
          <w:rFonts w:ascii="Arial" w:hAnsi="Arial" w:cs="Arial"/>
          <w:i/>
          <w:sz w:val="16"/>
          <w:szCs w:val="16"/>
        </w:rPr>
      </w:pPr>
    </w:p>
    <w:p w:rsidR="00243B05" w:rsidRPr="00243B05" w:rsidRDefault="00243B05" w:rsidP="00243B05">
      <w:pPr>
        <w:ind w:left="1064" w:right="423"/>
        <w:jc w:val="both"/>
        <w:rPr>
          <w:rFonts w:ascii="Arial" w:eastAsia="Arial" w:hAnsi="Arial" w:cs="Arial"/>
        </w:rPr>
      </w:pPr>
      <w:r w:rsidRPr="00243B05">
        <w:rPr>
          <w:rFonts w:ascii="Arial" w:eastAsia="Arial" w:hAnsi="Arial" w:cs="Arial"/>
          <w:b/>
        </w:rPr>
        <w:t xml:space="preserve">Respuesta: </w:t>
      </w:r>
      <w:r w:rsidRPr="00243B05">
        <w:rPr>
          <w:rFonts w:ascii="Arial" w:eastAsia="Arial" w:hAnsi="Arial" w:cs="Arial"/>
        </w:rPr>
        <w:t xml:space="preserve">los concursos de antecedentes que estén en trámite para el nombramiento de personal, para la Unidad TEC DIGITAL, deberán ser resueltos por el Vicerrector de Docencia, según lo dispuesto en el “Reglamento para concursos de antecedentes internos y externos del personal del Instituto Tecnológico </w:t>
      </w:r>
      <w:r>
        <w:rPr>
          <w:rFonts w:ascii="Arial" w:eastAsia="Arial" w:hAnsi="Arial" w:cs="Arial"/>
        </w:rPr>
        <w:t>d</w:t>
      </w:r>
      <w:r w:rsidRPr="00243B05">
        <w:rPr>
          <w:rFonts w:ascii="Arial" w:eastAsia="Arial" w:hAnsi="Arial" w:cs="Arial"/>
        </w:rPr>
        <w:t>e Costa Rica”, previo análisis de la validez de la convocatoria de tales concursos.</w:t>
      </w:r>
    </w:p>
    <w:p w:rsidR="00243B05" w:rsidRPr="00243B05" w:rsidRDefault="00243B05" w:rsidP="00243B05">
      <w:pPr>
        <w:ind w:left="642"/>
        <w:jc w:val="both"/>
        <w:rPr>
          <w:rFonts w:ascii="Arial" w:hAnsi="Arial" w:cs="Arial"/>
          <w:i/>
          <w:sz w:val="16"/>
          <w:szCs w:val="16"/>
        </w:rPr>
      </w:pPr>
    </w:p>
    <w:p w:rsidR="00243B05" w:rsidRPr="00243B05" w:rsidRDefault="00243B05" w:rsidP="00243B05">
      <w:pPr>
        <w:ind w:left="1064" w:right="474" w:hanging="567"/>
        <w:jc w:val="both"/>
        <w:rPr>
          <w:rFonts w:ascii="Arial" w:eastAsia="Arial" w:hAnsi="Arial" w:cs="Arial"/>
        </w:rPr>
      </w:pPr>
      <w:r w:rsidRPr="00243B05">
        <w:rPr>
          <w:rFonts w:ascii="Arial" w:eastAsia="Arial" w:hAnsi="Arial" w:cs="Arial"/>
          <w:b/>
        </w:rPr>
        <w:t>a.4.</w:t>
      </w:r>
      <w:r w:rsidRPr="00243B05">
        <w:rPr>
          <w:rFonts w:ascii="Arial" w:eastAsia="Arial" w:hAnsi="Arial" w:cs="Arial"/>
        </w:rPr>
        <w:t xml:space="preserve">  Indicar al Vicerrector de Docencia que debe proceder de inmediato a estudiar la validez o la nulidad, según corresponda, de los acuerdos adoptados bajo la figura del Consejo de Unidad del TEC DIGITAL pues tal instancia no se contempla en la normativa vigente, así como adoptar las medidas correctivas que en derecho correspondan.</w:t>
      </w:r>
    </w:p>
    <w:p w:rsidR="00243B05" w:rsidRPr="00243B05" w:rsidRDefault="00243B05" w:rsidP="00243B05">
      <w:pPr>
        <w:ind w:left="642"/>
        <w:jc w:val="both"/>
        <w:rPr>
          <w:rFonts w:ascii="Arial" w:hAnsi="Arial" w:cs="Arial"/>
        </w:rPr>
      </w:pPr>
    </w:p>
    <w:p w:rsidR="00956670" w:rsidRPr="00956670" w:rsidRDefault="00956670" w:rsidP="001E1E49">
      <w:pPr>
        <w:jc w:val="both"/>
        <w:rPr>
          <w:rFonts w:ascii="Arial" w:eastAsia="Cambria" w:hAnsi="Arial" w:cs="Arial"/>
          <w:lang w:eastAsia="en-US"/>
        </w:rPr>
      </w:pPr>
    </w:p>
    <w:p w:rsidR="001E1E49" w:rsidRPr="001E1E49" w:rsidRDefault="003859C1" w:rsidP="00243B05">
      <w:pPr>
        <w:numPr>
          <w:ilvl w:val="0"/>
          <w:numId w:val="45"/>
        </w:numPr>
        <w:ind w:left="426" w:right="-2" w:hanging="426"/>
        <w:contextualSpacing/>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995F34">
        <w:rPr>
          <w:rFonts w:ascii="Arial" w:hAnsi="Arial" w:cs="Arial"/>
          <w:b/>
          <w:lang w:val="es-CR"/>
        </w:rPr>
        <w:t>.</w:t>
      </w:r>
    </w:p>
    <w:p w:rsidR="001E1E49" w:rsidRDefault="001E1E49" w:rsidP="00956670">
      <w:pPr>
        <w:spacing w:before="120"/>
        <w:jc w:val="both"/>
        <w:rPr>
          <w:rFonts w:ascii="Arial" w:hAnsi="Arial" w:cs="Arial"/>
          <w:b/>
          <w:lang w:val="es-CR"/>
        </w:rPr>
      </w:pPr>
    </w:p>
    <w:p w:rsidR="00243B05" w:rsidRDefault="00243B05" w:rsidP="00956670">
      <w:pPr>
        <w:spacing w:before="120"/>
        <w:jc w:val="both"/>
        <w:rPr>
          <w:rFonts w:ascii="Arial" w:hAnsi="Arial" w:cs="Arial"/>
          <w:b/>
          <w:lang w:val="es-CR"/>
        </w:rPr>
      </w:pPr>
    </w:p>
    <w:p w:rsidR="00243B05" w:rsidRPr="00243B05" w:rsidRDefault="00243B05" w:rsidP="00243B05">
      <w:pPr>
        <w:keepNext/>
        <w:jc w:val="both"/>
        <w:outlineLvl w:val="0"/>
        <w:rPr>
          <w:rFonts w:ascii="Arial" w:hAnsi="Arial" w:cs="Arial"/>
          <w:b/>
          <w:sz w:val="22"/>
          <w:szCs w:val="22"/>
        </w:rPr>
      </w:pPr>
      <w:r w:rsidRPr="00243B05">
        <w:rPr>
          <w:rFonts w:ascii="Arial" w:hAnsi="Arial" w:cs="Arial"/>
          <w:b/>
          <w:sz w:val="22"/>
          <w:szCs w:val="22"/>
        </w:rPr>
        <w:t>Palabras clave:  Respuesta – TD-98-2018 – Coordinadores – Unidades - AIP</w:t>
      </w:r>
    </w:p>
    <w:p w:rsidR="00243B05" w:rsidRPr="00243B05" w:rsidRDefault="00243B05" w:rsidP="00243B05">
      <w:pPr>
        <w:keepNext/>
        <w:jc w:val="both"/>
        <w:outlineLvl w:val="0"/>
        <w:rPr>
          <w:rFonts w:ascii="Arial" w:hAnsi="Arial" w:cs="Arial"/>
          <w:b/>
          <w:sz w:val="22"/>
          <w:szCs w:val="22"/>
        </w:rPr>
      </w:pPr>
    </w:p>
    <w:p w:rsidR="00243B05" w:rsidRPr="001E1E49" w:rsidRDefault="00243B05" w:rsidP="001E1E49">
      <w:pPr>
        <w:ind w:left="-709"/>
        <w:rPr>
          <w:rFonts w:ascii="Arial" w:hAnsi="Arial" w:cs="Arial"/>
          <w:b/>
          <w:sz w:val="22"/>
          <w:szCs w:val="22"/>
          <w:lang w:val="es-CR"/>
        </w:rPr>
      </w:pPr>
    </w:p>
    <w:p w:rsidR="001E1E49" w:rsidRPr="001E1E49" w:rsidRDefault="001E1E49" w:rsidP="003859C1">
      <w:pPr>
        <w:jc w:val="both"/>
        <w:rPr>
          <w:rFonts w:ascii="Arial" w:hAnsi="Arial" w:cs="Arial"/>
          <w:b/>
          <w:sz w:val="18"/>
          <w:szCs w:val="18"/>
          <w:lang w:val="es-CR"/>
        </w:rPr>
      </w:pPr>
    </w:p>
    <w:p w:rsidR="001E1E49" w:rsidRPr="002B4AA8" w:rsidRDefault="001E1E49" w:rsidP="003859C1">
      <w:pPr>
        <w:jc w:val="both"/>
        <w:rPr>
          <w:rFonts w:ascii="Arial" w:hAnsi="Arial" w:cs="Arial"/>
          <w:b/>
          <w:sz w:val="18"/>
          <w:szCs w:val="18"/>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3651A" w:rsidRDefault="00956670" w:rsidP="000A0FF7">
      <w:pPr>
        <w:jc w:val="both"/>
        <w:rPr>
          <w:rFonts w:ascii="Arial" w:eastAsia="Cambria" w:hAnsi="Arial" w:cs="Arial"/>
          <w:sz w:val="22"/>
          <w:szCs w:val="22"/>
          <w:lang w:eastAsia="en-US"/>
        </w:rPr>
      </w:pPr>
      <w:r>
        <w:rPr>
          <w:rFonts w:ascii="Arial" w:eastAsia="Cambria" w:hAnsi="Arial" w:cs="Arial"/>
          <w:b/>
          <w:sz w:val="16"/>
          <w:szCs w:val="16"/>
          <w:lang w:val="es-ES_tradnl" w:eastAsia="en-US"/>
        </w:rPr>
        <w:t xml:space="preserve">        </w:t>
      </w:r>
    </w:p>
    <w:p w:rsidR="0003651A" w:rsidRDefault="0003651A" w:rsidP="00F41044">
      <w:pPr>
        <w:jc w:val="both"/>
        <w:rPr>
          <w:rFonts w:ascii="Arial" w:eastAsia="Cambria" w:hAnsi="Arial" w:cs="Arial"/>
          <w:sz w:val="22"/>
          <w:szCs w:val="22"/>
          <w:lang w:eastAsia="en-US"/>
        </w:rPr>
      </w:pPr>
    </w:p>
    <w:p w:rsidR="0003651A" w:rsidRDefault="0003651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DE8" w:rsidRDefault="00467DE8">
      <w:r>
        <w:separator/>
      </w:r>
    </w:p>
  </w:endnote>
  <w:endnote w:type="continuationSeparator" w:id="0">
    <w:p w:rsidR="00467DE8" w:rsidRDefault="0046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DE8" w:rsidRDefault="00467DE8">
      <w:r>
        <w:separator/>
      </w:r>
    </w:p>
  </w:footnote>
  <w:footnote w:type="continuationSeparator" w:id="0">
    <w:p w:rsidR="00467DE8" w:rsidRDefault="0046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209C">
      <w:rPr>
        <w:rFonts w:ascii="Arial" w:eastAsia="Cambria" w:hAnsi="Arial" w:cs="Arial"/>
        <w:i/>
        <w:sz w:val="18"/>
        <w:szCs w:val="18"/>
        <w:lang w:val="es-ES_tradnl" w:eastAsia="x-none"/>
      </w:rPr>
      <w:t>7</w:t>
    </w:r>
    <w:r w:rsidR="00F52439">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E019D1">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52439">
      <w:rPr>
        <w:rFonts w:ascii="Arial" w:eastAsia="Cambria" w:hAnsi="Arial" w:cs="Arial"/>
        <w:i/>
        <w:sz w:val="18"/>
        <w:szCs w:val="18"/>
        <w:lang w:val="es-ES_tradnl" w:eastAsia="x-none"/>
      </w:rPr>
      <w:t>20</w:t>
    </w:r>
    <w:r w:rsidR="00C55D84">
      <w:rPr>
        <w:rFonts w:ascii="Arial" w:eastAsia="Cambria" w:hAnsi="Arial" w:cs="Arial"/>
        <w:i/>
        <w:sz w:val="18"/>
        <w:szCs w:val="18"/>
        <w:lang w:val="es-ES_tradnl" w:eastAsia="x-none"/>
      </w:rPr>
      <w:t xml:space="preserve"> de </w:t>
    </w:r>
    <w:r w:rsidR="002B4AA8">
      <w:rPr>
        <w:rFonts w:ascii="Arial" w:eastAsia="Cambria" w:hAnsi="Arial" w:cs="Arial"/>
        <w:i/>
        <w:sz w:val="18"/>
        <w:szCs w:val="18"/>
        <w:lang w:val="es-ES_tradnl" w:eastAsia="x-none"/>
      </w:rPr>
      <w:t>junio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A5AA2">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4B13F6"/>
    <w:multiLevelType w:val="hybridMultilevel"/>
    <w:tmpl w:val="FDBA58BC"/>
    <w:lvl w:ilvl="0" w:tplc="A5A662BA">
      <w:start w:val="1"/>
      <w:numFmt w:val="decimal"/>
      <w:lvlText w:val="%1."/>
      <w:lvlJc w:val="left"/>
      <w:pPr>
        <w:ind w:left="720" w:hanging="360"/>
      </w:pPr>
      <w:rPr>
        <w:rFonts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AD300B6"/>
    <w:multiLevelType w:val="hybridMultilevel"/>
    <w:tmpl w:val="06AA2A4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AE05988"/>
    <w:multiLevelType w:val="multilevel"/>
    <w:tmpl w:val="A866C36E"/>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0D4534B8"/>
    <w:multiLevelType w:val="hybridMultilevel"/>
    <w:tmpl w:val="881AD67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0E157E37"/>
    <w:multiLevelType w:val="hybridMultilevel"/>
    <w:tmpl w:val="EE8E66CA"/>
    <w:lvl w:ilvl="0" w:tplc="D66EC9A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2"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6" w15:restartNumberingAfterBreak="0">
    <w:nsid w:val="31914A72"/>
    <w:multiLevelType w:val="hybridMultilevel"/>
    <w:tmpl w:val="88489E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33A08C1"/>
    <w:multiLevelType w:val="hybridMultilevel"/>
    <w:tmpl w:val="2086211A"/>
    <w:lvl w:ilvl="0" w:tplc="790E987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8973B45"/>
    <w:multiLevelType w:val="hybridMultilevel"/>
    <w:tmpl w:val="1C9E47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0E2611F"/>
    <w:multiLevelType w:val="hybridMultilevel"/>
    <w:tmpl w:val="68805D16"/>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2"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23" w15:restartNumberingAfterBreak="0">
    <w:nsid w:val="476D5DD6"/>
    <w:multiLevelType w:val="hybridMultilevel"/>
    <w:tmpl w:val="CD5CC008"/>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726677"/>
    <w:multiLevelType w:val="hybridMultilevel"/>
    <w:tmpl w:val="D31674B4"/>
    <w:lvl w:ilvl="0" w:tplc="F5A0BF50">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A4346C"/>
    <w:multiLevelType w:val="hybridMultilevel"/>
    <w:tmpl w:val="CB16A656"/>
    <w:lvl w:ilvl="0" w:tplc="CAB4DAB4">
      <w:start w:val="1"/>
      <w:numFmt w:val="lowerLetter"/>
      <w:lvlText w:val="%1."/>
      <w:lvlJc w:val="left"/>
      <w:pPr>
        <w:ind w:left="717" w:hanging="360"/>
      </w:pPr>
      <w:rPr>
        <w:b/>
      </w:rPr>
    </w:lvl>
    <w:lvl w:ilvl="1" w:tplc="140A0019" w:tentative="1">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26"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C6D1BDE"/>
    <w:multiLevelType w:val="hybridMultilevel"/>
    <w:tmpl w:val="A92C9E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31" w15:restartNumberingAfterBreak="0">
    <w:nsid w:val="6399399C"/>
    <w:multiLevelType w:val="hybridMultilevel"/>
    <w:tmpl w:val="EEEC5288"/>
    <w:lvl w:ilvl="0" w:tplc="93188B10">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3CA7D28"/>
    <w:multiLevelType w:val="hybridMultilevel"/>
    <w:tmpl w:val="7A0E0FAC"/>
    <w:lvl w:ilvl="0" w:tplc="7CD8C9E6">
      <w:start w:val="1"/>
      <w:numFmt w:val="bullet"/>
      <w:lvlText w:val=""/>
      <w:lvlJc w:val="left"/>
      <w:pPr>
        <w:ind w:left="1571" w:hanging="360"/>
      </w:pPr>
      <w:rPr>
        <w:rFonts w:ascii="Symbol" w:hAnsi="Symbol" w:hint="default"/>
        <w:sz w:val="22"/>
        <w:szCs w:val="22"/>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33"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6D925AC1"/>
    <w:multiLevelType w:val="hybridMultilevel"/>
    <w:tmpl w:val="F0860A88"/>
    <w:lvl w:ilvl="0" w:tplc="13EEF42C">
      <w:start w:val="2"/>
      <w:numFmt w:val="upperRoman"/>
      <w:lvlText w:val="%1."/>
      <w:lvlJc w:val="right"/>
      <w:pPr>
        <w:tabs>
          <w:tab w:val="num" w:pos="1080"/>
        </w:tabs>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EB265A2"/>
    <w:multiLevelType w:val="hybridMultilevel"/>
    <w:tmpl w:val="5ABE93E4"/>
    <w:lvl w:ilvl="0" w:tplc="FFE0BDD8">
      <w:start w:val="1"/>
      <w:numFmt w:val="decimal"/>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15:restartNumberingAfterBreak="0">
    <w:nsid w:val="748722D7"/>
    <w:multiLevelType w:val="hybridMultilevel"/>
    <w:tmpl w:val="3B0CA3DC"/>
    <w:lvl w:ilvl="0" w:tplc="5128BA4C">
      <w:start w:val="1"/>
      <w:numFmt w:val="lowerLetter"/>
      <w:lvlText w:val="%1."/>
      <w:lvlJc w:val="left"/>
      <w:pPr>
        <w:ind w:left="720" w:hanging="360"/>
      </w:pPr>
      <w:rPr>
        <w:b/>
        <w:strike w:val="0"/>
        <w:sz w:val="24"/>
        <w:szCs w:val="24"/>
      </w:rPr>
    </w:lvl>
    <w:lvl w:ilvl="1" w:tplc="AC3888C8">
      <w:start w:val="1"/>
      <w:numFmt w:val="decimal"/>
      <w:lvlText w:val="%2."/>
      <w:lvlJc w:val="left"/>
      <w:pPr>
        <w:ind w:left="1440" w:hanging="360"/>
      </w:pPr>
      <w:rPr>
        <w:rFonts w:ascii="Arial" w:hAnsi="Arial" w:cs="Arial" w:hint="default"/>
        <w:b/>
        <w:i w:val="0"/>
        <w:color w:val="auto"/>
        <w:sz w:val="24"/>
        <w:szCs w:val="24"/>
      </w:rPr>
    </w:lvl>
    <w:lvl w:ilvl="2" w:tplc="140A001B">
      <w:start w:val="1"/>
      <w:numFmt w:val="lowerRoman"/>
      <w:lvlText w:val="%3."/>
      <w:lvlJc w:val="right"/>
      <w:pPr>
        <w:ind w:left="2160" w:hanging="180"/>
      </w:pPr>
      <w:rPr>
        <w:rFonts w:hint="default"/>
        <w:b w:val="0"/>
        <w:i w:val="0"/>
        <w:color w:val="auto"/>
        <w:sz w:val="24"/>
        <w:szCs w:val="24"/>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78A33F1"/>
    <w:multiLevelType w:val="hybridMultilevel"/>
    <w:tmpl w:val="550282CC"/>
    <w:lvl w:ilvl="0" w:tplc="5CFE105E">
      <w:start w:val="1"/>
      <w:numFmt w:val="decimal"/>
      <w:lvlText w:val="%1."/>
      <w:lvlJc w:val="left"/>
      <w:pPr>
        <w:ind w:left="786" w:hanging="360"/>
      </w:pPr>
      <w:rPr>
        <w:rFonts w:hint="default"/>
        <w:i/>
        <w:sz w:val="22"/>
        <w:szCs w:val="22"/>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0" w15:restartNumberingAfterBreak="0">
    <w:nsid w:val="79E92A68"/>
    <w:multiLevelType w:val="multilevel"/>
    <w:tmpl w:val="0D2A50CC"/>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BEE382C"/>
    <w:multiLevelType w:val="hybridMultilevel"/>
    <w:tmpl w:val="8690D7B2"/>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5AA877A8">
      <w:start w:val="1"/>
      <w:numFmt w:val="lowerLetter"/>
      <w:lvlText w:val="%2."/>
      <w:lvlJc w:val="left"/>
      <w:pPr>
        <w:ind w:left="447" w:hanging="360"/>
      </w:pPr>
      <w:rPr>
        <w:b/>
      </w:r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abstractNum w:abstractNumId="42" w15:restartNumberingAfterBreak="0">
    <w:nsid w:val="7C300293"/>
    <w:multiLevelType w:val="hybridMultilevel"/>
    <w:tmpl w:val="D7E04F3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num>
  <w:num w:numId="2">
    <w:abstractNumId w:val="38"/>
  </w:num>
  <w:num w:numId="3">
    <w:abstractNumId w:val="26"/>
  </w:num>
  <w:num w:numId="4">
    <w:abstractNumId w:val="2"/>
  </w:num>
  <w:num w:numId="5">
    <w:abstractNumId w:val="13"/>
  </w:num>
  <w:num w:numId="6">
    <w:abstractNumId w:val="29"/>
  </w:num>
  <w:num w:numId="7">
    <w:abstractNumId w:val="14"/>
  </w:num>
  <w:num w:numId="8">
    <w:abstractNumId w:val="8"/>
  </w:num>
  <w:num w:numId="9">
    <w:abstractNumId w:val="20"/>
  </w:num>
  <w:num w:numId="10">
    <w:abstractNumId w:val="11"/>
  </w:num>
  <w:num w:numId="11">
    <w:abstractNumId w:val="30"/>
  </w:num>
  <w:num w:numId="12">
    <w:abstractNumId w:val="34"/>
  </w:num>
  <w:num w:numId="13">
    <w:abstractNumId w:val="19"/>
  </w:num>
  <w:num w:numId="14">
    <w:abstractNumId w:val="28"/>
  </w:num>
  <w:num w:numId="15">
    <w:abstractNumId w:val="0"/>
  </w:num>
  <w:num w:numId="16">
    <w:abstractNumId w:val="12"/>
  </w:num>
  <w:num w:numId="17">
    <w:abstractNumId w:val="10"/>
  </w:num>
  <w:num w:numId="18">
    <w:abstractNumId w:val="33"/>
  </w:num>
  <w:num w:numId="19">
    <w:abstractNumId w:val="22"/>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2"/>
  </w:num>
  <w:num w:numId="26">
    <w:abstractNumId w:val="23"/>
  </w:num>
  <w:num w:numId="27">
    <w:abstractNumId w:val="24"/>
  </w:num>
  <w:num w:numId="28">
    <w:abstractNumId w:val="17"/>
  </w:num>
  <w:num w:numId="29">
    <w:abstractNumId w:val="39"/>
  </w:num>
  <w:num w:numId="30">
    <w:abstractNumId w:val="4"/>
  </w:num>
  <w:num w:numId="31">
    <w:abstractNumId w:val="27"/>
  </w:num>
  <w:num w:numId="32">
    <w:abstractNumId w:val="16"/>
  </w:num>
  <w:num w:numId="33">
    <w:abstractNumId w:val="18"/>
  </w:num>
  <w:num w:numId="34">
    <w:abstractNumId w:val="35"/>
  </w:num>
  <w:num w:numId="35">
    <w:abstractNumId w:val="37"/>
  </w:num>
  <w:num w:numId="36">
    <w:abstractNumId w:val="42"/>
  </w:num>
  <w:num w:numId="37">
    <w:abstractNumId w:val="40"/>
  </w:num>
  <w:num w:numId="38">
    <w:abstractNumId w:val="1"/>
  </w:num>
  <w:num w:numId="39">
    <w:abstractNumId w:val="9"/>
  </w:num>
  <w:num w:numId="40">
    <w:abstractNumId w:val="36"/>
  </w:num>
  <w:num w:numId="41">
    <w:abstractNumId w:val="7"/>
  </w:num>
  <w:num w:numId="42">
    <w:abstractNumId w:val="15"/>
  </w:num>
  <w:num w:numId="43">
    <w:abstractNumId w:val="5"/>
  </w:num>
  <w:num w:numId="44">
    <w:abstractNumId w:val="21"/>
  </w:num>
  <w:num w:numId="4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1503"/>
    <w:rsid w:val="00242D06"/>
    <w:rsid w:val="00242F8A"/>
    <w:rsid w:val="00243B05"/>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1EC6"/>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67DE8"/>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9E6"/>
    <w:rsid w:val="00610697"/>
    <w:rsid w:val="0061239A"/>
    <w:rsid w:val="00612C0F"/>
    <w:rsid w:val="006133E5"/>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2428"/>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0D8C"/>
    <w:rsid w:val="008E18B1"/>
    <w:rsid w:val="008E23D2"/>
    <w:rsid w:val="008E3496"/>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3DC8"/>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229BF"/>
    <w:rsid w:val="00C25779"/>
    <w:rsid w:val="00C3150F"/>
    <w:rsid w:val="00C331DC"/>
    <w:rsid w:val="00C338DB"/>
    <w:rsid w:val="00C33B68"/>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0E82"/>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5701"/>
    <w:rsid w:val="00E0753C"/>
    <w:rsid w:val="00E07EE4"/>
    <w:rsid w:val="00E11488"/>
    <w:rsid w:val="00E12B5E"/>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439"/>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5AA2"/>
    <w:rsid w:val="00FA6F2C"/>
    <w:rsid w:val="00FB0CC5"/>
    <w:rsid w:val="00FB0D21"/>
    <w:rsid w:val="00FB29FB"/>
    <w:rsid w:val="00FB31FA"/>
    <w:rsid w:val="00FB3BFF"/>
    <w:rsid w:val="00FB3EB6"/>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209C"/>
    <w:rsid w:val="00FF30F2"/>
    <w:rsid w:val="00FF3C43"/>
    <w:rsid w:val="00FF4DC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3C8F1-52E7-4868-8AF9-8321E983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1006</Words>
  <Characters>5539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22</cp:revision>
  <cp:lastPrinted>2018-06-20T22:10:00Z</cp:lastPrinted>
  <dcterms:created xsi:type="dcterms:W3CDTF">2018-05-02T21:37:00Z</dcterms:created>
  <dcterms:modified xsi:type="dcterms:W3CDTF">2018-06-21T13:31:00Z</dcterms:modified>
</cp:coreProperties>
</file>