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C67009">
        <w:rPr>
          <w:rFonts w:ascii="Arial" w:hAnsi="Arial" w:cs="Arial"/>
          <w:b/>
          <w:bCs/>
          <w:iCs/>
          <w:sz w:val="26"/>
          <w:szCs w:val="22"/>
          <w:lang w:val="es-CR"/>
        </w:rPr>
        <w:t>465</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6B3F64"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p>
    <w:p w:rsidR="001F5556" w:rsidRDefault="001F5556" w:rsidP="00337455">
      <w:pPr>
        <w:tabs>
          <w:tab w:val="left" w:pos="6612"/>
        </w:tabs>
        <w:rPr>
          <w:rFonts w:ascii="Arial" w:eastAsia="Cambria" w:hAnsi="Arial" w:cs="Arial"/>
          <w:b/>
          <w:bCs/>
          <w:iCs/>
          <w:sz w:val="40"/>
          <w:szCs w:val="44"/>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D84205" w:rsidRPr="00D84205" w:rsidTr="00291012">
        <w:trPr>
          <w:trHeight w:val="643"/>
        </w:trPr>
        <w:tc>
          <w:tcPr>
            <w:tcW w:w="1394" w:type="dxa"/>
          </w:tcPr>
          <w:p w:rsidR="00D84205" w:rsidRPr="00D84205" w:rsidRDefault="00D84205" w:rsidP="00D84205">
            <w:pPr>
              <w:tabs>
                <w:tab w:val="right" w:pos="2100"/>
                <w:tab w:val="left" w:pos="2694"/>
              </w:tabs>
              <w:rPr>
                <w:rFonts w:ascii="Arial" w:eastAsia="SimSun" w:hAnsi="Arial" w:cs="Arial"/>
                <w:b/>
                <w:iCs/>
                <w:lang w:val="es-ES_tradnl" w:eastAsia="en-US"/>
              </w:rPr>
            </w:pPr>
            <w:r w:rsidRPr="00D84205">
              <w:rPr>
                <w:rFonts w:ascii="Arial" w:eastAsia="SimSun" w:hAnsi="Arial" w:cs="Arial"/>
                <w:b/>
                <w:iCs/>
                <w:lang w:val="es-ES_tradnl" w:eastAsia="en-US"/>
              </w:rPr>
              <w:t>Para:</w:t>
            </w:r>
          </w:p>
        </w:tc>
        <w:tc>
          <w:tcPr>
            <w:tcW w:w="8082" w:type="dxa"/>
          </w:tcPr>
          <w:p w:rsidR="00D84205" w:rsidRPr="00D84205" w:rsidRDefault="00D84205" w:rsidP="00D84205">
            <w:pPr>
              <w:jc w:val="both"/>
              <w:rPr>
                <w:rFonts w:ascii="Arial" w:eastAsia="Cambria" w:hAnsi="Arial" w:cs="Arial"/>
                <w:sz w:val="22"/>
                <w:szCs w:val="22"/>
                <w:lang w:val="es-ES_tradnl" w:eastAsia="en-US"/>
              </w:rPr>
            </w:pPr>
            <w:r w:rsidRPr="00D84205">
              <w:rPr>
                <w:rFonts w:ascii="Arial" w:eastAsia="Cambria" w:hAnsi="Arial" w:cs="Arial"/>
                <w:sz w:val="22"/>
                <w:szCs w:val="22"/>
                <w:lang w:val="es-ES_tradnl" w:eastAsia="en-US"/>
              </w:rPr>
              <w:t xml:space="preserve">Dr. Julio Calvo Alvarado, Rector </w:t>
            </w:r>
          </w:p>
          <w:p w:rsidR="00D84205" w:rsidRDefault="00D84205" w:rsidP="00D84205">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Humberto Villalta Solano, Vicerrector de Administración</w:t>
            </w:r>
          </w:p>
          <w:p w:rsidR="00D84205" w:rsidRDefault="00D84205" w:rsidP="00D84205">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Alfredo Villarreal Rodríguez, Director DATIC</w:t>
            </w:r>
          </w:p>
          <w:p w:rsidR="00D84205" w:rsidRDefault="00D84205" w:rsidP="00D84205">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M.A.E. Marcel Hernández Mora, Director </w:t>
            </w:r>
            <w:proofErr w:type="spellStart"/>
            <w:r>
              <w:rPr>
                <w:rFonts w:ascii="Arial" w:eastAsia="Cambria" w:hAnsi="Arial" w:cs="Arial"/>
                <w:sz w:val="22"/>
                <w:szCs w:val="22"/>
                <w:lang w:val="es-ES_tradnl" w:eastAsia="en-US"/>
              </w:rPr>
              <w:t>a.i.</w:t>
            </w:r>
            <w:proofErr w:type="spellEnd"/>
            <w:r>
              <w:rPr>
                <w:rFonts w:ascii="Arial" w:eastAsia="Cambria" w:hAnsi="Arial" w:cs="Arial"/>
                <w:sz w:val="22"/>
                <w:szCs w:val="22"/>
                <w:lang w:val="es-ES_tradnl" w:eastAsia="en-US"/>
              </w:rPr>
              <w:t xml:space="preserve"> Oficina de Planificación Institucional</w:t>
            </w:r>
          </w:p>
          <w:p w:rsidR="00D84205" w:rsidRPr="00D84205" w:rsidRDefault="00D84205" w:rsidP="00D84205">
            <w:pPr>
              <w:ind w:left="45"/>
              <w:jc w:val="both"/>
              <w:rPr>
                <w:rFonts w:ascii="Arial" w:eastAsia="Cambria" w:hAnsi="Arial" w:cs="Arial"/>
                <w:sz w:val="22"/>
                <w:szCs w:val="22"/>
                <w:lang w:val="es-ES_tradnl" w:eastAsia="en-US"/>
              </w:rPr>
            </w:pPr>
          </w:p>
        </w:tc>
      </w:tr>
      <w:tr w:rsidR="00D84205" w:rsidRPr="00D84205" w:rsidTr="00291012">
        <w:trPr>
          <w:trHeight w:val="632"/>
        </w:trPr>
        <w:tc>
          <w:tcPr>
            <w:tcW w:w="1394" w:type="dxa"/>
          </w:tcPr>
          <w:p w:rsidR="00D84205" w:rsidRPr="00D84205" w:rsidRDefault="00D84205" w:rsidP="00D84205">
            <w:pPr>
              <w:rPr>
                <w:rFonts w:ascii="Arial" w:eastAsia="SimSun" w:hAnsi="Arial" w:cs="Arial"/>
                <w:b/>
                <w:lang w:val="es-ES_tradnl" w:eastAsia="en-US"/>
              </w:rPr>
            </w:pPr>
            <w:r w:rsidRPr="00D84205">
              <w:rPr>
                <w:rFonts w:ascii="Arial" w:eastAsia="SimSun" w:hAnsi="Arial" w:cs="Arial"/>
                <w:b/>
                <w:lang w:val="es-ES_tradnl" w:eastAsia="en-US"/>
              </w:rPr>
              <w:t xml:space="preserve">De: </w:t>
            </w:r>
          </w:p>
        </w:tc>
        <w:tc>
          <w:tcPr>
            <w:tcW w:w="8082" w:type="dxa"/>
          </w:tcPr>
          <w:p w:rsidR="00D84205" w:rsidRPr="00D84205" w:rsidRDefault="00D84205" w:rsidP="00D84205">
            <w:pPr>
              <w:ind w:left="45"/>
              <w:jc w:val="both"/>
              <w:rPr>
                <w:rFonts w:ascii="Arial" w:eastAsia="Cambria" w:hAnsi="Arial" w:cs="Arial"/>
                <w:sz w:val="22"/>
                <w:szCs w:val="22"/>
                <w:lang w:val="es-ES_tradnl" w:eastAsia="en-US"/>
              </w:rPr>
            </w:pPr>
            <w:r w:rsidRPr="00D84205">
              <w:rPr>
                <w:rFonts w:ascii="Arial" w:eastAsia="Cambria" w:hAnsi="Arial" w:cs="Arial"/>
                <w:sz w:val="22"/>
                <w:szCs w:val="22"/>
                <w:lang w:val="es-ES_tradnl" w:eastAsia="en-US"/>
              </w:rPr>
              <w:t>M.A.E. Ana Damaris Quesada Murillo, Directora Ejecutiva</w:t>
            </w:r>
          </w:p>
          <w:p w:rsidR="00D84205" w:rsidRPr="00D84205" w:rsidRDefault="00D84205" w:rsidP="00D84205">
            <w:pPr>
              <w:ind w:left="45"/>
              <w:jc w:val="both"/>
              <w:rPr>
                <w:rFonts w:ascii="Arial" w:eastAsia="Cambria" w:hAnsi="Arial" w:cs="Arial"/>
                <w:sz w:val="22"/>
                <w:szCs w:val="22"/>
                <w:lang w:val="es-ES_tradnl" w:eastAsia="en-US"/>
              </w:rPr>
            </w:pPr>
            <w:r w:rsidRPr="00D84205">
              <w:rPr>
                <w:rFonts w:ascii="Arial" w:eastAsia="Cambria" w:hAnsi="Arial" w:cs="Arial"/>
                <w:sz w:val="22"/>
                <w:szCs w:val="22"/>
                <w:lang w:val="es-ES_tradnl" w:eastAsia="en-US"/>
              </w:rPr>
              <w:t>Secretaría del Consejo Institucional</w:t>
            </w:r>
          </w:p>
        </w:tc>
      </w:tr>
      <w:tr w:rsidR="00D84205" w:rsidRPr="00D84205" w:rsidTr="00291012">
        <w:trPr>
          <w:trHeight w:val="275"/>
        </w:trPr>
        <w:tc>
          <w:tcPr>
            <w:tcW w:w="1394" w:type="dxa"/>
          </w:tcPr>
          <w:p w:rsidR="00D84205" w:rsidRPr="00D84205" w:rsidRDefault="00D84205" w:rsidP="00D84205">
            <w:pPr>
              <w:rPr>
                <w:rFonts w:ascii="Arial" w:eastAsia="SimSun" w:hAnsi="Arial" w:cs="Arial"/>
                <w:b/>
                <w:lang w:val="es-ES_tradnl" w:eastAsia="en-US"/>
              </w:rPr>
            </w:pPr>
          </w:p>
          <w:p w:rsidR="00D84205" w:rsidRPr="00D84205" w:rsidRDefault="00D84205" w:rsidP="00D84205">
            <w:pPr>
              <w:rPr>
                <w:rFonts w:ascii="Arial" w:eastAsia="SimSun" w:hAnsi="Arial" w:cs="Arial"/>
                <w:b/>
                <w:lang w:val="es-ES_tradnl" w:eastAsia="en-US"/>
              </w:rPr>
            </w:pPr>
            <w:r w:rsidRPr="00D84205">
              <w:rPr>
                <w:rFonts w:ascii="Arial" w:eastAsia="SimSun" w:hAnsi="Arial" w:cs="Arial"/>
                <w:b/>
                <w:lang w:val="es-ES_tradnl" w:eastAsia="en-US"/>
              </w:rPr>
              <w:t>Fecha:</w:t>
            </w:r>
          </w:p>
        </w:tc>
        <w:tc>
          <w:tcPr>
            <w:tcW w:w="8082" w:type="dxa"/>
          </w:tcPr>
          <w:p w:rsidR="00D84205" w:rsidRPr="00D84205" w:rsidRDefault="00D84205" w:rsidP="00D84205">
            <w:pPr>
              <w:tabs>
                <w:tab w:val="right" w:pos="2410"/>
                <w:tab w:val="left" w:pos="2694"/>
              </w:tabs>
              <w:rPr>
                <w:rFonts w:ascii="Arial" w:eastAsia="Cambria" w:hAnsi="Arial" w:cs="Arial"/>
                <w:b/>
                <w:sz w:val="22"/>
                <w:szCs w:val="22"/>
                <w:lang w:eastAsia="en-US"/>
              </w:rPr>
            </w:pPr>
          </w:p>
          <w:p w:rsidR="00D84205" w:rsidRPr="00D84205" w:rsidRDefault="00D84205" w:rsidP="00D84205">
            <w:pPr>
              <w:jc w:val="both"/>
              <w:rPr>
                <w:rFonts w:ascii="Arial" w:eastAsia="Cambria" w:hAnsi="Arial" w:cs="Arial"/>
                <w:b/>
                <w:sz w:val="22"/>
                <w:szCs w:val="22"/>
                <w:lang w:val="es-ES_tradnl" w:eastAsia="en-US"/>
              </w:rPr>
            </w:pPr>
            <w:r w:rsidRPr="00D84205">
              <w:rPr>
                <w:rFonts w:ascii="Arial" w:eastAsia="Cambria" w:hAnsi="Arial" w:cs="Arial"/>
                <w:b/>
                <w:sz w:val="22"/>
                <w:szCs w:val="22"/>
                <w:lang w:val="es-ES_tradnl" w:eastAsia="en-US"/>
              </w:rPr>
              <w:t>27 de junio de 2018</w:t>
            </w:r>
          </w:p>
          <w:p w:rsidR="00D84205" w:rsidRPr="00D84205" w:rsidRDefault="00D84205" w:rsidP="00D84205">
            <w:pPr>
              <w:jc w:val="both"/>
              <w:rPr>
                <w:rFonts w:ascii="Arial" w:eastAsia="Cambria" w:hAnsi="Arial" w:cs="Arial"/>
                <w:b/>
                <w:sz w:val="22"/>
                <w:szCs w:val="22"/>
                <w:lang w:val="es-ES_tradnl" w:eastAsia="en-US"/>
              </w:rPr>
            </w:pPr>
          </w:p>
        </w:tc>
      </w:tr>
      <w:tr w:rsidR="00D84205" w:rsidRPr="00D84205" w:rsidTr="00291012">
        <w:trPr>
          <w:trHeight w:val="275"/>
        </w:trPr>
        <w:tc>
          <w:tcPr>
            <w:tcW w:w="1394" w:type="dxa"/>
          </w:tcPr>
          <w:p w:rsidR="00D84205" w:rsidRPr="00D84205" w:rsidRDefault="00D84205" w:rsidP="00D84205">
            <w:pPr>
              <w:rPr>
                <w:rFonts w:ascii="Arial" w:eastAsia="SimSun" w:hAnsi="Arial" w:cs="Arial"/>
                <w:b/>
                <w:sz w:val="22"/>
                <w:szCs w:val="22"/>
                <w:lang w:val="es-ES_tradnl" w:eastAsia="en-US"/>
              </w:rPr>
            </w:pPr>
            <w:r w:rsidRPr="00D84205">
              <w:rPr>
                <w:rFonts w:ascii="Arial" w:eastAsia="SimSun" w:hAnsi="Arial" w:cs="Arial"/>
                <w:b/>
                <w:sz w:val="22"/>
                <w:szCs w:val="22"/>
                <w:lang w:val="es-ES_tradnl" w:eastAsia="en-US"/>
              </w:rPr>
              <w:t>Asunto:</w:t>
            </w:r>
          </w:p>
        </w:tc>
        <w:tc>
          <w:tcPr>
            <w:tcW w:w="8082" w:type="dxa"/>
          </w:tcPr>
          <w:p w:rsidR="00D84205" w:rsidRPr="00D84205" w:rsidRDefault="00D84205" w:rsidP="00D84205">
            <w:pPr>
              <w:autoSpaceDE w:val="0"/>
              <w:autoSpaceDN w:val="0"/>
              <w:adjustRightInd w:val="0"/>
              <w:jc w:val="both"/>
              <w:rPr>
                <w:rFonts w:ascii="Arial" w:eastAsia="Cambria" w:hAnsi="Arial" w:cs="Arial"/>
                <w:b/>
                <w:color w:val="000000"/>
                <w:sz w:val="22"/>
                <w:szCs w:val="22"/>
                <w:lang w:val="es-CR" w:eastAsia="en-US"/>
              </w:rPr>
            </w:pPr>
            <w:r w:rsidRPr="00D84205">
              <w:rPr>
                <w:rFonts w:ascii="Arial" w:eastAsia="Calibri" w:hAnsi="Arial" w:cs="Arial"/>
                <w:b/>
                <w:sz w:val="22"/>
                <w:szCs w:val="22"/>
              </w:rPr>
              <w:t>Sesión Ordinaria No. 3078, Artículo 1</w:t>
            </w:r>
            <w:r>
              <w:rPr>
                <w:rFonts w:ascii="Arial" w:eastAsia="Calibri" w:hAnsi="Arial" w:cs="Arial"/>
                <w:b/>
                <w:sz w:val="22"/>
                <w:szCs w:val="22"/>
              </w:rPr>
              <w:t>3</w:t>
            </w:r>
            <w:r w:rsidRPr="00D84205">
              <w:rPr>
                <w:rFonts w:ascii="Arial" w:eastAsia="Calibri" w:hAnsi="Arial" w:cs="Arial"/>
                <w:b/>
                <w:sz w:val="22"/>
                <w:szCs w:val="22"/>
              </w:rPr>
              <w:t xml:space="preserve">, del 27 de junio de 2018.  </w:t>
            </w:r>
            <w:r>
              <w:rPr>
                <w:rFonts w:ascii="Arial" w:eastAsia="Calibri" w:hAnsi="Arial" w:cs="Arial"/>
                <w:b/>
                <w:sz w:val="22"/>
                <w:szCs w:val="22"/>
              </w:rPr>
              <w:t xml:space="preserve">Promover el desarrollo de las TIC’S en el ITCR </w:t>
            </w:r>
          </w:p>
        </w:tc>
      </w:tr>
    </w:tbl>
    <w:p w:rsidR="006B3F64" w:rsidRDefault="006B3F64"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2B4AA8" w:rsidRDefault="002B4AA8" w:rsidP="007742A1">
      <w:pPr>
        <w:jc w:val="both"/>
        <w:rPr>
          <w:rFonts w:ascii="Arial" w:eastAsia="Cambria" w:hAnsi="Arial" w:cs="Arial"/>
          <w:lang w:val="es-ES_tradnl" w:eastAsia="en-US"/>
        </w:rPr>
      </w:pPr>
    </w:p>
    <w:p w:rsidR="00C67009" w:rsidRPr="00C67009" w:rsidRDefault="00C67009" w:rsidP="00C67009">
      <w:pPr>
        <w:rPr>
          <w:rFonts w:ascii="Arial" w:hAnsi="Arial" w:cs="Arial"/>
          <w:b/>
        </w:rPr>
      </w:pPr>
      <w:r w:rsidRPr="00C67009">
        <w:rPr>
          <w:rFonts w:ascii="Arial" w:hAnsi="Arial" w:cs="Arial"/>
          <w:b/>
        </w:rPr>
        <w:t>RESULTANDO QUE:</w:t>
      </w:r>
    </w:p>
    <w:p w:rsidR="00C67009" w:rsidRPr="00C67009" w:rsidRDefault="00C67009" w:rsidP="00C67009">
      <w:pPr>
        <w:ind w:left="465"/>
        <w:jc w:val="both"/>
        <w:rPr>
          <w:rFonts w:ascii="Arial" w:hAnsi="Arial" w:cs="Arial"/>
        </w:rPr>
      </w:pPr>
    </w:p>
    <w:p w:rsidR="00C67009" w:rsidRPr="00C67009" w:rsidRDefault="00C67009" w:rsidP="00E03D56">
      <w:pPr>
        <w:numPr>
          <w:ilvl w:val="0"/>
          <w:numId w:val="2"/>
        </w:numPr>
        <w:ind w:left="360"/>
        <w:jc w:val="both"/>
        <w:rPr>
          <w:rFonts w:ascii="Arial" w:hAnsi="Arial" w:cs="Arial"/>
        </w:rPr>
      </w:pPr>
      <w:r w:rsidRPr="00C67009">
        <w:rPr>
          <w:rFonts w:ascii="Arial" w:hAnsi="Arial" w:cs="Arial"/>
        </w:rPr>
        <w:t>El Estatuto Orgánico en el artículo 18, inciso b, define como función del Consejo Institucional:</w:t>
      </w:r>
    </w:p>
    <w:p w:rsidR="00C67009" w:rsidRPr="00C67009" w:rsidRDefault="00C67009" w:rsidP="00C67009">
      <w:pPr>
        <w:jc w:val="both"/>
        <w:rPr>
          <w:rFonts w:ascii="Arial" w:hAnsi="Arial" w:cs="Arial"/>
          <w:i/>
        </w:rPr>
      </w:pPr>
    </w:p>
    <w:p w:rsidR="00C67009" w:rsidRPr="00C67009" w:rsidRDefault="00C67009" w:rsidP="00C67009">
      <w:pPr>
        <w:ind w:left="993" w:right="476" w:hanging="142"/>
        <w:jc w:val="both"/>
        <w:rPr>
          <w:rFonts w:ascii="Arial" w:hAnsi="Arial" w:cs="Arial"/>
          <w:i/>
          <w:sz w:val="22"/>
          <w:szCs w:val="22"/>
        </w:rPr>
      </w:pPr>
      <w:r w:rsidRPr="00C67009">
        <w:rPr>
          <w:rFonts w:ascii="Arial" w:hAnsi="Arial" w:cs="Arial"/>
          <w:i/>
          <w:sz w:val="22"/>
          <w:szCs w:val="22"/>
        </w:rPr>
        <w:t>b. Aprobar el Plan estratégico institucional y los Planes anuales operativos, el presupuesto del Instituto, y los indicadores de gestión, de acuerdo con lo establecido en el Estatuto Orgánico y en la reglamentación respectiva.</w:t>
      </w:r>
    </w:p>
    <w:p w:rsidR="00C67009" w:rsidRPr="00C67009" w:rsidRDefault="00C67009" w:rsidP="00C67009">
      <w:pPr>
        <w:ind w:left="360"/>
        <w:jc w:val="both"/>
        <w:rPr>
          <w:rFonts w:ascii="Arial" w:hAnsi="Arial" w:cs="Arial"/>
        </w:rPr>
      </w:pPr>
    </w:p>
    <w:p w:rsidR="00C67009" w:rsidRPr="00C67009" w:rsidRDefault="00C67009" w:rsidP="00E03D56">
      <w:pPr>
        <w:numPr>
          <w:ilvl w:val="0"/>
          <w:numId w:val="2"/>
        </w:numPr>
        <w:ind w:left="360"/>
        <w:jc w:val="both"/>
        <w:rPr>
          <w:rFonts w:ascii="Arial" w:hAnsi="Arial" w:cs="Arial"/>
        </w:rPr>
      </w:pPr>
      <w:r w:rsidRPr="00C67009">
        <w:rPr>
          <w:rFonts w:ascii="Arial" w:hAnsi="Arial" w:cs="Arial"/>
        </w:rPr>
        <w:t>El Consejo Institucional, en la Sesión Ordinaria No. 2990, Artículo 7, del 21 de setiembre de 2016, aprobó los Proyectos Estratégicos del Plan Estratégico 2017-2021. En los incisos a y b acordó:</w:t>
      </w:r>
    </w:p>
    <w:p w:rsidR="00C67009" w:rsidRPr="00C67009" w:rsidRDefault="00C67009" w:rsidP="00C67009">
      <w:pPr>
        <w:jc w:val="both"/>
        <w:rPr>
          <w:rFonts w:ascii="Arial" w:hAnsi="Arial" w:cs="Arial"/>
          <w:sz w:val="16"/>
          <w:szCs w:val="16"/>
        </w:rPr>
      </w:pPr>
    </w:p>
    <w:p w:rsidR="00C67009" w:rsidRPr="00C67009" w:rsidRDefault="00C67009" w:rsidP="00C67009">
      <w:pPr>
        <w:spacing w:after="160" w:line="259" w:lineRule="auto"/>
        <w:ind w:left="709" w:hanging="425"/>
        <w:contextualSpacing/>
        <w:jc w:val="both"/>
        <w:rPr>
          <w:rFonts w:ascii="Arial" w:eastAsia="Calibri" w:hAnsi="Arial" w:cs="Arial"/>
          <w:i/>
          <w:sz w:val="22"/>
          <w:szCs w:val="22"/>
          <w:lang w:val="es-CR"/>
        </w:rPr>
      </w:pPr>
      <w:r w:rsidRPr="00C67009">
        <w:rPr>
          <w:rFonts w:ascii="Arial" w:eastAsia="Calibri" w:hAnsi="Arial" w:cs="Arial"/>
          <w:b/>
          <w:sz w:val="22"/>
          <w:szCs w:val="22"/>
          <w:lang w:val="es-CR"/>
        </w:rPr>
        <w:t>“</w:t>
      </w:r>
      <w:r w:rsidRPr="00C67009">
        <w:rPr>
          <w:rFonts w:ascii="Arial" w:eastAsia="Calibri" w:hAnsi="Arial" w:cs="Arial"/>
          <w:i/>
          <w:sz w:val="22"/>
          <w:szCs w:val="22"/>
          <w:lang w:val="es-CR"/>
        </w:rPr>
        <w:t>a.</w:t>
      </w:r>
      <w:r w:rsidRPr="00C67009">
        <w:rPr>
          <w:rFonts w:ascii="Arial" w:eastAsia="Calibri" w:hAnsi="Arial" w:cs="Arial"/>
          <w:sz w:val="22"/>
          <w:szCs w:val="22"/>
          <w:lang w:val="es-CR"/>
        </w:rPr>
        <w:t xml:space="preserve">  </w:t>
      </w:r>
      <w:r w:rsidRPr="00C67009">
        <w:rPr>
          <w:rFonts w:ascii="Arial" w:eastAsia="Calibri" w:hAnsi="Arial" w:cs="Arial"/>
          <w:i/>
          <w:sz w:val="22"/>
          <w:szCs w:val="22"/>
          <w:lang w:val="es-CR"/>
        </w:rPr>
        <w:t>Aprobar los siguientes proyectos para el Plan Estratégico Institucional 2017-2021:</w:t>
      </w:r>
    </w:p>
    <w:p w:rsidR="00C67009" w:rsidRPr="00C67009" w:rsidRDefault="00C67009" w:rsidP="00C67009">
      <w:pPr>
        <w:spacing w:after="160" w:line="259" w:lineRule="auto"/>
        <w:ind w:left="993" w:hanging="425"/>
        <w:contextualSpacing/>
        <w:jc w:val="both"/>
        <w:rPr>
          <w:rFonts w:ascii="Arial" w:eastAsia="Calibri" w:hAnsi="Arial" w:cs="Arial"/>
          <w:i/>
          <w:sz w:val="22"/>
          <w:szCs w:val="22"/>
          <w:lang w:val="es-CR"/>
        </w:rPr>
      </w:pPr>
    </w:p>
    <w:p w:rsidR="00C67009" w:rsidRPr="00C67009" w:rsidRDefault="00C67009" w:rsidP="00E03D56">
      <w:pPr>
        <w:numPr>
          <w:ilvl w:val="0"/>
          <w:numId w:val="8"/>
        </w:numPr>
        <w:spacing w:after="120" w:line="259" w:lineRule="auto"/>
        <w:ind w:left="993" w:right="276" w:hanging="357"/>
        <w:contextualSpacing/>
        <w:jc w:val="both"/>
        <w:rPr>
          <w:rFonts w:ascii="Arial" w:eastAsia="Calibri" w:hAnsi="Arial" w:cs="Arial"/>
          <w:i/>
          <w:sz w:val="20"/>
          <w:szCs w:val="20"/>
          <w:lang w:val="es-CR" w:eastAsia="es-CR"/>
        </w:rPr>
      </w:pPr>
      <w:r w:rsidRPr="00C67009">
        <w:rPr>
          <w:rFonts w:ascii="Arial" w:eastAsia="Calibri" w:hAnsi="Arial" w:cs="Arial"/>
          <w:i/>
          <w:sz w:val="20"/>
          <w:szCs w:val="20"/>
          <w:lang w:val="es-CR" w:eastAsia="es-CR"/>
        </w:rPr>
        <w:t>Innovación en los modelos y procesos de Enseñanza / Aprendizaje y Oferta Académica en Sedes, Centros académicos o localidades nacionales e internacionales.</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MX"/>
        </w:rPr>
      </w:pPr>
      <w:r w:rsidRPr="00C67009">
        <w:rPr>
          <w:rFonts w:ascii="Arial" w:eastAsia="Calibri" w:hAnsi="Arial" w:cs="Arial"/>
          <w:i/>
          <w:sz w:val="20"/>
          <w:szCs w:val="20"/>
          <w:lang w:val="es-CR" w:eastAsia="es-CR"/>
        </w:rPr>
        <w:t>Dominio de un segundo idioma en estudiantes y profesores.</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MX"/>
        </w:rPr>
      </w:pPr>
      <w:r w:rsidRPr="00C67009">
        <w:rPr>
          <w:rFonts w:ascii="Arial" w:eastAsia="Calibri" w:hAnsi="Arial" w:cs="Arial"/>
          <w:i/>
          <w:sz w:val="20"/>
          <w:szCs w:val="20"/>
          <w:lang w:val="es-CR" w:eastAsia="es-CR"/>
        </w:rPr>
        <w:t xml:space="preserve">Fortalecimiento del Uso de Tecnologías Digitales. </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MX"/>
        </w:rPr>
      </w:pPr>
      <w:r w:rsidRPr="00C67009">
        <w:rPr>
          <w:rFonts w:ascii="Arial" w:eastAsia="Calibri" w:hAnsi="Arial" w:cs="Arial"/>
          <w:i/>
          <w:sz w:val="20"/>
          <w:szCs w:val="20"/>
          <w:lang w:val="es-CR" w:eastAsia="es-CR"/>
        </w:rPr>
        <w:t>Fortalecimiento de la internacionalización.</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MX"/>
        </w:rPr>
      </w:pPr>
      <w:r w:rsidRPr="00C67009">
        <w:rPr>
          <w:rFonts w:ascii="Arial" w:eastAsia="Calibri" w:hAnsi="Arial" w:cs="Arial"/>
          <w:i/>
          <w:sz w:val="20"/>
          <w:szCs w:val="20"/>
          <w:lang w:val="es-CR" w:eastAsia="es-CR"/>
        </w:rPr>
        <w:t>Fortalecimiento de la Cooperación y Vinculación con la sociedad.</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MX"/>
        </w:rPr>
      </w:pPr>
      <w:r w:rsidRPr="00C67009">
        <w:rPr>
          <w:rFonts w:ascii="Arial" w:eastAsia="Calibri" w:hAnsi="Arial" w:cs="Arial"/>
          <w:i/>
          <w:sz w:val="20"/>
          <w:szCs w:val="20"/>
          <w:lang w:val="es-CR" w:eastAsia="es-CR"/>
        </w:rPr>
        <w:t>Acreditación para programas de grado y posgrado.</w:t>
      </w:r>
    </w:p>
    <w:p w:rsidR="00C67009" w:rsidRPr="00C67009" w:rsidRDefault="00C67009" w:rsidP="00E03D56">
      <w:pPr>
        <w:numPr>
          <w:ilvl w:val="0"/>
          <w:numId w:val="8"/>
        </w:numPr>
        <w:spacing w:after="80" w:line="259" w:lineRule="auto"/>
        <w:ind w:left="993" w:right="-1" w:hanging="357"/>
        <w:contextualSpacing/>
        <w:jc w:val="both"/>
        <w:rPr>
          <w:rFonts w:ascii="Arial" w:eastAsia="Calibri" w:hAnsi="Arial" w:cs="Arial"/>
          <w:i/>
          <w:sz w:val="20"/>
          <w:szCs w:val="20"/>
          <w:lang w:val="es-CR" w:eastAsia="es-CR"/>
        </w:rPr>
      </w:pPr>
      <w:r w:rsidRPr="00C67009">
        <w:rPr>
          <w:rFonts w:ascii="Arial" w:eastAsia="Calibri" w:hAnsi="Arial" w:cs="Arial"/>
          <w:i/>
          <w:sz w:val="20"/>
          <w:szCs w:val="20"/>
          <w:lang w:val="es-CR" w:eastAsia="es-CR"/>
        </w:rPr>
        <w:t>Fortalecimiento de la Gestión Institucional para la Atracción y Generación de Recursos.</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CR" w:eastAsia="es-CR"/>
        </w:rPr>
      </w:pPr>
      <w:r w:rsidRPr="00C67009">
        <w:rPr>
          <w:rFonts w:ascii="Arial" w:eastAsia="Calibri" w:hAnsi="Arial" w:cs="Arial"/>
          <w:i/>
          <w:sz w:val="20"/>
          <w:szCs w:val="20"/>
          <w:lang w:val="es-CR" w:eastAsia="es-CR"/>
        </w:rPr>
        <w:t>Fortalecimiento de los Servicios Institucionales en el TEC.</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MX"/>
        </w:rPr>
      </w:pPr>
      <w:r w:rsidRPr="00C67009">
        <w:rPr>
          <w:rFonts w:ascii="Arial" w:eastAsia="Calibri" w:hAnsi="Arial" w:cs="Arial"/>
          <w:i/>
          <w:sz w:val="20"/>
          <w:szCs w:val="20"/>
          <w:lang w:val="es-CR" w:eastAsia="es-CR"/>
        </w:rPr>
        <w:t>Modelo para Desarrollo del Talento Humano.</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CR" w:eastAsia="es-CR"/>
        </w:rPr>
      </w:pPr>
      <w:r w:rsidRPr="00C67009">
        <w:rPr>
          <w:rFonts w:ascii="Arial" w:eastAsia="Calibri" w:hAnsi="Arial" w:cs="Arial"/>
          <w:i/>
          <w:sz w:val="20"/>
          <w:szCs w:val="20"/>
          <w:lang w:val="es-CR" w:eastAsia="es-CR"/>
        </w:rPr>
        <w:t>Implementación del Modelo de Excelencia en la Gestión.</w:t>
      </w:r>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MX"/>
        </w:rPr>
      </w:pPr>
      <w:r w:rsidRPr="00C67009">
        <w:rPr>
          <w:rFonts w:ascii="Arial" w:eastAsia="Calibri" w:hAnsi="Arial" w:cs="Arial"/>
          <w:i/>
          <w:sz w:val="20"/>
          <w:szCs w:val="20"/>
          <w:lang w:val="es-CR" w:eastAsia="es-CR"/>
        </w:rPr>
        <w:t xml:space="preserve">Gobernanza de las </w:t>
      </w:r>
      <w:proofErr w:type="spellStart"/>
      <w:r w:rsidRPr="00C67009">
        <w:rPr>
          <w:rFonts w:ascii="Arial" w:eastAsia="Calibri" w:hAnsi="Arial" w:cs="Arial"/>
          <w:i/>
          <w:sz w:val="20"/>
          <w:szCs w:val="20"/>
          <w:lang w:val="es-CR" w:eastAsia="es-CR"/>
        </w:rPr>
        <w:t>TICs</w:t>
      </w:r>
      <w:proofErr w:type="spellEnd"/>
    </w:p>
    <w:p w:rsidR="00C67009" w:rsidRPr="00C67009"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MX"/>
        </w:rPr>
      </w:pPr>
      <w:r w:rsidRPr="00C67009">
        <w:rPr>
          <w:rFonts w:ascii="Arial" w:eastAsia="Calibri" w:hAnsi="Arial" w:cs="Arial"/>
          <w:i/>
          <w:sz w:val="20"/>
          <w:szCs w:val="20"/>
          <w:lang w:val="es-CR" w:eastAsia="es-CR"/>
        </w:rPr>
        <w:t>Aumento de la planilla docente a nivel de posgrado.</w:t>
      </w:r>
    </w:p>
    <w:p w:rsidR="00C67009" w:rsidRPr="00D84205" w:rsidRDefault="00C67009" w:rsidP="00E03D56">
      <w:pPr>
        <w:numPr>
          <w:ilvl w:val="0"/>
          <w:numId w:val="8"/>
        </w:numPr>
        <w:spacing w:after="80" w:line="259" w:lineRule="auto"/>
        <w:ind w:left="993" w:right="276" w:hanging="357"/>
        <w:contextualSpacing/>
        <w:jc w:val="both"/>
        <w:rPr>
          <w:rFonts w:ascii="Arial" w:eastAsia="Calibri" w:hAnsi="Arial" w:cs="Arial"/>
          <w:i/>
          <w:sz w:val="20"/>
          <w:szCs w:val="20"/>
          <w:lang w:val="es-CR" w:eastAsia="es-CR"/>
        </w:rPr>
      </w:pPr>
      <w:r w:rsidRPr="00C67009">
        <w:rPr>
          <w:rFonts w:ascii="Arial" w:eastAsia="Calibri" w:hAnsi="Arial" w:cs="Arial"/>
          <w:i/>
          <w:sz w:val="20"/>
          <w:szCs w:val="20"/>
          <w:lang w:val="es-CR" w:eastAsia="es-CR"/>
        </w:rPr>
        <w:t>Fortalecimiento de la visibilidad y la productividad académica.</w:t>
      </w:r>
    </w:p>
    <w:p w:rsidR="00C67009" w:rsidRPr="00C67009" w:rsidRDefault="00C67009" w:rsidP="00C67009">
      <w:pPr>
        <w:spacing w:after="80" w:line="259" w:lineRule="auto"/>
        <w:ind w:right="276"/>
        <w:contextualSpacing/>
        <w:jc w:val="both"/>
        <w:rPr>
          <w:rFonts w:ascii="Arial" w:eastAsia="Calibri" w:hAnsi="Arial" w:cs="Arial"/>
          <w:i/>
          <w:sz w:val="20"/>
          <w:szCs w:val="20"/>
          <w:lang w:val="es-CR" w:eastAsia="es-CR"/>
        </w:rPr>
      </w:pPr>
    </w:p>
    <w:p w:rsidR="00C67009" w:rsidRPr="00C67009" w:rsidRDefault="00C67009" w:rsidP="00C67009">
      <w:pPr>
        <w:spacing w:after="160" w:line="259" w:lineRule="auto"/>
        <w:ind w:left="709" w:hanging="467"/>
        <w:contextualSpacing/>
        <w:jc w:val="both"/>
        <w:rPr>
          <w:rFonts w:ascii="Arial" w:eastAsia="Calibri" w:hAnsi="Arial" w:cs="Arial"/>
          <w:i/>
          <w:sz w:val="22"/>
          <w:szCs w:val="22"/>
          <w:lang w:val="es-CR"/>
        </w:rPr>
      </w:pPr>
      <w:r w:rsidRPr="00C67009">
        <w:rPr>
          <w:rFonts w:ascii="Arial" w:eastAsia="Calibri" w:hAnsi="Arial" w:cs="Arial"/>
          <w:i/>
          <w:sz w:val="22"/>
          <w:szCs w:val="22"/>
          <w:lang w:val="es-CR"/>
        </w:rPr>
        <w:t>b.  Los siguientes proyectos serán formulados bajo la metodología de Administración de Proyectos:</w:t>
      </w:r>
    </w:p>
    <w:tbl>
      <w:tblPr>
        <w:tblW w:w="5430" w:type="pct"/>
        <w:tblInd w:w="-152" w:type="dxa"/>
        <w:tblLayout w:type="fixed"/>
        <w:tblCellMar>
          <w:left w:w="70" w:type="dxa"/>
          <w:right w:w="70" w:type="dxa"/>
        </w:tblCellMar>
        <w:tblLook w:val="04A0" w:firstRow="1" w:lastRow="0" w:firstColumn="1" w:lastColumn="0" w:noHBand="0" w:noVBand="1"/>
      </w:tblPr>
      <w:tblGrid>
        <w:gridCol w:w="1060"/>
        <w:gridCol w:w="1057"/>
        <w:gridCol w:w="1816"/>
        <w:gridCol w:w="2117"/>
        <w:gridCol w:w="1814"/>
        <w:gridCol w:w="1964"/>
      </w:tblGrid>
      <w:tr w:rsidR="00C67009" w:rsidRPr="00C67009" w:rsidTr="00291012">
        <w:trPr>
          <w:trHeight w:val="815"/>
          <w:tblHeader/>
        </w:trPr>
        <w:tc>
          <w:tcPr>
            <w:tcW w:w="539" w:type="pct"/>
            <w:tcBorders>
              <w:top w:val="single" w:sz="8" w:space="0" w:color="000000"/>
              <w:left w:val="single" w:sz="8" w:space="0" w:color="000000"/>
              <w:bottom w:val="single" w:sz="8" w:space="0" w:color="auto"/>
              <w:right w:val="single" w:sz="8" w:space="0" w:color="auto"/>
            </w:tcBorders>
            <w:shd w:val="clear" w:color="000000" w:fill="000000"/>
            <w:vAlign w:val="center"/>
            <w:hideMark/>
          </w:tcPr>
          <w:p w:rsidR="00C67009" w:rsidRPr="00C67009" w:rsidRDefault="00C67009" w:rsidP="00C67009">
            <w:pPr>
              <w:spacing w:after="160" w:line="259" w:lineRule="auto"/>
              <w:jc w:val="center"/>
              <w:rPr>
                <w:rFonts w:ascii="Calibri" w:hAnsi="Calibri" w:cs="Arial"/>
                <w:b/>
                <w:bCs/>
                <w:i/>
                <w:sz w:val="20"/>
                <w:szCs w:val="20"/>
                <w:lang w:val="es-CR" w:eastAsia="es-CR"/>
              </w:rPr>
            </w:pPr>
            <w:r w:rsidRPr="00C67009">
              <w:rPr>
                <w:rFonts w:ascii="Calibri" w:hAnsi="Calibri" w:cs="Arial"/>
                <w:b/>
                <w:bCs/>
                <w:i/>
                <w:sz w:val="20"/>
                <w:szCs w:val="20"/>
                <w:lang w:val="es-CR" w:eastAsia="es-CR"/>
              </w:rPr>
              <w:lastRenderedPageBreak/>
              <w:t>Código</w:t>
            </w:r>
          </w:p>
        </w:tc>
        <w:tc>
          <w:tcPr>
            <w:tcW w:w="538" w:type="pct"/>
            <w:tcBorders>
              <w:top w:val="single" w:sz="8" w:space="0" w:color="000000"/>
              <w:left w:val="single" w:sz="4" w:space="0" w:color="FFFFFF"/>
              <w:bottom w:val="single" w:sz="8" w:space="0" w:color="auto"/>
              <w:right w:val="single" w:sz="8" w:space="0" w:color="auto"/>
            </w:tcBorders>
            <w:shd w:val="clear" w:color="000000" w:fill="000000"/>
            <w:vAlign w:val="center"/>
            <w:hideMark/>
          </w:tcPr>
          <w:p w:rsidR="00C67009" w:rsidRPr="00C67009" w:rsidRDefault="00C67009" w:rsidP="00C67009">
            <w:pPr>
              <w:spacing w:after="160" w:line="259" w:lineRule="auto"/>
              <w:jc w:val="center"/>
              <w:rPr>
                <w:rFonts w:ascii="Calibri" w:hAnsi="Calibri" w:cs="Arial"/>
                <w:b/>
                <w:bCs/>
                <w:i/>
                <w:sz w:val="20"/>
                <w:szCs w:val="20"/>
                <w:lang w:val="es-CR" w:eastAsia="es-CR"/>
              </w:rPr>
            </w:pPr>
            <w:r w:rsidRPr="00C67009">
              <w:rPr>
                <w:rFonts w:ascii="Calibri" w:hAnsi="Calibri" w:cs="Arial"/>
                <w:b/>
                <w:bCs/>
                <w:i/>
                <w:sz w:val="20"/>
                <w:szCs w:val="20"/>
                <w:lang w:val="es-CR" w:eastAsia="es-CR"/>
              </w:rPr>
              <w:t>Proyecto</w:t>
            </w:r>
          </w:p>
        </w:tc>
        <w:tc>
          <w:tcPr>
            <w:tcW w:w="924" w:type="pct"/>
            <w:tcBorders>
              <w:top w:val="single" w:sz="8" w:space="0" w:color="000000"/>
              <w:left w:val="single" w:sz="4" w:space="0" w:color="FFFFFF"/>
              <w:bottom w:val="single" w:sz="8" w:space="0" w:color="auto"/>
              <w:right w:val="single" w:sz="8" w:space="0" w:color="auto"/>
            </w:tcBorders>
            <w:shd w:val="clear" w:color="000000" w:fill="000000"/>
            <w:vAlign w:val="center"/>
            <w:hideMark/>
          </w:tcPr>
          <w:p w:rsidR="00C67009" w:rsidRPr="00C67009" w:rsidRDefault="00C67009" w:rsidP="00C67009">
            <w:pPr>
              <w:spacing w:after="160" w:line="259" w:lineRule="auto"/>
              <w:jc w:val="center"/>
              <w:rPr>
                <w:rFonts w:ascii="Calibri" w:hAnsi="Calibri" w:cs="Arial"/>
                <w:b/>
                <w:bCs/>
                <w:i/>
                <w:sz w:val="20"/>
                <w:szCs w:val="20"/>
                <w:lang w:val="es-CR" w:eastAsia="es-CR"/>
              </w:rPr>
            </w:pPr>
            <w:r w:rsidRPr="00C67009">
              <w:rPr>
                <w:rFonts w:ascii="Calibri" w:hAnsi="Calibri" w:cs="Arial"/>
                <w:b/>
                <w:bCs/>
                <w:i/>
                <w:sz w:val="20"/>
                <w:szCs w:val="20"/>
                <w:lang w:val="es-CR" w:eastAsia="es-CR"/>
              </w:rPr>
              <w:t>Objetivo General</w:t>
            </w:r>
          </w:p>
        </w:tc>
        <w:tc>
          <w:tcPr>
            <w:tcW w:w="1077" w:type="pct"/>
            <w:tcBorders>
              <w:top w:val="single" w:sz="8" w:space="0" w:color="000000"/>
              <w:left w:val="single" w:sz="4" w:space="0" w:color="FFFFFF"/>
              <w:bottom w:val="single" w:sz="8" w:space="0" w:color="auto"/>
              <w:right w:val="single" w:sz="8" w:space="0" w:color="auto"/>
            </w:tcBorders>
            <w:shd w:val="clear" w:color="000000" w:fill="000000"/>
            <w:vAlign w:val="center"/>
            <w:hideMark/>
          </w:tcPr>
          <w:p w:rsidR="00C67009" w:rsidRPr="00C67009" w:rsidRDefault="00C67009" w:rsidP="00C67009">
            <w:pPr>
              <w:spacing w:after="160" w:line="259" w:lineRule="auto"/>
              <w:jc w:val="center"/>
              <w:rPr>
                <w:rFonts w:ascii="Calibri" w:hAnsi="Calibri" w:cs="Arial"/>
                <w:b/>
                <w:bCs/>
                <w:i/>
                <w:sz w:val="20"/>
                <w:szCs w:val="20"/>
                <w:lang w:val="es-CR" w:eastAsia="es-CR"/>
              </w:rPr>
            </w:pPr>
            <w:r w:rsidRPr="00C67009">
              <w:rPr>
                <w:rFonts w:ascii="Calibri" w:hAnsi="Calibri" w:cs="Arial"/>
                <w:b/>
                <w:bCs/>
                <w:i/>
                <w:sz w:val="20"/>
                <w:szCs w:val="20"/>
                <w:lang w:val="es-CR" w:eastAsia="es-CR"/>
              </w:rPr>
              <w:t>Objetivos Específicos</w:t>
            </w:r>
          </w:p>
        </w:tc>
        <w:tc>
          <w:tcPr>
            <w:tcW w:w="923" w:type="pct"/>
            <w:tcBorders>
              <w:top w:val="single" w:sz="8" w:space="0" w:color="000000"/>
              <w:left w:val="single" w:sz="4" w:space="0" w:color="FFFFFF"/>
              <w:bottom w:val="single" w:sz="8" w:space="0" w:color="auto"/>
              <w:right w:val="single" w:sz="8" w:space="0" w:color="auto"/>
            </w:tcBorders>
            <w:shd w:val="clear" w:color="000000" w:fill="000000"/>
            <w:vAlign w:val="center"/>
            <w:hideMark/>
          </w:tcPr>
          <w:p w:rsidR="00C67009" w:rsidRPr="00C67009" w:rsidRDefault="00C67009" w:rsidP="00C67009">
            <w:pPr>
              <w:spacing w:after="160" w:line="259" w:lineRule="auto"/>
              <w:jc w:val="center"/>
              <w:rPr>
                <w:rFonts w:ascii="Calibri" w:hAnsi="Calibri" w:cs="Arial"/>
                <w:b/>
                <w:bCs/>
                <w:i/>
                <w:sz w:val="20"/>
                <w:szCs w:val="20"/>
                <w:lang w:val="es-CR" w:eastAsia="es-CR"/>
              </w:rPr>
            </w:pPr>
            <w:r w:rsidRPr="00C67009">
              <w:rPr>
                <w:rFonts w:ascii="Calibri" w:hAnsi="Calibri" w:cs="Arial"/>
                <w:b/>
                <w:bCs/>
                <w:i/>
                <w:sz w:val="20"/>
                <w:szCs w:val="20"/>
                <w:lang w:val="es-CR" w:eastAsia="es-CR"/>
              </w:rPr>
              <w:t>Principales Entregables</w:t>
            </w:r>
          </w:p>
        </w:tc>
        <w:tc>
          <w:tcPr>
            <w:tcW w:w="1000" w:type="pct"/>
            <w:tcBorders>
              <w:top w:val="single" w:sz="8" w:space="0" w:color="000000"/>
              <w:left w:val="single" w:sz="4" w:space="0" w:color="FFFFFF"/>
              <w:bottom w:val="single" w:sz="8" w:space="0" w:color="auto"/>
              <w:right w:val="single" w:sz="8" w:space="0" w:color="000000"/>
            </w:tcBorders>
            <w:shd w:val="clear" w:color="000000" w:fill="000000"/>
            <w:vAlign w:val="center"/>
            <w:hideMark/>
          </w:tcPr>
          <w:p w:rsidR="00C67009" w:rsidRPr="00C67009" w:rsidRDefault="00C67009" w:rsidP="00C67009">
            <w:pPr>
              <w:spacing w:after="160" w:line="259" w:lineRule="auto"/>
              <w:jc w:val="center"/>
              <w:rPr>
                <w:rFonts w:ascii="Calibri" w:hAnsi="Calibri" w:cs="Arial"/>
                <w:b/>
                <w:bCs/>
                <w:i/>
                <w:sz w:val="20"/>
                <w:szCs w:val="20"/>
                <w:lang w:val="es-CR" w:eastAsia="es-CR"/>
              </w:rPr>
            </w:pPr>
            <w:r w:rsidRPr="00C67009">
              <w:rPr>
                <w:rFonts w:ascii="Calibri" w:hAnsi="Calibri" w:cs="Arial"/>
                <w:b/>
                <w:bCs/>
                <w:i/>
                <w:sz w:val="20"/>
                <w:szCs w:val="20"/>
                <w:lang w:val="es-CR" w:eastAsia="es-CR"/>
              </w:rPr>
              <w:t>Director del Proyecto</w:t>
            </w:r>
          </w:p>
        </w:tc>
      </w:tr>
      <w:tr w:rsidR="00C67009" w:rsidRPr="00C67009" w:rsidTr="00291012">
        <w:trPr>
          <w:trHeight w:val="602"/>
        </w:trPr>
        <w:tc>
          <w:tcPr>
            <w:tcW w:w="539" w:type="pct"/>
            <w:tcBorders>
              <w:top w:val="single" w:sz="8" w:space="0" w:color="auto"/>
              <w:left w:val="single" w:sz="8" w:space="0" w:color="000000"/>
              <w:bottom w:val="single" w:sz="8" w:space="0" w:color="auto"/>
              <w:right w:val="single" w:sz="4" w:space="0" w:color="auto"/>
            </w:tcBorders>
            <w:shd w:val="clear" w:color="auto" w:fill="9CC2E5"/>
            <w:vAlign w:val="center"/>
            <w:hideMark/>
          </w:tcPr>
          <w:p w:rsidR="00C67009" w:rsidRPr="00C67009" w:rsidRDefault="00C67009" w:rsidP="00C67009">
            <w:pPr>
              <w:spacing w:after="160" w:line="259" w:lineRule="auto"/>
              <w:rPr>
                <w:rFonts w:ascii="Calibri" w:hAnsi="Calibri" w:cs="Arial"/>
                <w:sz w:val="20"/>
                <w:szCs w:val="20"/>
                <w:lang w:val="es-CR" w:eastAsia="es-CR"/>
              </w:rPr>
            </w:pPr>
            <w:r w:rsidRPr="00C67009">
              <w:rPr>
                <w:rFonts w:ascii="Calibri" w:hAnsi="Calibri" w:cs="Arial"/>
                <w:sz w:val="20"/>
                <w:szCs w:val="20"/>
                <w:lang w:val="es-CR" w:eastAsia="es-CR"/>
              </w:rPr>
              <w:t>PETEC-01</w:t>
            </w:r>
          </w:p>
        </w:tc>
        <w:tc>
          <w:tcPr>
            <w:tcW w:w="538" w:type="pct"/>
            <w:tcBorders>
              <w:top w:val="single" w:sz="8" w:space="0" w:color="auto"/>
              <w:left w:val="single" w:sz="4" w:space="0" w:color="auto"/>
              <w:bottom w:val="single" w:sz="8" w:space="0" w:color="auto"/>
              <w:right w:val="single" w:sz="4" w:space="0" w:color="auto"/>
            </w:tcBorders>
            <w:shd w:val="clear" w:color="auto" w:fill="9CC2E5"/>
            <w:vAlign w:val="center"/>
            <w:hideMark/>
          </w:tcPr>
          <w:p w:rsidR="00C67009" w:rsidRPr="00C67009" w:rsidRDefault="00C67009" w:rsidP="00C67009">
            <w:pPr>
              <w:spacing w:after="160" w:line="259" w:lineRule="auto"/>
              <w:rPr>
                <w:rFonts w:ascii="Calibri" w:hAnsi="Calibri" w:cs="Arial"/>
                <w:sz w:val="20"/>
                <w:szCs w:val="20"/>
                <w:lang w:val="es-CR" w:eastAsia="es-CR"/>
              </w:rPr>
            </w:pPr>
            <w:r w:rsidRPr="00C67009">
              <w:rPr>
                <w:rFonts w:ascii="Calibri" w:hAnsi="Calibri" w:cs="Arial"/>
                <w:sz w:val="20"/>
                <w:szCs w:val="20"/>
                <w:lang w:val="es-CR" w:eastAsia="es-CR"/>
              </w:rPr>
              <w:t>Proyecto para el Fortalecimiento del Uso de Tecnologías Digitales.</w:t>
            </w:r>
          </w:p>
        </w:tc>
        <w:tc>
          <w:tcPr>
            <w:tcW w:w="924" w:type="pct"/>
            <w:tcBorders>
              <w:top w:val="single" w:sz="8" w:space="0" w:color="auto"/>
              <w:left w:val="single" w:sz="4" w:space="0" w:color="auto"/>
              <w:bottom w:val="single" w:sz="8" w:space="0" w:color="auto"/>
              <w:right w:val="single" w:sz="4" w:space="0" w:color="auto"/>
            </w:tcBorders>
            <w:shd w:val="clear" w:color="auto" w:fill="9CC2E5"/>
            <w:vAlign w:val="center"/>
            <w:hideMark/>
          </w:tcPr>
          <w:p w:rsidR="00C67009" w:rsidRPr="00C67009" w:rsidRDefault="00C67009" w:rsidP="00C67009">
            <w:pPr>
              <w:spacing w:after="160" w:line="259" w:lineRule="auto"/>
              <w:jc w:val="both"/>
              <w:rPr>
                <w:rFonts w:ascii="Calibri" w:hAnsi="Calibri" w:cs="Arial"/>
                <w:sz w:val="20"/>
                <w:szCs w:val="20"/>
                <w:lang w:val="es-CR" w:eastAsia="es-CR"/>
              </w:rPr>
            </w:pPr>
            <w:r w:rsidRPr="00C67009">
              <w:rPr>
                <w:rFonts w:ascii="Calibri" w:hAnsi="Calibri" w:cs="Arial"/>
                <w:sz w:val="20"/>
                <w:szCs w:val="20"/>
                <w:lang w:val="es-CR" w:eastAsia="es-CR"/>
              </w:rPr>
              <w:t>Fortalecer el desarrollo de Tecnologías Digitales en el Tecnológico de Costa Rica para coadyuvar al crecimiento y desarrollo de los diferentes programas institucionales</w:t>
            </w:r>
          </w:p>
        </w:tc>
        <w:tc>
          <w:tcPr>
            <w:tcW w:w="1077" w:type="pct"/>
            <w:tcBorders>
              <w:top w:val="single" w:sz="8" w:space="0" w:color="auto"/>
              <w:left w:val="single" w:sz="4" w:space="0" w:color="auto"/>
              <w:bottom w:val="single" w:sz="8" w:space="0" w:color="auto"/>
              <w:right w:val="single" w:sz="4" w:space="0" w:color="auto"/>
            </w:tcBorders>
            <w:shd w:val="clear" w:color="auto" w:fill="9CC2E5"/>
            <w:vAlign w:val="center"/>
            <w:hideMark/>
          </w:tcPr>
          <w:p w:rsidR="00C67009" w:rsidRPr="00C67009" w:rsidRDefault="00C67009" w:rsidP="00C67009">
            <w:pPr>
              <w:jc w:val="both"/>
              <w:rPr>
                <w:rFonts w:ascii="Calibri" w:hAnsi="Calibri" w:cs="Arial"/>
                <w:sz w:val="20"/>
                <w:szCs w:val="20"/>
                <w:lang w:val="es-CR" w:eastAsia="es-CR"/>
              </w:rPr>
            </w:pPr>
            <w:r w:rsidRPr="00C67009">
              <w:rPr>
                <w:rFonts w:ascii="Calibri" w:hAnsi="Calibri" w:cs="Arial"/>
                <w:sz w:val="20"/>
                <w:szCs w:val="20"/>
                <w:lang w:val="es-CR" w:eastAsia="es-CR"/>
              </w:rPr>
              <w:t>1) Ampliar la oferta metodológica para los procesos de enseñanza - aprendizaje para el 2021.</w:t>
            </w:r>
            <w:r w:rsidRPr="00C67009">
              <w:rPr>
                <w:rFonts w:ascii="Calibri" w:hAnsi="Calibri" w:cs="Arial"/>
                <w:sz w:val="20"/>
                <w:szCs w:val="20"/>
                <w:lang w:val="es-CR" w:eastAsia="es-CR"/>
              </w:rPr>
              <w:br/>
              <w:t>2) Actualizar la normativa relacionada para el año 2017.</w:t>
            </w:r>
            <w:r w:rsidRPr="00C67009">
              <w:rPr>
                <w:rFonts w:ascii="Calibri" w:hAnsi="Calibri" w:cs="Arial"/>
                <w:sz w:val="20"/>
                <w:szCs w:val="20"/>
                <w:lang w:val="es-CR" w:eastAsia="es-CR"/>
              </w:rPr>
              <w:br/>
              <w:t>3) Fortalecer el desarrollo de la Infraestructura de TIC de la Institución al 2021. (Software y Sistemas, Redes, Servidores, Computadoras, BD, Líneas de comunicación).</w:t>
            </w:r>
          </w:p>
          <w:p w:rsidR="00C67009" w:rsidRPr="00C67009" w:rsidRDefault="00C67009" w:rsidP="00C67009">
            <w:pPr>
              <w:jc w:val="both"/>
              <w:rPr>
                <w:rFonts w:ascii="Calibri" w:hAnsi="Calibri" w:cs="Arial"/>
                <w:sz w:val="20"/>
                <w:szCs w:val="20"/>
                <w:lang w:val="es-CR" w:eastAsia="es-CR"/>
              </w:rPr>
            </w:pPr>
            <w:r w:rsidRPr="00C67009">
              <w:rPr>
                <w:rFonts w:ascii="Calibri" w:hAnsi="Calibri" w:cs="Arial"/>
                <w:sz w:val="20"/>
                <w:szCs w:val="20"/>
                <w:lang w:val="es-CR" w:eastAsia="es-CR"/>
              </w:rPr>
              <w:t>4)Automatizar los distintos procesos de la Institución.</w:t>
            </w:r>
          </w:p>
          <w:p w:rsidR="00C67009" w:rsidRPr="00C67009" w:rsidRDefault="00C67009" w:rsidP="00C67009">
            <w:pPr>
              <w:jc w:val="both"/>
              <w:rPr>
                <w:rFonts w:ascii="Calibri" w:hAnsi="Calibri" w:cs="Arial"/>
                <w:sz w:val="20"/>
                <w:szCs w:val="20"/>
                <w:lang w:val="es-CR" w:eastAsia="es-CR"/>
              </w:rPr>
            </w:pPr>
            <w:r w:rsidRPr="00C67009">
              <w:rPr>
                <w:rFonts w:ascii="Calibri" w:hAnsi="Calibri" w:cs="Arial"/>
                <w:sz w:val="20"/>
                <w:szCs w:val="20"/>
                <w:lang w:val="es-CR" w:eastAsia="es-CR"/>
              </w:rPr>
              <w:t xml:space="preserve">5). Definir la metodología de aprobación de proyectos y gobernanza de las </w:t>
            </w:r>
            <w:proofErr w:type="spellStart"/>
            <w:r w:rsidRPr="00C67009">
              <w:rPr>
                <w:rFonts w:ascii="Calibri" w:hAnsi="Calibri" w:cs="Arial"/>
                <w:sz w:val="20"/>
                <w:szCs w:val="20"/>
                <w:lang w:val="es-CR" w:eastAsia="es-CR"/>
              </w:rPr>
              <w:t>TICs</w:t>
            </w:r>
            <w:proofErr w:type="spellEnd"/>
            <w:r w:rsidRPr="00C67009">
              <w:rPr>
                <w:rFonts w:ascii="Calibri" w:hAnsi="Calibri" w:cs="Arial"/>
                <w:sz w:val="20"/>
                <w:szCs w:val="20"/>
                <w:lang w:val="es-CR" w:eastAsia="es-CR"/>
              </w:rPr>
              <w:t xml:space="preserve"> en la institución.</w:t>
            </w:r>
          </w:p>
        </w:tc>
        <w:tc>
          <w:tcPr>
            <w:tcW w:w="923" w:type="pct"/>
            <w:tcBorders>
              <w:top w:val="single" w:sz="8" w:space="0" w:color="auto"/>
              <w:left w:val="single" w:sz="4" w:space="0" w:color="auto"/>
              <w:bottom w:val="single" w:sz="8" w:space="0" w:color="auto"/>
              <w:right w:val="single" w:sz="4" w:space="0" w:color="auto"/>
            </w:tcBorders>
            <w:shd w:val="clear" w:color="auto" w:fill="9CC2E5"/>
            <w:vAlign w:val="center"/>
            <w:hideMark/>
          </w:tcPr>
          <w:p w:rsidR="00C67009" w:rsidRPr="00C67009" w:rsidRDefault="00C67009" w:rsidP="00C67009">
            <w:pPr>
              <w:jc w:val="both"/>
              <w:rPr>
                <w:rFonts w:ascii="Calibri" w:hAnsi="Calibri" w:cs="Arial"/>
                <w:sz w:val="20"/>
                <w:szCs w:val="20"/>
                <w:lang w:val="es-CR" w:eastAsia="es-CR"/>
              </w:rPr>
            </w:pPr>
            <w:r w:rsidRPr="00C67009">
              <w:rPr>
                <w:rFonts w:ascii="Calibri" w:hAnsi="Calibri" w:cs="Arial"/>
                <w:sz w:val="20"/>
                <w:szCs w:val="20"/>
                <w:lang w:val="es-CR" w:eastAsia="es-CR"/>
              </w:rPr>
              <w:t>1)Catálogo de Cursos Bimodales y virtuales.</w:t>
            </w:r>
            <w:r w:rsidRPr="00C67009">
              <w:rPr>
                <w:rFonts w:ascii="Calibri" w:hAnsi="Calibri" w:cs="Arial"/>
                <w:sz w:val="20"/>
                <w:szCs w:val="20"/>
                <w:lang w:val="es-CR" w:eastAsia="es-CR"/>
              </w:rPr>
              <w:br/>
              <w:t>2)Normativa actualizada.</w:t>
            </w:r>
            <w:r w:rsidRPr="00C67009">
              <w:rPr>
                <w:rFonts w:ascii="Calibri" w:hAnsi="Calibri" w:cs="Arial"/>
                <w:sz w:val="20"/>
                <w:szCs w:val="20"/>
                <w:lang w:val="es-CR" w:eastAsia="es-CR"/>
              </w:rPr>
              <w:br/>
              <w:t>3)Herramientas digitales de apoyo a los procesos de enseñanza y aprendizaje</w:t>
            </w:r>
            <w:r w:rsidRPr="00C67009">
              <w:rPr>
                <w:rFonts w:ascii="Calibri" w:hAnsi="Calibri" w:cs="Arial"/>
                <w:sz w:val="20"/>
                <w:szCs w:val="20"/>
                <w:lang w:val="es-CR" w:eastAsia="es-CR"/>
              </w:rPr>
              <w:br/>
              <w:t>4) Plan Estratégico de Tecnologías de Información (PETI).</w:t>
            </w:r>
          </w:p>
          <w:p w:rsidR="00C67009" w:rsidRPr="00C67009" w:rsidRDefault="00C67009" w:rsidP="00E03D56">
            <w:pPr>
              <w:numPr>
                <w:ilvl w:val="0"/>
                <w:numId w:val="9"/>
              </w:numPr>
              <w:spacing w:after="160" w:line="259" w:lineRule="auto"/>
              <w:ind w:left="0" w:firstLine="0"/>
              <w:contextualSpacing/>
              <w:jc w:val="both"/>
              <w:rPr>
                <w:rFonts w:ascii="Calibri" w:hAnsi="Calibri" w:cs="Arial"/>
                <w:sz w:val="20"/>
                <w:szCs w:val="20"/>
                <w:lang w:val="es-CR" w:eastAsia="es-CR"/>
              </w:rPr>
            </w:pPr>
            <w:r w:rsidRPr="00C67009">
              <w:rPr>
                <w:rFonts w:ascii="Calibri" w:hAnsi="Calibri" w:cs="Arial"/>
                <w:sz w:val="20"/>
                <w:szCs w:val="20"/>
                <w:lang w:val="es-CR" w:eastAsia="es-CR"/>
              </w:rPr>
              <w:t>Cantidad de procesos de la Institución automatizados</w:t>
            </w:r>
          </w:p>
          <w:p w:rsidR="00C67009" w:rsidRPr="00C67009" w:rsidRDefault="00C67009" w:rsidP="00C67009">
            <w:pPr>
              <w:jc w:val="both"/>
              <w:rPr>
                <w:rFonts w:ascii="Calibri" w:hAnsi="Calibri" w:cs="Arial"/>
                <w:sz w:val="20"/>
                <w:szCs w:val="20"/>
                <w:lang w:val="es-CR" w:eastAsia="es-CR"/>
              </w:rPr>
            </w:pPr>
            <w:r w:rsidRPr="00C67009">
              <w:rPr>
                <w:rFonts w:ascii="Calibri" w:hAnsi="Calibri" w:cs="Arial"/>
                <w:sz w:val="20"/>
                <w:szCs w:val="20"/>
                <w:lang w:val="es-CR" w:eastAsia="es-CR"/>
              </w:rPr>
              <w:t xml:space="preserve">6. Metodología de aprobación de proyectos de y gobernanza de las </w:t>
            </w:r>
            <w:proofErr w:type="spellStart"/>
            <w:r w:rsidRPr="00C67009">
              <w:rPr>
                <w:rFonts w:ascii="Calibri" w:hAnsi="Calibri" w:cs="Arial"/>
                <w:sz w:val="20"/>
                <w:szCs w:val="20"/>
                <w:lang w:val="es-CR" w:eastAsia="es-CR"/>
              </w:rPr>
              <w:t>TICs</w:t>
            </w:r>
            <w:proofErr w:type="spellEnd"/>
            <w:r w:rsidRPr="00C67009">
              <w:rPr>
                <w:rFonts w:ascii="Calibri" w:hAnsi="Calibri" w:cs="Arial"/>
                <w:sz w:val="20"/>
                <w:szCs w:val="20"/>
                <w:lang w:val="es-CR" w:eastAsia="es-CR"/>
              </w:rPr>
              <w:t xml:space="preserve"> en la Institución</w:t>
            </w:r>
          </w:p>
        </w:tc>
        <w:tc>
          <w:tcPr>
            <w:tcW w:w="1000" w:type="pct"/>
            <w:tcBorders>
              <w:top w:val="single" w:sz="8" w:space="0" w:color="auto"/>
              <w:left w:val="single" w:sz="4" w:space="0" w:color="auto"/>
              <w:bottom w:val="single" w:sz="8" w:space="0" w:color="auto"/>
              <w:right w:val="single" w:sz="8" w:space="0" w:color="000000"/>
            </w:tcBorders>
            <w:shd w:val="clear" w:color="auto" w:fill="9CC2E5"/>
            <w:vAlign w:val="center"/>
            <w:hideMark/>
          </w:tcPr>
          <w:p w:rsidR="00C67009" w:rsidRPr="00C67009" w:rsidRDefault="00C67009" w:rsidP="00C67009">
            <w:pPr>
              <w:spacing w:after="160" w:line="259" w:lineRule="auto"/>
              <w:rPr>
                <w:rFonts w:ascii="Calibri" w:hAnsi="Calibri" w:cs="Arial"/>
                <w:sz w:val="20"/>
                <w:szCs w:val="20"/>
                <w:lang w:val="es-CR" w:eastAsia="es-CR"/>
              </w:rPr>
            </w:pPr>
            <w:r w:rsidRPr="00C67009">
              <w:rPr>
                <w:rFonts w:ascii="Calibri" w:hAnsi="Calibri" w:cs="Arial"/>
                <w:sz w:val="20"/>
                <w:szCs w:val="20"/>
                <w:lang w:val="es-CR" w:eastAsia="es-CR"/>
              </w:rPr>
              <w:br/>
              <w:t>Humberto Villalta</w:t>
            </w:r>
            <w:r w:rsidRPr="00C67009">
              <w:rPr>
                <w:rFonts w:ascii="Calibri" w:hAnsi="Calibri" w:cs="Arial"/>
                <w:sz w:val="20"/>
                <w:szCs w:val="20"/>
                <w:lang w:val="es-CR" w:eastAsia="es-CR"/>
              </w:rPr>
              <w:br/>
              <w:t>VICERRECTORÍA DE ADMINISTRACIÓN (COMITÉ TIC)</w:t>
            </w:r>
          </w:p>
        </w:tc>
      </w:tr>
    </w:tbl>
    <w:p w:rsidR="00C67009" w:rsidRPr="00C67009" w:rsidRDefault="00C67009" w:rsidP="00C67009">
      <w:pPr>
        <w:spacing w:before="120"/>
        <w:jc w:val="both"/>
        <w:rPr>
          <w:rFonts w:ascii="Arial" w:hAnsi="Arial" w:cs="Arial"/>
          <w:b/>
          <w:lang w:val="es-CR"/>
        </w:rPr>
      </w:pPr>
    </w:p>
    <w:p w:rsidR="00C67009" w:rsidRPr="00C67009" w:rsidRDefault="00C67009" w:rsidP="00E03D56">
      <w:pPr>
        <w:numPr>
          <w:ilvl w:val="0"/>
          <w:numId w:val="2"/>
        </w:numPr>
        <w:ind w:left="360"/>
        <w:jc w:val="both"/>
        <w:rPr>
          <w:rFonts w:ascii="Arial" w:hAnsi="Arial" w:cs="Arial"/>
        </w:rPr>
      </w:pPr>
      <w:r w:rsidRPr="00C67009">
        <w:rPr>
          <w:rFonts w:ascii="Arial" w:hAnsi="Arial" w:cs="Arial"/>
        </w:rPr>
        <w:t xml:space="preserve">El Consejo Institucional en la Sesión Ordinaria N°3004, artículo 12, del 14 de diciembre de 2016, en la aprobación </w:t>
      </w:r>
      <w:proofErr w:type="gramStart"/>
      <w:r w:rsidRPr="00C67009">
        <w:rPr>
          <w:rFonts w:ascii="Arial" w:hAnsi="Arial" w:cs="Arial"/>
        </w:rPr>
        <w:t>del  “</w:t>
      </w:r>
      <w:proofErr w:type="gramEnd"/>
      <w:r w:rsidRPr="00C67009">
        <w:rPr>
          <w:rFonts w:ascii="Arial" w:hAnsi="Arial" w:cs="Arial"/>
        </w:rPr>
        <w:t>Plan Estratégico 2017-2021”, en el inciso b,  acordó:</w:t>
      </w:r>
      <w:r w:rsidRPr="00C67009">
        <w:rPr>
          <w:rFonts w:ascii="Arial" w:hAnsi="Arial" w:cs="Arial"/>
        </w:rPr>
        <w:tab/>
      </w:r>
    </w:p>
    <w:p w:rsidR="00C67009" w:rsidRPr="00C67009" w:rsidRDefault="00C67009" w:rsidP="00C67009">
      <w:pPr>
        <w:jc w:val="both"/>
        <w:rPr>
          <w:rFonts w:ascii="Arial" w:hAnsi="Arial" w:cs="Arial"/>
          <w:sz w:val="16"/>
          <w:szCs w:val="16"/>
        </w:rPr>
      </w:pPr>
    </w:p>
    <w:p w:rsidR="00C67009" w:rsidRPr="00C67009" w:rsidRDefault="00C67009" w:rsidP="00C67009">
      <w:pPr>
        <w:ind w:left="1134" w:right="476" w:hanging="308"/>
        <w:jc w:val="both"/>
        <w:rPr>
          <w:rFonts w:ascii="Arial" w:hAnsi="Arial" w:cs="Arial"/>
          <w:i/>
          <w:sz w:val="20"/>
          <w:szCs w:val="20"/>
        </w:rPr>
      </w:pPr>
      <w:r w:rsidRPr="00C67009">
        <w:rPr>
          <w:rFonts w:ascii="Arial" w:hAnsi="Arial" w:cs="Arial"/>
          <w:i/>
          <w:sz w:val="20"/>
          <w:szCs w:val="20"/>
        </w:rPr>
        <w:t>“b. Los siguientes proyectos deberán de planificarse y ejecutarse utilizando una metodología de administración de proyectos:</w:t>
      </w:r>
    </w:p>
    <w:p w:rsidR="00C67009" w:rsidRPr="00C67009" w:rsidRDefault="00C67009" w:rsidP="00C67009">
      <w:pPr>
        <w:ind w:left="851" w:right="476"/>
        <w:jc w:val="both"/>
        <w:rPr>
          <w:rFonts w:ascii="Arial" w:hAnsi="Arial" w:cs="Arial"/>
          <w:i/>
          <w:sz w:val="20"/>
          <w:szCs w:val="20"/>
        </w:rPr>
      </w:pPr>
    </w:p>
    <w:p w:rsidR="00C67009" w:rsidRPr="00C67009" w:rsidRDefault="00C67009" w:rsidP="00E03D56">
      <w:pPr>
        <w:numPr>
          <w:ilvl w:val="1"/>
          <w:numId w:val="3"/>
        </w:numPr>
        <w:ind w:left="1418" w:right="424" w:hanging="358"/>
        <w:contextualSpacing/>
        <w:jc w:val="both"/>
        <w:rPr>
          <w:rFonts w:ascii="Arial" w:hAnsi="Arial" w:cs="Arial"/>
          <w:i/>
          <w:sz w:val="20"/>
          <w:szCs w:val="20"/>
          <w:lang w:val="es-CR"/>
        </w:rPr>
      </w:pPr>
      <w:r w:rsidRPr="00C67009">
        <w:rPr>
          <w:rFonts w:ascii="Arial" w:eastAsia="Calibri" w:hAnsi="Arial" w:cs="Arial"/>
          <w:i/>
          <w:sz w:val="20"/>
          <w:szCs w:val="20"/>
          <w:lang w:val="es-CR"/>
        </w:rPr>
        <w:t>Proyecto de Fortalecimiento del Uso de Tecnologías Digitales</w:t>
      </w:r>
    </w:p>
    <w:p w:rsidR="00C67009" w:rsidRPr="00C67009" w:rsidRDefault="00C67009" w:rsidP="00E03D56">
      <w:pPr>
        <w:numPr>
          <w:ilvl w:val="1"/>
          <w:numId w:val="3"/>
        </w:numPr>
        <w:ind w:left="1418" w:right="424" w:hanging="358"/>
        <w:contextualSpacing/>
        <w:jc w:val="both"/>
        <w:rPr>
          <w:rFonts w:ascii="Arial" w:hAnsi="Arial" w:cs="Arial"/>
          <w:i/>
          <w:sz w:val="20"/>
          <w:szCs w:val="20"/>
          <w:lang w:val="es-CR"/>
        </w:rPr>
      </w:pPr>
      <w:r w:rsidRPr="00C67009">
        <w:rPr>
          <w:rFonts w:ascii="Arial" w:eastAsia="Calibri" w:hAnsi="Arial" w:cs="Arial"/>
          <w:i/>
          <w:sz w:val="20"/>
          <w:szCs w:val="20"/>
          <w:lang w:val="es-CR"/>
        </w:rPr>
        <w:t>Proyecto de Fortalecimiento de la Extensión</w:t>
      </w:r>
    </w:p>
    <w:p w:rsidR="00C67009" w:rsidRPr="00C67009" w:rsidRDefault="00C67009" w:rsidP="00E03D56">
      <w:pPr>
        <w:numPr>
          <w:ilvl w:val="1"/>
          <w:numId w:val="3"/>
        </w:numPr>
        <w:ind w:left="1418" w:right="424" w:hanging="358"/>
        <w:contextualSpacing/>
        <w:jc w:val="both"/>
        <w:rPr>
          <w:rFonts w:ascii="Arial" w:hAnsi="Arial" w:cs="Arial"/>
          <w:i/>
          <w:sz w:val="20"/>
          <w:szCs w:val="20"/>
          <w:lang w:val="es-CR"/>
        </w:rPr>
      </w:pPr>
      <w:r w:rsidRPr="00C67009">
        <w:rPr>
          <w:rFonts w:ascii="Arial" w:eastAsia="Calibri" w:hAnsi="Arial" w:cs="Arial"/>
          <w:i/>
          <w:sz w:val="20"/>
          <w:szCs w:val="20"/>
          <w:lang w:val="es-CR"/>
        </w:rPr>
        <w:t>Proyecto de Gestión Institucional para la atracción de recursos</w:t>
      </w:r>
    </w:p>
    <w:p w:rsidR="00C67009" w:rsidRPr="00C67009" w:rsidRDefault="00C67009" w:rsidP="00E03D56">
      <w:pPr>
        <w:numPr>
          <w:ilvl w:val="1"/>
          <w:numId w:val="3"/>
        </w:numPr>
        <w:ind w:left="1418" w:right="424" w:hanging="358"/>
        <w:contextualSpacing/>
        <w:jc w:val="both"/>
        <w:rPr>
          <w:rFonts w:ascii="Arial" w:hAnsi="Arial" w:cs="Arial"/>
          <w:i/>
          <w:sz w:val="20"/>
          <w:szCs w:val="20"/>
          <w:lang w:val="es-CR"/>
        </w:rPr>
      </w:pPr>
      <w:r w:rsidRPr="00C67009">
        <w:rPr>
          <w:rFonts w:ascii="Arial" w:eastAsia="Calibri" w:hAnsi="Arial" w:cs="Arial"/>
          <w:i/>
          <w:sz w:val="20"/>
          <w:szCs w:val="20"/>
          <w:lang w:val="es-CR"/>
        </w:rPr>
        <w:t>Proyecto de implementación del Modelo de Excelencia en la Gestión”</w:t>
      </w:r>
    </w:p>
    <w:p w:rsidR="00C67009" w:rsidRPr="00C67009" w:rsidRDefault="00C67009" w:rsidP="00C67009">
      <w:pPr>
        <w:ind w:left="284"/>
        <w:contextualSpacing/>
        <w:jc w:val="both"/>
        <w:rPr>
          <w:rFonts w:ascii="Arial" w:hAnsi="Arial" w:cs="Arial"/>
          <w:i/>
          <w:sz w:val="16"/>
          <w:szCs w:val="20"/>
          <w:lang w:val="es-CR"/>
        </w:rPr>
      </w:pPr>
    </w:p>
    <w:p w:rsidR="00C67009" w:rsidRPr="00C67009" w:rsidRDefault="00C67009" w:rsidP="00C67009">
      <w:pPr>
        <w:ind w:left="284"/>
        <w:contextualSpacing/>
        <w:jc w:val="both"/>
        <w:rPr>
          <w:rFonts w:ascii="Arial" w:hAnsi="Arial" w:cs="Arial"/>
          <w:i/>
          <w:sz w:val="16"/>
          <w:szCs w:val="20"/>
          <w:lang w:val="es-CR"/>
        </w:rPr>
      </w:pPr>
    </w:p>
    <w:p w:rsidR="00C67009" w:rsidRPr="00C67009" w:rsidRDefault="00C67009" w:rsidP="00E03D56">
      <w:pPr>
        <w:numPr>
          <w:ilvl w:val="0"/>
          <w:numId w:val="2"/>
        </w:numPr>
        <w:ind w:left="357" w:hanging="357"/>
        <w:jc w:val="both"/>
        <w:rPr>
          <w:rFonts w:ascii="Arial" w:hAnsi="Arial" w:cs="Arial"/>
        </w:rPr>
      </w:pPr>
      <w:r w:rsidRPr="00C67009">
        <w:rPr>
          <w:rFonts w:ascii="Arial" w:hAnsi="Arial" w:cs="Arial"/>
        </w:rPr>
        <w:t xml:space="preserve">El Consejo Institucional en la Sesión Ordinaria No. 2863, Artículo 13, del 2 de abril de 2014, tomó el acuerdo:  </w:t>
      </w:r>
      <w:r w:rsidRPr="00C67009">
        <w:rPr>
          <w:rFonts w:ascii="Arial" w:hAnsi="Arial" w:cs="Arial"/>
          <w:i/>
        </w:rPr>
        <w:t>Cambio de nombre del Centro Cómputo por Departamento de Administración de Tecnologías de Información y Comunicaciones</w:t>
      </w:r>
      <w:proofErr w:type="gramStart"/>
      <w:r w:rsidRPr="00C67009">
        <w:rPr>
          <w:rFonts w:ascii="Arial" w:hAnsi="Arial" w:cs="Arial"/>
        </w:rPr>
        <w:t>”,  con</w:t>
      </w:r>
      <w:proofErr w:type="gramEnd"/>
      <w:r w:rsidRPr="00C67009">
        <w:rPr>
          <w:rFonts w:ascii="Arial" w:hAnsi="Arial" w:cs="Arial"/>
        </w:rPr>
        <w:t xml:space="preserve"> las siguientes funciones:</w:t>
      </w:r>
    </w:p>
    <w:p w:rsidR="00C67009" w:rsidRPr="00C67009" w:rsidRDefault="00C67009" w:rsidP="00C67009">
      <w:pPr>
        <w:ind w:left="284"/>
        <w:contextualSpacing/>
        <w:jc w:val="both"/>
        <w:rPr>
          <w:rFonts w:ascii="Arial" w:hAnsi="Arial" w:cs="Arial"/>
          <w:i/>
          <w:sz w:val="16"/>
          <w:szCs w:val="20"/>
        </w:rPr>
      </w:pPr>
    </w:p>
    <w:p w:rsidR="00C67009" w:rsidRPr="00C67009" w:rsidRDefault="00C67009" w:rsidP="00C67009">
      <w:pPr>
        <w:ind w:left="993" w:right="282" w:hanging="284"/>
        <w:jc w:val="both"/>
        <w:rPr>
          <w:rFonts w:ascii="Arial" w:hAnsi="Arial" w:cs="Arial"/>
          <w:i/>
          <w:sz w:val="20"/>
          <w:szCs w:val="20"/>
        </w:rPr>
      </w:pPr>
      <w:r w:rsidRPr="00C67009">
        <w:rPr>
          <w:rFonts w:ascii="Arial" w:hAnsi="Arial" w:cs="Arial"/>
          <w:i/>
          <w:sz w:val="20"/>
          <w:szCs w:val="20"/>
        </w:rPr>
        <w:t>“a.  Aprobar el cambio de nombre del Centro Cómputo por Departamento de Administración de Tecnologías de Información y Comunicaciones, el cual tendrá las siguientes funciones:</w:t>
      </w:r>
    </w:p>
    <w:p w:rsidR="00C67009" w:rsidRPr="00C67009" w:rsidRDefault="00C67009" w:rsidP="00C67009">
      <w:pPr>
        <w:ind w:left="709" w:right="282"/>
        <w:rPr>
          <w:rFonts w:ascii="Arial" w:hAnsi="Arial" w:cs="Arial"/>
          <w:i/>
          <w:sz w:val="20"/>
          <w:szCs w:val="20"/>
        </w:rPr>
      </w:pPr>
    </w:p>
    <w:p w:rsidR="00C67009" w:rsidRPr="00C67009" w:rsidRDefault="00C67009" w:rsidP="00E03D56">
      <w:pPr>
        <w:numPr>
          <w:ilvl w:val="0"/>
          <w:numId w:val="13"/>
        </w:numPr>
        <w:spacing w:line="276" w:lineRule="auto"/>
        <w:ind w:left="1418" w:right="282"/>
        <w:contextualSpacing/>
        <w:jc w:val="both"/>
        <w:rPr>
          <w:rFonts w:ascii="Arial" w:hAnsi="Arial" w:cs="Arial"/>
          <w:i/>
          <w:sz w:val="20"/>
          <w:szCs w:val="20"/>
          <w:lang w:val="es-US"/>
        </w:rPr>
      </w:pPr>
      <w:r w:rsidRPr="00C67009">
        <w:rPr>
          <w:rFonts w:ascii="Arial" w:hAnsi="Arial" w:cs="Arial"/>
          <w:i/>
          <w:sz w:val="20"/>
          <w:szCs w:val="20"/>
          <w:lang w:val="es-US"/>
        </w:rPr>
        <w:t>Planeación estratégica de las Tecnologías de Información y Comunicación (TIC)</w:t>
      </w:r>
    </w:p>
    <w:p w:rsidR="00C67009" w:rsidRPr="00C67009" w:rsidRDefault="00C67009" w:rsidP="00E03D56">
      <w:pPr>
        <w:numPr>
          <w:ilvl w:val="0"/>
          <w:numId w:val="13"/>
        </w:numPr>
        <w:spacing w:line="276" w:lineRule="auto"/>
        <w:ind w:left="1418" w:right="282"/>
        <w:contextualSpacing/>
        <w:jc w:val="both"/>
        <w:rPr>
          <w:rFonts w:ascii="Arial" w:hAnsi="Arial" w:cs="Arial"/>
          <w:i/>
          <w:sz w:val="20"/>
          <w:szCs w:val="20"/>
          <w:lang w:val="es-US"/>
        </w:rPr>
      </w:pPr>
      <w:r w:rsidRPr="00C67009">
        <w:rPr>
          <w:rFonts w:ascii="Arial" w:hAnsi="Arial" w:cs="Arial"/>
          <w:i/>
          <w:sz w:val="20"/>
          <w:szCs w:val="20"/>
          <w:lang w:val="es-US"/>
        </w:rPr>
        <w:t>Gestión de las Tecnologías de información y comunicación</w:t>
      </w:r>
    </w:p>
    <w:p w:rsidR="00C67009" w:rsidRPr="00C67009" w:rsidRDefault="00C67009" w:rsidP="00E03D56">
      <w:pPr>
        <w:numPr>
          <w:ilvl w:val="0"/>
          <w:numId w:val="13"/>
        </w:numPr>
        <w:spacing w:line="276" w:lineRule="auto"/>
        <w:ind w:left="1418" w:right="282"/>
        <w:contextualSpacing/>
        <w:jc w:val="both"/>
        <w:rPr>
          <w:rFonts w:ascii="Arial" w:hAnsi="Arial" w:cs="Arial"/>
          <w:i/>
          <w:sz w:val="20"/>
          <w:szCs w:val="20"/>
          <w:lang w:val="es-US"/>
        </w:rPr>
      </w:pPr>
      <w:r w:rsidRPr="00C67009">
        <w:rPr>
          <w:rFonts w:ascii="Arial" w:hAnsi="Arial" w:cs="Arial"/>
          <w:i/>
          <w:sz w:val="20"/>
          <w:szCs w:val="20"/>
          <w:lang w:val="es-US"/>
        </w:rPr>
        <w:t xml:space="preserve">Definición de los estándares institucionales en </w:t>
      </w:r>
      <w:proofErr w:type="spellStart"/>
      <w:r w:rsidRPr="00C67009">
        <w:rPr>
          <w:rFonts w:ascii="Arial" w:hAnsi="Arial" w:cs="Arial"/>
          <w:i/>
          <w:sz w:val="20"/>
          <w:szCs w:val="20"/>
          <w:lang w:val="es-US"/>
        </w:rPr>
        <w:t>TICs</w:t>
      </w:r>
      <w:proofErr w:type="spellEnd"/>
      <w:r w:rsidRPr="00C67009">
        <w:rPr>
          <w:rFonts w:ascii="Arial" w:hAnsi="Arial" w:cs="Arial"/>
          <w:i/>
          <w:sz w:val="20"/>
          <w:szCs w:val="20"/>
          <w:lang w:val="es-US"/>
        </w:rPr>
        <w:t>.</w:t>
      </w:r>
    </w:p>
    <w:p w:rsidR="00C67009" w:rsidRPr="00C67009" w:rsidRDefault="00C67009" w:rsidP="00E03D56">
      <w:pPr>
        <w:numPr>
          <w:ilvl w:val="0"/>
          <w:numId w:val="13"/>
        </w:numPr>
        <w:spacing w:line="276" w:lineRule="auto"/>
        <w:ind w:left="1418" w:right="282"/>
        <w:contextualSpacing/>
        <w:jc w:val="both"/>
        <w:rPr>
          <w:rFonts w:ascii="Arial" w:hAnsi="Arial" w:cs="Arial"/>
          <w:i/>
          <w:sz w:val="20"/>
          <w:szCs w:val="20"/>
          <w:lang w:val="es-US"/>
        </w:rPr>
      </w:pPr>
      <w:r w:rsidRPr="00C67009">
        <w:rPr>
          <w:rFonts w:ascii="Arial" w:hAnsi="Arial" w:cs="Arial"/>
          <w:i/>
          <w:sz w:val="20"/>
          <w:szCs w:val="20"/>
          <w:lang w:val="es-US"/>
        </w:rPr>
        <w:t xml:space="preserve">Administración de los inventarios institucionales de equipos de </w:t>
      </w:r>
      <w:proofErr w:type="spellStart"/>
      <w:r w:rsidRPr="00C67009">
        <w:rPr>
          <w:rFonts w:ascii="Arial" w:hAnsi="Arial" w:cs="Arial"/>
          <w:i/>
          <w:sz w:val="20"/>
          <w:szCs w:val="20"/>
          <w:lang w:val="es-US"/>
        </w:rPr>
        <w:t>TICs</w:t>
      </w:r>
      <w:proofErr w:type="spellEnd"/>
    </w:p>
    <w:p w:rsidR="00C67009" w:rsidRPr="00C67009" w:rsidRDefault="00C67009" w:rsidP="00E03D56">
      <w:pPr>
        <w:numPr>
          <w:ilvl w:val="0"/>
          <w:numId w:val="13"/>
        </w:numPr>
        <w:spacing w:line="276" w:lineRule="auto"/>
        <w:ind w:left="1418" w:right="282"/>
        <w:contextualSpacing/>
        <w:jc w:val="both"/>
        <w:rPr>
          <w:rFonts w:ascii="Arial" w:hAnsi="Arial" w:cs="Arial"/>
          <w:i/>
          <w:sz w:val="20"/>
          <w:szCs w:val="20"/>
          <w:lang w:val="es-US"/>
        </w:rPr>
      </w:pPr>
      <w:r w:rsidRPr="00C67009">
        <w:rPr>
          <w:rFonts w:ascii="Arial" w:hAnsi="Arial" w:cs="Arial"/>
          <w:i/>
          <w:sz w:val="20"/>
          <w:szCs w:val="20"/>
          <w:lang w:val="es-US"/>
        </w:rPr>
        <w:lastRenderedPageBreak/>
        <w:t>Administración de los Laboratorios Institucionales de equipo de computo</w:t>
      </w:r>
    </w:p>
    <w:p w:rsidR="00C67009" w:rsidRPr="00C67009" w:rsidRDefault="00C67009" w:rsidP="00E03D56">
      <w:pPr>
        <w:numPr>
          <w:ilvl w:val="0"/>
          <w:numId w:val="13"/>
        </w:numPr>
        <w:spacing w:line="276" w:lineRule="auto"/>
        <w:ind w:left="1418" w:right="282"/>
        <w:contextualSpacing/>
        <w:jc w:val="both"/>
        <w:rPr>
          <w:rFonts w:ascii="Arial" w:hAnsi="Arial" w:cs="Arial"/>
          <w:i/>
          <w:sz w:val="20"/>
          <w:szCs w:val="20"/>
          <w:lang w:val="es-US"/>
        </w:rPr>
      </w:pPr>
      <w:r w:rsidRPr="00C67009">
        <w:rPr>
          <w:rFonts w:ascii="Arial" w:hAnsi="Arial" w:cs="Arial"/>
          <w:i/>
          <w:sz w:val="20"/>
          <w:szCs w:val="20"/>
          <w:lang w:val="es-US"/>
        </w:rPr>
        <w:t xml:space="preserve">Desarrollo, mantenimiento y </w:t>
      </w:r>
      <w:proofErr w:type="gramStart"/>
      <w:r w:rsidRPr="00C67009">
        <w:rPr>
          <w:rFonts w:ascii="Arial" w:hAnsi="Arial" w:cs="Arial"/>
          <w:i/>
          <w:sz w:val="20"/>
          <w:szCs w:val="20"/>
          <w:lang w:val="es-US"/>
        </w:rPr>
        <w:t>administración  de</w:t>
      </w:r>
      <w:proofErr w:type="gramEnd"/>
      <w:r w:rsidRPr="00C67009">
        <w:rPr>
          <w:rFonts w:ascii="Arial" w:hAnsi="Arial" w:cs="Arial"/>
          <w:i/>
          <w:sz w:val="20"/>
          <w:szCs w:val="20"/>
          <w:lang w:val="es-US"/>
        </w:rPr>
        <w:t xml:space="preserve"> los Sistemas de información institucionales</w:t>
      </w:r>
    </w:p>
    <w:p w:rsidR="00C67009" w:rsidRPr="00C67009" w:rsidRDefault="00C67009" w:rsidP="00E03D56">
      <w:pPr>
        <w:numPr>
          <w:ilvl w:val="0"/>
          <w:numId w:val="13"/>
        </w:numPr>
        <w:spacing w:line="276" w:lineRule="auto"/>
        <w:ind w:left="1418" w:right="282"/>
        <w:contextualSpacing/>
        <w:jc w:val="both"/>
        <w:rPr>
          <w:rFonts w:ascii="Arial" w:hAnsi="Arial" w:cs="Arial"/>
          <w:i/>
          <w:sz w:val="20"/>
          <w:szCs w:val="20"/>
          <w:lang w:val="es-US"/>
        </w:rPr>
      </w:pPr>
      <w:r w:rsidRPr="00C67009">
        <w:rPr>
          <w:rFonts w:ascii="Arial" w:hAnsi="Arial" w:cs="Arial"/>
          <w:i/>
          <w:sz w:val="20"/>
          <w:szCs w:val="20"/>
          <w:lang w:val="es-US"/>
        </w:rPr>
        <w:t>Gestión del soporte técnico a todos los equipos computacionales.</w:t>
      </w:r>
    </w:p>
    <w:p w:rsidR="00C67009" w:rsidRPr="00C67009" w:rsidRDefault="00C67009" w:rsidP="00E03D56">
      <w:pPr>
        <w:numPr>
          <w:ilvl w:val="0"/>
          <w:numId w:val="13"/>
        </w:numPr>
        <w:spacing w:line="276" w:lineRule="auto"/>
        <w:ind w:left="1418" w:right="282"/>
        <w:contextualSpacing/>
        <w:jc w:val="both"/>
        <w:rPr>
          <w:rFonts w:ascii="Arial" w:hAnsi="Arial" w:cs="Arial"/>
          <w:i/>
          <w:sz w:val="22"/>
          <w:szCs w:val="22"/>
          <w:lang w:val="es-US"/>
        </w:rPr>
      </w:pPr>
      <w:r w:rsidRPr="00C67009">
        <w:rPr>
          <w:rFonts w:ascii="Arial" w:hAnsi="Arial" w:cs="Arial"/>
          <w:i/>
          <w:sz w:val="20"/>
          <w:szCs w:val="20"/>
          <w:lang w:val="es-US"/>
        </w:rPr>
        <w:t>Gestión de los procesos de adquisición de TIC.</w:t>
      </w:r>
    </w:p>
    <w:p w:rsidR="00C67009" w:rsidRPr="00C67009" w:rsidRDefault="00C67009" w:rsidP="00C67009">
      <w:pPr>
        <w:ind w:left="284"/>
        <w:contextualSpacing/>
        <w:jc w:val="both"/>
        <w:rPr>
          <w:rFonts w:ascii="Arial" w:hAnsi="Arial" w:cs="Arial"/>
          <w:i/>
          <w:sz w:val="16"/>
          <w:szCs w:val="20"/>
          <w:lang w:val="es-CR"/>
        </w:rPr>
      </w:pPr>
    </w:p>
    <w:p w:rsidR="00C67009" w:rsidRPr="00C67009" w:rsidRDefault="00C67009" w:rsidP="00E03D56">
      <w:pPr>
        <w:numPr>
          <w:ilvl w:val="0"/>
          <w:numId w:val="2"/>
        </w:numPr>
        <w:ind w:left="360"/>
        <w:jc w:val="both"/>
        <w:rPr>
          <w:rFonts w:ascii="Arial" w:hAnsi="Arial" w:cs="Arial"/>
        </w:rPr>
      </w:pPr>
      <w:r w:rsidRPr="00C67009">
        <w:rPr>
          <w:rFonts w:ascii="Arial" w:hAnsi="Arial" w:cs="Arial"/>
        </w:rPr>
        <w:t>El Consejo Institucional en la Sesión Ordinaria No. 2960, Artículo 8, del 24 de febrero de 2016 aprobó la creación del Comité Estratégico de Tecnologías de Información del Instituto Tecnológico de Costa Rica, con las siguientes funciones:</w:t>
      </w:r>
    </w:p>
    <w:p w:rsidR="00C67009" w:rsidRPr="00C67009" w:rsidRDefault="00C67009" w:rsidP="00C67009">
      <w:pPr>
        <w:ind w:left="284"/>
        <w:rPr>
          <w:rFonts w:ascii="Arial" w:hAnsi="Arial" w:cs="Arial"/>
          <w:sz w:val="22"/>
          <w:szCs w:val="22"/>
        </w:rPr>
      </w:pPr>
    </w:p>
    <w:p w:rsidR="00C67009" w:rsidRPr="00C67009" w:rsidRDefault="00C67009" w:rsidP="00E03D56">
      <w:pPr>
        <w:numPr>
          <w:ilvl w:val="0"/>
          <w:numId w:val="6"/>
        </w:numPr>
        <w:ind w:left="850" w:right="282" w:hanging="357"/>
        <w:contextualSpacing/>
        <w:jc w:val="both"/>
        <w:rPr>
          <w:rFonts w:ascii="Arial" w:hAnsi="Arial" w:cs="Arial"/>
          <w:i/>
          <w:sz w:val="22"/>
          <w:szCs w:val="22"/>
        </w:rPr>
      </w:pPr>
      <w:r w:rsidRPr="00C67009">
        <w:rPr>
          <w:rFonts w:ascii="Arial" w:hAnsi="Arial" w:cs="Arial"/>
          <w:i/>
          <w:sz w:val="22"/>
          <w:szCs w:val="22"/>
        </w:rPr>
        <w:t>Elaborar y dar seguimiento a la implementación del Plan Estratégico de Tecnología de Información del Instituto Tecnológico de Costa Rica, en atención al Plan Estratégico Institucional.</w:t>
      </w:r>
    </w:p>
    <w:p w:rsidR="00C67009" w:rsidRPr="00C67009" w:rsidRDefault="00C67009" w:rsidP="00C67009">
      <w:pPr>
        <w:ind w:left="493" w:right="282"/>
        <w:contextualSpacing/>
        <w:jc w:val="both"/>
        <w:rPr>
          <w:rFonts w:ascii="Arial" w:hAnsi="Arial" w:cs="Arial"/>
          <w:i/>
          <w:sz w:val="16"/>
          <w:szCs w:val="16"/>
        </w:rPr>
      </w:pPr>
    </w:p>
    <w:p w:rsidR="00C67009" w:rsidRPr="00C67009" w:rsidRDefault="00C67009" w:rsidP="00E03D56">
      <w:pPr>
        <w:numPr>
          <w:ilvl w:val="0"/>
          <w:numId w:val="6"/>
        </w:numPr>
        <w:ind w:left="850" w:right="282" w:hanging="357"/>
        <w:contextualSpacing/>
        <w:jc w:val="both"/>
        <w:rPr>
          <w:rFonts w:ascii="Arial" w:hAnsi="Arial" w:cs="Arial"/>
          <w:i/>
          <w:sz w:val="22"/>
          <w:szCs w:val="22"/>
        </w:rPr>
      </w:pPr>
      <w:r w:rsidRPr="00C67009">
        <w:rPr>
          <w:rFonts w:ascii="Arial" w:hAnsi="Arial" w:cs="Arial"/>
          <w:i/>
          <w:sz w:val="22"/>
          <w:szCs w:val="22"/>
        </w:rPr>
        <w:t>Evaluar periódicamente el cumplimiento del Instituto Tecnológico de Costa Rica de la normativa interna y externa en materia de tecnología de información.</w:t>
      </w:r>
    </w:p>
    <w:p w:rsidR="00C67009" w:rsidRPr="00C67009" w:rsidRDefault="00C67009" w:rsidP="00C67009">
      <w:pPr>
        <w:ind w:left="720"/>
        <w:contextualSpacing/>
        <w:rPr>
          <w:rFonts w:ascii="Arial" w:hAnsi="Arial" w:cs="Arial"/>
          <w:i/>
          <w:sz w:val="22"/>
          <w:szCs w:val="22"/>
        </w:rPr>
      </w:pPr>
    </w:p>
    <w:p w:rsidR="00C67009" w:rsidRPr="00C67009" w:rsidRDefault="00C67009" w:rsidP="00E03D56">
      <w:pPr>
        <w:numPr>
          <w:ilvl w:val="0"/>
          <w:numId w:val="6"/>
        </w:numPr>
        <w:ind w:left="850" w:right="282" w:hanging="357"/>
        <w:contextualSpacing/>
        <w:jc w:val="both"/>
        <w:rPr>
          <w:rFonts w:ascii="Arial" w:hAnsi="Arial" w:cs="Arial"/>
          <w:i/>
          <w:sz w:val="22"/>
          <w:szCs w:val="22"/>
        </w:rPr>
      </w:pPr>
      <w:r w:rsidRPr="00C67009">
        <w:rPr>
          <w:rFonts w:ascii="Arial" w:hAnsi="Arial" w:cs="Arial"/>
          <w:i/>
          <w:sz w:val="22"/>
          <w:szCs w:val="22"/>
        </w:rPr>
        <w:t>Proponer al Consejo Institucional las disposiciones, políticas, normas generales atinentes a la gobernabilidad de las tecnologías de información del Instituto Tecnológico de Costa Rica, así como velar por su respectivo cumplimiento.</w:t>
      </w:r>
    </w:p>
    <w:p w:rsidR="00C67009" w:rsidRPr="00C67009" w:rsidRDefault="00C67009" w:rsidP="00C67009">
      <w:pPr>
        <w:ind w:left="720"/>
        <w:contextualSpacing/>
        <w:rPr>
          <w:rFonts w:ascii="Arial" w:hAnsi="Arial" w:cs="Arial"/>
          <w:i/>
          <w:sz w:val="22"/>
          <w:szCs w:val="22"/>
        </w:rPr>
      </w:pPr>
    </w:p>
    <w:p w:rsidR="00C67009" w:rsidRPr="00C67009" w:rsidRDefault="00C67009" w:rsidP="00E03D56">
      <w:pPr>
        <w:numPr>
          <w:ilvl w:val="0"/>
          <w:numId w:val="6"/>
        </w:numPr>
        <w:ind w:left="850" w:right="282" w:hanging="357"/>
        <w:contextualSpacing/>
        <w:jc w:val="both"/>
        <w:rPr>
          <w:rFonts w:ascii="Arial" w:hAnsi="Arial" w:cs="Arial"/>
          <w:i/>
          <w:sz w:val="22"/>
          <w:szCs w:val="22"/>
        </w:rPr>
      </w:pPr>
      <w:r w:rsidRPr="00C67009">
        <w:rPr>
          <w:rFonts w:ascii="Arial" w:hAnsi="Arial" w:cs="Arial"/>
          <w:i/>
          <w:sz w:val="22"/>
          <w:szCs w:val="22"/>
        </w:rPr>
        <w:t>Establecer buenas prácticas atinentes a la gobernabilidad y buen uso de las tecnologías de información del Instituto Tecnológico de Costa Rica, así como velar por su respectivo cumplimiento.</w:t>
      </w:r>
    </w:p>
    <w:p w:rsidR="00C67009" w:rsidRPr="00C67009" w:rsidRDefault="00C67009" w:rsidP="00C67009">
      <w:pPr>
        <w:ind w:left="720"/>
        <w:contextualSpacing/>
        <w:rPr>
          <w:rFonts w:ascii="Arial" w:hAnsi="Arial" w:cs="Arial"/>
          <w:i/>
          <w:sz w:val="22"/>
          <w:szCs w:val="22"/>
        </w:rPr>
      </w:pPr>
    </w:p>
    <w:p w:rsidR="00C67009" w:rsidRPr="00C67009" w:rsidRDefault="00C67009" w:rsidP="00E03D56">
      <w:pPr>
        <w:numPr>
          <w:ilvl w:val="0"/>
          <w:numId w:val="6"/>
        </w:numPr>
        <w:ind w:left="850" w:right="282" w:hanging="357"/>
        <w:contextualSpacing/>
        <w:jc w:val="both"/>
        <w:rPr>
          <w:rFonts w:ascii="Arial" w:hAnsi="Arial" w:cs="Arial"/>
          <w:i/>
          <w:sz w:val="22"/>
          <w:szCs w:val="22"/>
        </w:rPr>
      </w:pPr>
      <w:r w:rsidRPr="00C67009">
        <w:rPr>
          <w:rFonts w:ascii="Arial" w:hAnsi="Arial" w:cs="Arial"/>
          <w:i/>
          <w:sz w:val="22"/>
          <w:szCs w:val="22"/>
        </w:rPr>
        <w:t>Evaluar de manera periódica los riesgos operacionales de seguridad y continuidad que presente el Instituto Tecnológico de Costa Rica en materia de tecnología de información.</w:t>
      </w:r>
    </w:p>
    <w:p w:rsidR="00C67009" w:rsidRPr="00C67009" w:rsidRDefault="00C67009" w:rsidP="00C67009">
      <w:pPr>
        <w:ind w:left="720"/>
        <w:contextualSpacing/>
        <w:rPr>
          <w:rFonts w:ascii="Arial" w:hAnsi="Arial" w:cs="Arial"/>
          <w:i/>
          <w:sz w:val="22"/>
          <w:szCs w:val="22"/>
        </w:rPr>
      </w:pPr>
    </w:p>
    <w:p w:rsidR="00C67009" w:rsidRPr="00C67009" w:rsidRDefault="00C67009" w:rsidP="00E03D56">
      <w:pPr>
        <w:numPr>
          <w:ilvl w:val="0"/>
          <w:numId w:val="6"/>
        </w:numPr>
        <w:ind w:left="850" w:right="282" w:hanging="357"/>
        <w:contextualSpacing/>
        <w:jc w:val="both"/>
        <w:rPr>
          <w:rFonts w:ascii="Arial" w:hAnsi="Arial" w:cs="Arial"/>
          <w:i/>
          <w:sz w:val="22"/>
          <w:szCs w:val="22"/>
        </w:rPr>
      </w:pPr>
      <w:r w:rsidRPr="00C67009">
        <w:rPr>
          <w:rFonts w:ascii="Arial" w:hAnsi="Arial" w:cs="Arial"/>
          <w:i/>
          <w:sz w:val="22"/>
          <w:szCs w:val="22"/>
        </w:rPr>
        <w:t xml:space="preserve">Evaluar y rendir cuentas, cada semestre al Consejo </w:t>
      </w:r>
      <w:proofErr w:type="gramStart"/>
      <w:r w:rsidRPr="00C67009">
        <w:rPr>
          <w:rFonts w:ascii="Arial" w:hAnsi="Arial" w:cs="Arial"/>
          <w:i/>
          <w:sz w:val="22"/>
          <w:szCs w:val="22"/>
        </w:rPr>
        <w:t>Institucional,  respecto</w:t>
      </w:r>
      <w:proofErr w:type="gramEnd"/>
      <w:r w:rsidRPr="00C67009">
        <w:rPr>
          <w:rFonts w:ascii="Arial" w:hAnsi="Arial" w:cs="Arial"/>
          <w:i/>
          <w:sz w:val="22"/>
          <w:szCs w:val="22"/>
        </w:rPr>
        <w:t xml:space="preserve"> a la gestión y desempeño de tecnologías de información en el Instituto Tecnológico de Costa Rica.</w:t>
      </w:r>
    </w:p>
    <w:p w:rsidR="00C67009" w:rsidRPr="00C67009" w:rsidRDefault="00C67009" w:rsidP="00C67009">
      <w:pPr>
        <w:ind w:left="720"/>
        <w:contextualSpacing/>
        <w:rPr>
          <w:rFonts w:ascii="Arial" w:hAnsi="Arial" w:cs="Arial"/>
          <w:i/>
          <w:sz w:val="22"/>
          <w:szCs w:val="22"/>
        </w:rPr>
      </w:pPr>
    </w:p>
    <w:p w:rsidR="00C67009" w:rsidRPr="00C67009" w:rsidRDefault="00C67009" w:rsidP="00E03D56">
      <w:pPr>
        <w:numPr>
          <w:ilvl w:val="0"/>
          <w:numId w:val="6"/>
        </w:numPr>
        <w:ind w:left="850" w:right="282" w:hanging="357"/>
        <w:contextualSpacing/>
        <w:jc w:val="both"/>
        <w:rPr>
          <w:rFonts w:ascii="Arial" w:hAnsi="Arial" w:cs="Arial"/>
          <w:i/>
          <w:sz w:val="22"/>
          <w:szCs w:val="22"/>
        </w:rPr>
      </w:pPr>
      <w:r w:rsidRPr="00C67009">
        <w:rPr>
          <w:rFonts w:ascii="Arial" w:hAnsi="Arial" w:cs="Arial"/>
          <w:i/>
          <w:sz w:val="22"/>
          <w:szCs w:val="22"/>
        </w:rPr>
        <w:t xml:space="preserve">Asignar las prioridades de inversión en materia de tecnología de información institucional. </w:t>
      </w:r>
    </w:p>
    <w:p w:rsidR="00C67009" w:rsidRPr="00C67009" w:rsidRDefault="00C67009" w:rsidP="00C67009">
      <w:pPr>
        <w:ind w:left="720"/>
        <w:contextualSpacing/>
        <w:rPr>
          <w:rFonts w:ascii="Arial" w:hAnsi="Arial" w:cs="Arial"/>
          <w:i/>
          <w:sz w:val="22"/>
          <w:szCs w:val="22"/>
        </w:rPr>
      </w:pPr>
    </w:p>
    <w:p w:rsidR="00C67009" w:rsidRPr="00C67009" w:rsidRDefault="00C67009" w:rsidP="00E03D56">
      <w:pPr>
        <w:numPr>
          <w:ilvl w:val="0"/>
          <w:numId w:val="6"/>
        </w:numPr>
        <w:ind w:left="850" w:right="282" w:hanging="357"/>
        <w:contextualSpacing/>
        <w:jc w:val="both"/>
        <w:rPr>
          <w:rFonts w:ascii="Arial" w:hAnsi="Arial" w:cs="Arial"/>
          <w:i/>
          <w:sz w:val="22"/>
          <w:szCs w:val="22"/>
        </w:rPr>
      </w:pPr>
      <w:r w:rsidRPr="00C67009">
        <w:rPr>
          <w:rFonts w:ascii="Arial" w:hAnsi="Arial" w:cs="Arial"/>
          <w:i/>
          <w:sz w:val="22"/>
          <w:szCs w:val="22"/>
        </w:rPr>
        <w:t xml:space="preserve">Decidir la viabilidad de los planes de adquisición, ampliación, cancelación y modificación de las soluciones tecnológicas de la Institución. </w:t>
      </w:r>
    </w:p>
    <w:p w:rsidR="00C67009" w:rsidRPr="00C67009" w:rsidRDefault="00C67009" w:rsidP="00C67009">
      <w:pPr>
        <w:spacing w:before="120"/>
        <w:jc w:val="both"/>
        <w:rPr>
          <w:rFonts w:ascii="Arial" w:hAnsi="Arial" w:cs="Arial"/>
          <w:b/>
        </w:rPr>
      </w:pPr>
      <w:r w:rsidRPr="00C67009">
        <w:rPr>
          <w:rFonts w:ascii="Arial" w:hAnsi="Arial" w:cs="Arial"/>
          <w:b/>
        </w:rPr>
        <w:t>CONSIDERANDO QUE:</w:t>
      </w:r>
    </w:p>
    <w:p w:rsidR="00C67009" w:rsidRPr="00C67009" w:rsidRDefault="00C67009" w:rsidP="00C67009">
      <w:pPr>
        <w:jc w:val="both"/>
        <w:rPr>
          <w:rFonts w:ascii="Arial" w:hAnsi="Arial" w:cs="Arial"/>
        </w:rPr>
      </w:pPr>
    </w:p>
    <w:p w:rsidR="00C67009" w:rsidRPr="00C67009" w:rsidRDefault="00C67009" w:rsidP="00E03D56">
      <w:pPr>
        <w:numPr>
          <w:ilvl w:val="0"/>
          <w:numId w:val="4"/>
        </w:numPr>
        <w:ind w:left="426"/>
        <w:jc w:val="both"/>
        <w:rPr>
          <w:rFonts w:ascii="Arial" w:hAnsi="Arial" w:cs="Arial"/>
        </w:rPr>
      </w:pPr>
      <w:r w:rsidRPr="00C67009">
        <w:rPr>
          <w:rFonts w:ascii="Arial" w:hAnsi="Arial" w:cs="Arial"/>
        </w:rPr>
        <w:t>En la Sesión Ordinaria N° 3073 del Consejo Institucional, artículo 11, del 06 de junio de 2018, se presentó como Foro el tema “Gobernanza de las Tics y situación actual de los desarrollos en proceso”, a cargo del Vicerrector de Administración Dr. Humberto Villalta Solano.  En la exposición se señalan las siguientes conclusiones:</w:t>
      </w:r>
    </w:p>
    <w:p w:rsidR="00C67009" w:rsidRPr="00C67009" w:rsidRDefault="00C67009" w:rsidP="00C67009">
      <w:pPr>
        <w:ind w:left="426"/>
        <w:jc w:val="both"/>
        <w:rPr>
          <w:rFonts w:ascii="Arial" w:hAnsi="Arial" w:cs="Arial"/>
        </w:rPr>
      </w:pPr>
    </w:p>
    <w:p w:rsidR="00C67009" w:rsidRPr="00C67009" w:rsidRDefault="00C67009" w:rsidP="00E03D56">
      <w:pPr>
        <w:numPr>
          <w:ilvl w:val="0"/>
          <w:numId w:val="5"/>
        </w:numPr>
        <w:spacing w:after="120"/>
        <w:jc w:val="both"/>
        <w:rPr>
          <w:rFonts w:ascii="Arial" w:hAnsi="Arial" w:cs="Arial"/>
          <w:lang w:val="es-CR"/>
        </w:rPr>
      </w:pPr>
      <w:r w:rsidRPr="00C67009">
        <w:rPr>
          <w:rFonts w:ascii="Arial" w:hAnsi="Arial" w:cs="Arial"/>
        </w:rPr>
        <w:t xml:space="preserve">Por diferentes razones que todos conocemos la propuesta de la Consultoría realizada de implementación de un modelo de Gobernanza de las </w:t>
      </w:r>
      <w:proofErr w:type="spellStart"/>
      <w:r w:rsidRPr="00C67009">
        <w:rPr>
          <w:rFonts w:ascii="Arial" w:hAnsi="Arial" w:cs="Arial"/>
        </w:rPr>
        <w:t>TIC´s</w:t>
      </w:r>
      <w:proofErr w:type="spellEnd"/>
      <w:r w:rsidRPr="00C67009">
        <w:rPr>
          <w:rFonts w:ascii="Arial" w:hAnsi="Arial" w:cs="Arial"/>
        </w:rPr>
        <w:t>, no se logró implementar; pero:</w:t>
      </w:r>
    </w:p>
    <w:p w:rsidR="00C67009" w:rsidRPr="00C67009" w:rsidRDefault="00C67009" w:rsidP="00E03D56">
      <w:pPr>
        <w:numPr>
          <w:ilvl w:val="1"/>
          <w:numId w:val="10"/>
        </w:numPr>
        <w:spacing w:after="120"/>
        <w:jc w:val="both"/>
        <w:rPr>
          <w:rFonts w:ascii="Arial" w:hAnsi="Arial" w:cs="Arial"/>
          <w:lang w:val="es-CR"/>
        </w:rPr>
      </w:pPr>
      <w:r w:rsidRPr="00C67009">
        <w:rPr>
          <w:rFonts w:ascii="Arial" w:hAnsi="Arial" w:cs="Arial"/>
        </w:rPr>
        <w:t xml:space="preserve">la Institución necesita con urgencia definir su rumbo y tener un marco de referencia el cual pueda seguir en materia de </w:t>
      </w:r>
      <w:proofErr w:type="spellStart"/>
      <w:r w:rsidRPr="00C67009">
        <w:rPr>
          <w:rFonts w:ascii="Arial" w:hAnsi="Arial" w:cs="Arial"/>
        </w:rPr>
        <w:t>TIC´s</w:t>
      </w:r>
      <w:proofErr w:type="spellEnd"/>
    </w:p>
    <w:p w:rsidR="00C67009" w:rsidRPr="00C67009" w:rsidRDefault="00C67009" w:rsidP="00E03D56">
      <w:pPr>
        <w:numPr>
          <w:ilvl w:val="1"/>
          <w:numId w:val="10"/>
        </w:numPr>
        <w:spacing w:after="120"/>
        <w:jc w:val="both"/>
        <w:rPr>
          <w:rFonts w:ascii="Arial" w:hAnsi="Arial" w:cs="Arial"/>
          <w:lang w:val="es-CR"/>
        </w:rPr>
      </w:pPr>
      <w:r w:rsidRPr="00C67009">
        <w:rPr>
          <w:rFonts w:ascii="Arial" w:hAnsi="Arial" w:cs="Arial"/>
        </w:rPr>
        <w:lastRenderedPageBreak/>
        <w:t>y en aras de rescatar lo invertido tanto en la Consultoría como</w:t>
      </w:r>
    </w:p>
    <w:p w:rsidR="00C67009" w:rsidRPr="00C67009" w:rsidRDefault="00C67009" w:rsidP="00E03D56">
      <w:pPr>
        <w:numPr>
          <w:ilvl w:val="1"/>
          <w:numId w:val="10"/>
        </w:numPr>
        <w:spacing w:after="120"/>
        <w:jc w:val="both"/>
        <w:rPr>
          <w:rFonts w:ascii="Arial" w:hAnsi="Arial" w:cs="Arial"/>
          <w:lang w:val="es-CR"/>
        </w:rPr>
      </w:pPr>
      <w:r w:rsidRPr="00C67009">
        <w:rPr>
          <w:rFonts w:ascii="Arial" w:hAnsi="Arial" w:cs="Arial"/>
        </w:rPr>
        <w:t>en los sistemas en desarrollo o por implementar a hoy</w:t>
      </w:r>
    </w:p>
    <w:p w:rsidR="00C67009" w:rsidRPr="00C67009" w:rsidRDefault="00C67009" w:rsidP="00E03D56">
      <w:pPr>
        <w:numPr>
          <w:ilvl w:val="1"/>
          <w:numId w:val="10"/>
        </w:numPr>
        <w:spacing w:after="120"/>
        <w:jc w:val="both"/>
        <w:rPr>
          <w:rFonts w:ascii="Arial" w:hAnsi="Arial" w:cs="Arial"/>
          <w:lang w:val="es-CR"/>
        </w:rPr>
      </w:pPr>
      <w:r w:rsidRPr="00C67009">
        <w:rPr>
          <w:rFonts w:ascii="Arial" w:hAnsi="Arial" w:cs="Arial"/>
        </w:rPr>
        <w:t xml:space="preserve">y que la gestión de las </w:t>
      </w:r>
      <w:proofErr w:type="spellStart"/>
      <w:r w:rsidRPr="00C67009">
        <w:rPr>
          <w:rFonts w:ascii="Arial" w:hAnsi="Arial" w:cs="Arial"/>
        </w:rPr>
        <w:t>TIC´s</w:t>
      </w:r>
      <w:proofErr w:type="spellEnd"/>
      <w:r w:rsidRPr="00C67009">
        <w:rPr>
          <w:rFonts w:ascii="Arial" w:hAnsi="Arial" w:cs="Arial"/>
        </w:rPr>
        <w:t xml:space="preserve"> en nuestra Institución requieren de estrategias, objetivos y metas muy claras</w:t>
      </w:r>
    </w:p>
    <w:p w:rsidR="00C67009" w:rsidRPr="00C67009" w:rsidRDefault="00C67009" w:rsidP="001F5556">
      <w:pPr>
        <w:spacing w:after="120"/>
        <w:ind w:left="1146"/>
        <w:jc w:val="both"/>
        <w:rPr>
          <w:rFonts w:ascii="Arial" w:hAnsi="Arial" w:cs="Arial"/>
        </w:rPr>
      </w:pPr>
      <w:r w:rsidRPr="00C67009">
        <w:rPr>
          <w:rFonts w:ascii="Arial" w:hAnsi="Arial" w:cs="Arial"/>
          <w:bCs/>
        </w:rPr>
        <w:t>La implementación de este plan de trabajo marca el comienzo del rediseño del Plan Estratégico de Tecnologías de Información (PETI) y la respectiva evaluación de la nueva cartera de proyectos.</w:t>
      </w:r>
      <w:bookmarkStart w:id="0" w:name="_GoBack"/>
      <w:bookmarkEnd w:id="0"/>
    </w:p>
    <w:p w:rsidR="00C67009" w:rsidRPr="00C67009" w:rsidRDefault="00C67009" w:rsidP="00C67009">
      <w:pPr>
        <w:ind w:left="426"/>
        <w:jc w:val="both"/>
        <w:rPr>
          <w:rFonts w:ascii="Arial" w:hAnsi="Arial" w:cs="Arial"/>
        </w:rPr>
      </w:pPr>
      <w:r w:rsidRPr="00C67009">
        <w:rPr>
          <w:rFonts w:ascii="Arial" w:hAnsi="Arial" w:cs="Arial"/>
        </w:rPr>
        <w:t>Por tanto, la Administración propone:</w:t>
      </w:r>
    </w:p>
    <w:p w:rsidR="00C67009" w:rsidRPr="00C67009" w:rsidRDefault="00C67009" w:rsidP="00C67009">
      <w:pPr>
        <w:ind w:left="426"/>
        <w:jc w:val="both"/>
        <w:rPr>
          <w:rFonts w:ascii="Arial" w:hAnsi="Arial" w:cs="Arial"/>
        </w:rPr>
      </w:pPr>
    </w:p>
    <w:p w:rsidR="00C67009" w:rsidRPr="00C67009" w:rsidRDefault="00C67009" w:rsidP="00E03D56">
      <w:pPr>
        <w:numPr>
          <w:ilvl w:val="2"/>
          <w:numId w:val="4"/>
        </w:numPr>
        <w:spacing w:after="120"/>
        <w:ind w:left="1134"/>
        <w:jc w:val="both"/>
        <w:rPr>
          <w:rFonts w:ascii="Arial" w:hAnsi="Arial" w:cs="Arial"/>
          <w:lang w:val="es-CR"/>
        </w:rPr>
      </w:pPr>
      <w:r w:rsidRPr="00C67009">
        <w:rPr>
          <w:rFonts w:ascii="Arial" w:hAnsi="Arial" w:cs="Arial"/>
          <w:bCs/>
        </w:rPr>
        <w:t>Resolver un tema de funciones entre el CETI y el DATIC:</w:t>
      </w:r>
    </w:p>
    <w:p w:rsidR="00C67009" w:rsidRPr="00C67009" w:rsidRDefault="00C67009" w:rsidP="00C67009">
      <w:pPr>
        <w:spacing w:after="120"/>
        <w:ind w:left="1418" w:hanging="284"/>
        <w:jc w:val="both"/>
        <w:rPr>
          <w:rFonts w:ascii="Arial" w:hAnsi="Arial" w:cs="Arial"/>
          <w:lang w:val="es-CR"/>
        </w:rPr>
      </w:pPr>
      <w:r w:rsidRPr="00C67009">
        <w:rPr>
          <w:rFonts w:ascii="Arial" w:hAnsi="Arial" w:cs="Arial"/>
          <w:bCs/>
          <w:u w:val="single"/>
        </w:rPr>
        <w:t>CETI</w:t>
      </w:r>
    </w:p>
    <w:p w:rsidR="00C67009" w:rsidRPr="00C67009" w:rsidRDefault="00C67009" w:rsidP="00E03D56">
      <w:pPr>
        <w:numPr>
          <w:ilvl w:val="2"/>
          <w:numId w:val="5"/>
        </w:numPr>
        <w:spacing w:after="120"/>
        <w:ind w:left="1276"/>
        <w:jc w:val="both"/>
        <w:rPr>
          <w:rFonts w:ascii="Arial" w:hAnsi="Arial" w:cs="Arial"/>
          <w:lang w:val="es-CR"/>
        </w:rPr>
      </w:pPr>
      <w:r w:rsidRPr="00C67009">
        <w:rPr>
          <w:rFonts w:ascii="Arial" w:hAnsi="Arial" w:cs="Arial"/>
        </w:rPr>
        <w:t>Elaborar y dar seguimiento a la implementación del Plan Estratégico de Tecnología de Información del Instituto Tecnológico de Costa Rica, en atención al Plan Estratégico Institucional.</w:t>
      </w:r>
    </w:p>
    <w:p w:rsidR="00C67009" w:rsidRPr="00C67009" w:rsidRDefault="00C67009" w:rsidP="00E03D56">
      <w:pPr>
        <w:numPr>
          <w:ilvl w:val="2"/>
          <w:numId w:val="5"/>
        </w:numPr>
        <w:spacing w:after="120"/>
        <w:ind w:left="1276"/>
        <w:jc w:val="both"/>
        <w:rPr>
          <w:rFonts w:ascii="Arial" w:hAnsi="Arial" w:cs="Arial"/>
          <w:lang w:val="es-CR"/>
        </w:rPr>
      </w:pPr>
      <w:r w:rsidRPr="00C67009">
        <w:rPr>
          <w:rFonts w:ascii="Arial" w:hAnsi="Arial" w:cs="Arial"/>
        </w:rPr>
        <w:t>Evaluar periódicamente el cumplimiento del Instituto Tecnológico de Costa Rica de la normativa interna y externa, en materia de tecnología de información.</w:t>
      </w:r>
    </w:p>
    <w:p w:rsidR="00C67009" w:rsidRPr="00C67009" w:rsidRDefault="00C67009" w:rsidP="00C67009">
      <w:pPr>
        <w:spacing w:after="120"/>
        <w:ind w:left="1418" w:hanging="284"/>
        <w:jc w:val="both"/>
        <w:rPr>
          <w:rFonts w:ascii="Arial" w:hAnsi="Arial" w:cs="Arial"/>
          <w:bCs/>
          <w:u w:val="single"/>
        </w:rPr>
      </w:pPr>
      <w:r w:rsidRPr="00C67009">
        <w:rPr>
          <w:rFonts w:ascii="Arial" w:hAnsi="Arial" w:cs="Arial"/>
          <w:bCs/>
          <w:u w:val="single"/>
        </w:rPr>
        <w:t>DATIC</w:t>
      </w:r>
    </w:p>
    <w:p w:rsidR="00C67009" w:rsidRPr="00C67009" w:rsidRDefault="00C67009" w:rsidP="00E03D56">
      <w:pPr>
        <w:numPr>
          <w:ilvl w:val="2"/>
          <w:numId w:val="5"/>
        </w:numPr>
        <w:spacing w:after="120"/>
        <w:ind w:left="1276"/>
        <w:jc w:val="both"/>
        <w:rPr>
          <w:rFonts w:ascii="Arial" w:hAnsi="Arial" w:cs="Arial"/>
        </w:rPr>
      </w:pPr>
      <w:r w:rsidRPr="00C67009">
        <w:rPr>
          <w:rFonts w:ascii="Arial" w:hAnsi="Arial" w:cs="Arial"/>
        </w:rPr>
        <w:t xml:space="preserve">Ejecutar las acciones según planeación estratégica de las Tecnologías de Información y Comunicación (TIC) </w:t>
      </w:r>
    </w:p>
    <w:p w:rsidR="00C67009" w:rsidRPr="00C67009" w:rsidRDefault="00C67009" w:rsidP="00E03D56">
      <w:pPr>
        <w:numPr>
          <w:ilvl w:val="2"/>
          <w:numId w:val="5"/>
        </w:numPr>
        <w:spacing w:after="120"/>
        <w:ind w:left="1276"/>
        <w:jc w:val="both"/>
        <w:rPr>
          <w:rFonts w:ascii="Arial" w:hAnsi="Arial" w:cs="Arial"/>
        </w:rPr>
      </w:pPr>
      <w:r w:rsidRPr="00C67009">
        <w:rPr>
          <w:rFonts w:ascii="Arial" w:hAnsi="Arial" w:cs="Arial"/>
        </w:rPr>
        <w:t>Gestión de las Tecnologías de información y comunicación</w:t>
      </w:r>
    </w:p>
    <w:p w:rsidR="00C67009" w:rsidRPr="00C67009" w:rsidRDefault="00C67009" w:rsidP="00E03D56">
      <w:pPr>
        <w:numPr>
          <w:ilvl w:val="2"/>
          <w:numId w:val="4"/>
        </w:numPr>
        <w:spacing w:after="120"/>
        <w:ind w:left="1134"/>
        <w:jc w:val="both"/>
        <w:rPr>
          <w:rFonts w:ascii="Arial" w:hAnsi="Arial" w:cs="Arial"/>
          <w:bCs/>
        </w:rPr>
      </w:pPr>
      <w:r w:rsidRPr="00C67009">
        <w:rPr>
          <w:rFonts w:ascii="Arial" w:hAnsi="Arial" w:cs="Arial"/>
          <w:bCs/>
        </w:rPr>
        <w:t>Eliminar el PETEC-01 del Plan Estratégico</w:t>
      </w:r>
    </w:p>
    <w:p w:rsidR="00C67009" w:rsidRPr="00C67009" w:rsidRDefault="00C67009" w:rsidP="00E03D56">
      <w:pPr>
        <w:numPr>
          <w:ilvl w:val="2"/>
          <w:numId w:val="4"/>
        </w:numPr>
        <w:spacing w:after="120"/>
        <w:ind w:left="1134"/>
        <w:jc w:val="both"/>
        <w:rPr>
          <w:rFonts w:ascii="Arial" w:hAnsi="Arial" w:cs="Arial"/>
          <w:bCs/>
        </w:rPr>
      </w:pPr>
      <w:r w:rsidRPr="00C67009">
        <w:rPr>
          <w:rFonts w:ascii="Arial" w:hAnsi="Arial" w:cs="Arial"/>
          <w:bCs/>
        </w:rPr>
        <w:t>Avalar la implementación de esta propuesta y que CETI apruebe los requerimientos de nuevos sistemas, de acuerdo con las prioridades de la Institución y la disponibilidad de presupuesto.</w:t>
      </w:r>
    </w:p>
    <w:p w:rsidR="00C67009" w:rsidRDefault="00C67009" w:rsidP="00E03D56">
      <w:pPr>
        <w:numPr>
          <w:ilvl w:val="2"/>
          <w:numId w:val="4"/>
        </w:numPr>
        <w:ind w:left="1134"/>
        <w:jc w:val="both"/>
        <w:rPr>
          <w:rFonts w:ascii="Arial" w:hAnsi="Arial" w:cs="Arial"/>
          <w:bCs/>
        </w:rPr>
      </w:pPr>
      <w:r w:rsidRPr="00C67009">
        <w:rPr>
          <w:rFonts w:ascii="Arial" w:hAnsi="Arial" w:cs="Arial"/>
          <w:bCs/>
        </w:rPr>
        <w:t xml:space="preserve">Solicitar a la Administración un informe trimestral sobre el avance de la implementación de este plan. </w:t>
      </w:r>
    </w:p>
    <w:p w:rsidR="00C67009" w:rsidRPr="00C67009" w:rsidRDefault="00C67009" w:rsidP="00C67009">
      <w:pPr>
        <w:ind w:left="1134"/>
        <w:jc w:val="both"/>
        <w:rPr>
          <w:rFonts w:ascii="Arial" w:hAnsi="Arial" w:cs="Arial"/>
          <w:bCs/>
        </w:rPr>
      </w:pPr>
    </w:p>
    <w:p w:rsidR="00C67009" w:rsidRPr="00C67009" w:rsidRDefault="00C67009" w:rsidP="00E03D56">
      <w:pPr>
        <w:numPr>
          <w:ilvl w:val="0"/>
          <w:numId w:val="4"/>
        </w:numPr>
        <w:ind w:left="426"/>
        <w:jc w:val="both"/>
        <w:rPr>
          <w:rFonts w:ascii="Arial" w:hAnsi="Arial" w:cs="Arial"/>
        </w:rPr>
      </w:pPr>
      <w:r w:rsidRPr="00C67009">
        <w:rPr>
          <w:rFonts w:ascii="Arial" w:hAnsi="Arial" w:cs="Arial"/>
        </w:rPr>
        <w:t>El Consejo Institucional en la Sesión Ordinaria No.  3076, del 13 de junio de 2018, en el apartado de Foro, conoció los resultados de la Auditoría Externa 2017, realizada por el Despacho Carvajal &amp; Colegiados.  En la exposición se presenta el Informe de Auditoría de Tecnologías de Información, el cual expone el grado de riesgo de cada hallazgo encontrado:</w:t>
      </w:r>
    </w:p>
    <w:p w:rsidR="00C67009" w:rsidRPr="00C67009" w:rsidRDefault="00C67009" w:rsidP="00C67009">
      <w:pPr>
        <w:ind w:left="426"/>
        <w:jc w:val="both"/>
        <w:rPr>
          <w:rFonts w:ascii="Arial" w:hAnsi="Arial" w:cs="Arial"/>
        </w:rPr>
      </w:pPr>
    </w:p>
    <w:tbl>
      <w:tblPr>
        <w:tblStyle w:val="Tablaconcuadrcula10"/>
        <w:tblW w:w="0" w:type="auto"/>
        <w:jc w:val="center"/>
        <w:tblLook w:val="04A0" w:firstRow="1" w:lastRow="0" w:firstColumn="1" w:lastColumn="0" w:noHBand="0" w:noVBand="1"/>
      </w:tblPr>
      <w:tblGrid>
        <w:gridCol w:w="562"/>
        <w:gridCol w:w="5954"/>
        <w:gridCol w:w="1701"/>
      </w:tblGrid>
      <w:tr w:rsidR="00C67009" w:rsidRPr="00C67009" w:rsidTr="00291012">
        <w:trPr>
          <w:tblHeader/>
          <w:jc w:val="center"/>
        </w:trPr>
        <w:tc>
          <w:tcPr>
            <w:tcW w:w="562" w:type="dxa"/>
          </w:tcPr>
          <w:p w:rsidR="00C67009" w:rsidRPr="00C67009" w:rsidRDefault="00C67009" w:rsidP="00C67009">
            <w:pPr>
              <w:jc w:val="center"/>
              <w:rPr>
                <w:rFonts w:ascii="Arial" w:hAnsi="Arial" w:cs="Arial"/>
                <w:b/>
                <w:sz w:val="22"/>
                <w:szCs w:val="22"/>
              </w:rPr>
            </w:pPr>
          </w:p>
        </w:tc>
        <w:tc>
          <w:tcPr>
            <w:tcW w:w="5954" w:type="dxa"/>
          </w:tcPr>
          <w:p w:rsidR="00C67009" w:rsidRPr="00C67009" w:rsidRDefault="00C67009" w:rsidP="00C67009">
            <w:pPr>
              <w:jc w:val="center"/>
              <w:rPr>
                <w:rFonts w:ascii="Arial" w:hAnsi="Arial" w:cs="Arial"/>
                <w:b/>
                <w:sz w:val="22"/>
                <w:szCs w:val="22"/>
              </w:rPr>
            </w:pPr>
          </w:p>
          <w:p w:rsidR="00C67009" w:rsidRPr="00C67009" w:rsidRDefault="00C67009" w:rsidP="00C67009">
            <w:pPr>
              <w:jc w:val="center"/>
              <w:rPr>
                <w:rFonts w:ascii="Arial" w:hAnsi="Arial" w:cs="Arial"/>
                <w:b/>
                <w:sz w:val="22"/>
                <w:szCs w:val="22"/>
              </w:rPr>
            </w:pPr>
            <w:r w:rsidRPr="00C67009">
              <w:rPr>
                <w:rFonts w:ascii="Arial" w:hAnsi="Arial" w:cs="Arial"/>
                <w:b/>
                <w:sz w:val="22"/>
                <w:szCs w:val="22"/>
              </w:rPr>
              <w:t>Hallazgos</w:t>
            </w:r>
          </w:p>
          <w:p w:rsidR="00C67009" w:rsidRPr="00C67009" w:rsidRDefault="00C67009" w:rsidP="00C67009">
            <w:pPr>
              <w:jc w:val="center"/>
              <w:rPr>
                <w:rFonts w:ascii="Arial" w:hAnsi="Arial" w:cs="Arial"/>
                <w:b/>
                <w:sz w:val="22"/>
                <w:szCs w:val="22"/>
              </w:rPr>
            </w:pPr>
          </w:p>
        </w:tc>
        <w:tc>
          <w:tcPr>
            <w:tcW w:w="1701" w:type="dxa"/>
          </w:tcPr>
          <w:p w:rsidR="00C67009" w:rsidRPr="00C67009" w:rsidRDefault="00C67009" w:rsidP="00C67009">
            <w:pPr>
              <w:jc w:val="center"/>
              <w:rPr>
                <w:rFonts w:ascii="Arial" w:hAnsi="Arial" w:cs="Arial"/>
                <w:b/>
                <w:sz w:val="22"/>
                <w:szCs w:val="22"/>
              </w:rPr>
            </w:pPr>
          </w:p>
          <w:p w:rsidR="00C67009" w:rsidRPr="00C67009" w:rsidRDefault="00C67009" w:rsidP="00C67009">
            <w:pPr>
              <w:jc w:val="center"/>
              <w:rPr>
                <w:rFonts w:ascii="Arial" w:hAnsi="Arial" w:cs="Arial"/>
                <w:b/>
                <w:sz w:val="22"/>
                <w:szCs w:val="22"/>
              </w:rPr>
            </w:pPr>
            <w:r w:rsidRPr="00C67009">
              <w:rPr>
                <w:rFonts w:ascii="Arial" w:hAnsi="Arial" w:cs="Arial"/>
                <w:b/>
                <w:sz w:val="22"/>
                <w:szCs w:val="22"/>
              </w:rPr>
              <w:t>Riesgo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Ausencia de una metodología de gestión de calidad para el DATIC.</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2</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No se consideran algunos puestos de trabajo en el manual de puestos del área de TI.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3</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Ejecución parcial del plan de capacitación establecido para los colaboradores del DATIC.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lastRenderedPageBreak/>
              <w:t>4</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Cumplimiento parcial de la metodología de desarrollo e implementación de software.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5</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Descentralización de la documentación técnica referente al sistema financiero integral.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6</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 plan estratégico de tecnologías de información formalmente aprobado.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Riesgo medio.  </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7</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 plan anual operativo de tecnología de información.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8</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una política de seguridad de la información.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9</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Debilidades identificadas en la gestión y revisión de roles y perfiles de los sistemas de información.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10</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estudios de vulnerabilidad de la red institucional del ITCR.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11</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Debilidades en la seguridad física del cuarto de servidores del ITCR.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12</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 plan de continuidad de tecnologías de información.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alto.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13</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una metodología para la gestión de proyectos de TI.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14</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Debilidades en la gestión de respaldo de datos.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15</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procedimientos para la instalación, administración, migración, mantenimiento y configuración de la seguridad de las bases de datos.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16</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Existencia de cuentas activas de exfuncionarios en el active </w:t>
            </w:r>
            <w:proofErr w:type="spellStart"/>
            <w:r w:rsidRPr="00C67009">
              <w:rPr>
                <w:rFonts w:ascii="Arial" w:hAnsi="Arial" w:cs="Arial"/>
                <w:sz w:val="22"/>
                <w:szCs w:val="22"/>
              </w:rPr>
              <w:t>directory</w:t>
            </w:r>
            <w:proofErr w:type="spellEnd"/>
            <w:r w:rsidRPr="00C67009">
              <w:rPr>
                <w:rFonts w:ascii="Arial" w:hAnsi="Arial" w:cs="Arial"/>
                <w:sz w:val="22"/>
                <w:szCs w:val="22"/>
              </w:rPr>
              <w:t xml:space="preserve">.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17</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 modelo de arquitectura de información que estructure la relación de procesos y flujo de información a nivel institucional.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18</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 procedimiento para la gestión de la capacidad y disponibilidad de la plataforma tecnológica.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19</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Ausencia de un inventario detallado de licencias instaladas por equipo.</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20</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Debilidades identificadas en el sistema integrado financiero.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medio.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21</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 marco para la gestión de la configuración de TI.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r w:rsidR="00C67009" w:rsidRPr="00C67009" w:rsidTr="00291012">
        <w:trPr>
          <w:jc w:val="center"/>
        </w:trPr>
        <w:tc>
          <w:tcPr>
            <w:tcW w:w="562" w:type="dxa"/>
          </w:tcPr>
          <w:p w:rsidR="00C67009" w:rsidRPr="00C67009" w:rsidRDefault="00C67009" w:rsidP="00C67009">
            <w:pPr>
              <w:spacing w:before="100"/>
              <w:jc w:val="center"/>
              <w:rPr>
                <w:rFonts w:ascii="Arial" w:hAnsi="Arial" w:cs="Arial"/>
                <w:sz w:val="22"/>
                <w:szCs w:val="22"/>
              </w:rPr>
            </w:pPr>
            <w:r w:rsidRPr="00C67009">
              <w:rPr>
                <w:rFonts w:ascii="Arial" w:hAnsi="Arial" w:cs="Arial"/>
                <w:sz w:val="22"/>
                <w:szCs w:val="22"/>
              </w:rPr>
              <w:t>22</w:t>
            </w:r>
          </w:p>
        </w:tc>
        <w:tc>
          <w:tcPr>
            <w:tcW w:w="5954"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 xml:space="preserve">Ausencia de un procedimiento para la gestión de cambios de TI. </w:t>
            </w:r>
          </w:p>
        </w:tc>
        <w:tc>
          <w:tcPr>
            <w:tcW w:w="1701" w:type="dxa"/>
          </w:tcPr>
          <w:p w:rsidR="00C67009" w:rsidRPr="00C67009" w:rsidRDefault="00C67009" w:rsidP="00C67009">
            <w:pPr>
              <w:spacing w:before="100"/>
              <w:jc w:val="both"/>
              <w:rPr>
                <w:rFonts w:ascii="Arial" w:hAnsi="Arial" w:cs="Arial"/>
                <w:sz w:val="22"/>
                <w:szCs w:val="22"/>
              </w:rPr>
            </w:pPr>
            <w:r w:rsidRPr="00C67009">
              <w:rPr>
                <w:rFonts w:ascii="Arial" w:hAnsi="Arial" w:cs="Arial"/>
                <w:sz w:val="22"/>
                <w:szCs w:val="22"/>
              </w:rPr>
              <w:t>Riesgo bajo.</w:t>
            </w:r>
          </w:p>
        </w:tc>
      </w:tr>
    </w:tbl>
    <w:p w:rsidR="00C67009" w:rsidRPr="00C67009" w:rsidRDefault="00C67009" w:rsidP="00C67009">
      <w:pPr>
        <w:ind w:left="426"/>
        <w:jc w:val="both"/>
        <w:rPr>
          <w:rFonts w:ascii="Arial" w:hAnsi="Arial" w:cs="Arial"/>
        </w:rPr>
      </w:pPr>
    </w:p>
    <w:p w:rsidR="00C67009" w:rsidRPr="00C67009" w:rsidRDefault="00C67009" w:rsidP="00C67009">
      <w:pPr>
        <w:jc w:val="both"/>
        <w:rPr>
          <w:rFonts w:ascii="Arial" w:hAnsi="Arial" w:cs="Arial"/>
        </w:rPr>
      </w:pPr>
    </w:p>
    <w:p w:rsidR="00C67009" w:rsidRPr="00C67009" w:rsidRDefault="00C67009" w:rsidP="00C67009">
      <w:pPr>
        <w:ind w:left="426"/>
        <w:jc w:val="both"/>
        <w:rPr>
          <w:rFonts w:ascii="Arial" w:hAnsi="Arial" w:cs="Arial"/>
        </w:rPr>
      </w:pPr>
      <w:r w:rsidRPr="00C67009">
        <w:rPr>
          <w:rFonts w:ascii="Arial" w:hAnsi="Arial" w:cs="Arial"/>
        </w:rPr>
        <w:t>A continuación, se resume por periodo el cumplimiento de las recomendaciones emitidas en periodos anteriores:</w:t>
      </w:r>
    </w:p>
    <w:p w:rsidR="00C67009" w:rsidRPr="00C67009" w:rsidRDefault="00C67009" w:rsidP="00C67009">
      <w:pPr>
        <w:ind w:left="426"/>
        <w:jc w:val="both"/>
        <w:rPr>
          <w:rFonts w:ascii="Arial" w:hAnsi="Arial" w:cs="Arial"/>
        </w:rPr>
      </w:pPr>
    </w:p>
    <w:p w:rsidR="00C67009" w:rsidRPr="00C67009" w:rsidRDefault="00C67009" w:rsidP="00C67009">
      <w:pPr>
        <w:ind w:left="426"/>
        <w:jc w:val="both"/>
        <w:rPr>
          <w:rFonts w:ascii="Arial" w:hAnsi="Arial" w:cs="Arial"/>
        </w:rPr>
      </w:pPr>
      <w:r w:rsidRPr="00C67009">
        <w:rPr>
          <w:rFonts w:ascii="Arial" w:hAnsi="Arial" w:cs="Arial"/>
          <w:noProof/>
          <w:lang w:val="es-CR" w:eastAsia="es-CR"/>
        </w:rPr>
        <w:lastRenderedPageBreak/>
        <w:drawing>
          <wp:inline distT="0" distB="0" distL="0" distR="0" wp14:anchorId="686DD729" wp14:editId="58E42964">
            <wp:extent cx="5439442" cy="2604211"/>
            <wp:effectExtent l="0" t="0" r="889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413" cy="2636753"/>
                    </a:xfrm>
                    <a:prstGeom prst="rect">
                      <a:avLst/>
                    </a:prstGeom>
                    <a:noFill/>
                    <a:ln>
                      <a:noFill/>
                    </a:ln>
                  </pic:spPr>
                </pic:pic>
              </a:graphicData>
            </a:graphic>
          </wp:inline>
        </w:drawing>
      </w:r>
    </w:p>
    <w:p w:rsidR="00C67009" w:rsidRPr="00C67009" w:rsidRDefault="00C67009" w:rsidP="00C67009">
      <w:pPr>
        <w:ind w:left="426"/>
        <w:jc w:val="both"/>
        <w:rPr>
          <w:rFonts w:ascii="Arial" w:hAnsi="Arial" w:cs="Arial"/>
        </w:rPr>
      </w:pPr>
    </w:p>
    <w:p w:rsidR="00C67009" w:rsidRPr="00C67009" w:rsidRDefault="00C67009" w:rsidP="00C67009">
      <w:pPr>
        <w:ind w:left="426"/>
        <w:jc w:val="both"/>
        <w:rPr>
          <w:rFonts w:ascii="Arial" w:hAnsi="Arial" w:cs="Arial"/>
        </w:rPr>
      </w:pPr>
      <w:r w:rsidRPr="00C67009">
        <w:rPr>
          <w:rFonts w:ascii="Arial" w:hAnsi="Arial" w:cs="Arial"/>
        </w:rPr>
        <w:t>Además, se realizó una evaluación por parte de los usuarios la cual no presenta resultados muy favorables.</w:t>
      </w:r>
    </w:p>
    <w:p w:rsidR="00C67009" w:rsidRPr="00C67009" w:rsidRDefault="00C67009" w:rsidP="00C67009">
      <w:pPr>
        <w:ind w:left="426"/>
        <w:jc w:val="both"/>
        <w:rPr>
          <w:rFonts w:ascii="Arial" w:hAnsi="Arial" w:cs="Arial"/>
        </w:rPr>
      </w:pPr>
    </w:p>
    <w:p w:rsidR="00C67009" w:rsidRPr="00C67009" w:rsidRDefault="00C67009" w:rsidP="00C67009">
      <w:pPr>
        <w:ind w:left="426"/>
        <w:jc w:val="center"/>
        <w:rPr>
          <w:rFonts w:ascii="Arial" w:hAnsi="Arial" w:cs="Arial"/>
        </w:rPr>
      </w:pPr>
      <w:r w:rsidRPr="00C67009">
        <w:rPr>
          <w:rFonts w:ascii="Arial" w:hAnsi="Arial" w:cs="Arial"/>
          <w:noProof/>
          <w:lang w:val="es-CR" w:eastAsia="es-CR"/>
        </w:rPr>
        <w:drawing>
          <wp:inline distT="0" distB="0" distL="0" distR="0" wp14:anchorId="4414D7F1" wp14:editId="6EAD00A1">
            <wp:extent cx="4648895" cy="437254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0078" cy="4392472"/>
                    </a:xfrm>
                    <a:prstGeom prst="rect">
                      <a:avLst/>
                    </a:prstGeom>
                    <a:noFill/>
                    <a:ln>
                      <a:noFill/>
                    </a:ln>
                  </pic:spPr>
                </pic:pic>
              </a:graphicData>
            </a:graphic>
          </wp:inline>
        </w:drawing>
      </w:r>
    </w:p>
    <w:p w:rsidR="00C67009" w:rsidRPr="00C67009" w:rsidRDefault="00C67009" w:rsidP="00C67009">
      <w:pPr>
        <w:ind w:left="426"/>
        <w:jc w:val="center"/>
        <w:rPr>
          <w:rFonts w:ascii="Arial" w:hAnsi="Arial" w:cs="Arial"/>
        </w:rPr>
      </w:pPr>
    </w:p>
    <w:p w:rsidR="00C67009" w:rsidRPr="00C67009" w:rsidRDefault="00C67009" w:rsidP="00C67009">
      <w:pPr>
        <w:ind w:left="426"/>
        <w:jc w:val="center"/>
        <w:rPr>
          <w:rFonts w:ascii="Arial" w:hAnsi="Arial" w:cs="Arial"/>
        </w:rPr>
      </w:pPr>
    </w:p>
    <w:p w:rsidR="00C67009" w:rsidRPr="00C67009" w:rsidRDefault="00C67009" w:rsidP="00C67009">
      <w:pPr>
        <w:ind w:left="426"/>
        <w:jc w:val="center"/>
        <w:rPr>
          <w:rFonts w:ascii="Arial" w:hAnsi="Arial" w:cs="Arial"/>
        </w:rPr>
      </w:pPr>
    </w:p>
    <w:p w:rsidR="00C67009" w:rsidRPr="00C67009" w:rsidRDefault="00C67009" w:rsidP="00C67009">
      <w:pPr>
        <w:ind w:left="426"/>
        <w:jc w:val="center"/>
        <w:rPr>
          <w:rFonts w:ascii="Arial" w:hAnsi="Arial" w:cs="Arial"/>
        </w:rPr>
      </w:pPr>
    </w:p>
    <w:p w:rsidR="00C67009" w:rsidRPr="00C67009" w:rsidRDefault="00C67009" w:rsidP="00E03D56">
      <w:pPr>
        <w:numPr>
          <w:ilvl w:val="0"/>
          <w:numId w:val="4"/>
        </w:numPr>
        <w:ind w:left="426"/>
        <w:jc w:val="both"/>
        <w:rPr>
          <w:rFonts w:ascii="Arial" w:hAnsi="Arial" w:cs="Arial"/>
        </w:rPr>
      </w:pPr>
      <w:r w:rsidRPr="00C67009">
        <w:rPr>
          <w:rFonts w:ascii="Arial" w:hAnsi="Arial" w:cs="Arial"/>
        </w:rPr>
        <w:t xml:space="preserve">El Consejo Institucional recibe el oficio VAD-398-2018, con fecha de recibido 15 de junio del 2018, suscrito por el Dr. Humberto Villalta Solano, Vicerrector de </w:t>
      </w:r>
      <w:r w:rsidRPr="00C67009">
        <w:rPr>
          <w:rFonts w:ascii="Arial" w:hAnsi="Arial" w:cs="Arial"/>
        </w:rPr>
        <w:lastRenderedPageBreak/>
        <w:t xml:space="preserve">Administración, donde presenta el Informe del diagnóstico realizado a los proyectos de automatización en desarrollo, propuesta del “Modelo de Gobernanza” a seguir, propuesta de disposiciones sobre uso de las </w:t>
      </w:r>
      <w:proofErr w:type="spellStart"/>
      <w:r w:rsidRPr="00C67009">
        <w:rPr>
          <w:rFonts w:ascii="Arial" w:hAnsi="Arial" w:cs="Arial"/>
        </w:rPr>
        <w:t>Tic´s</w:t>
      </w:r>
      <w:proofErr w:type="spellEnd"/>
      <w:r w:rsidRPr="00C67009">
        <w:rPr>
          <w:rFonts w:ascii="Arial" w:hAnsi="Arial" w:cs="Arial"/>
        </w:rPr>
        <w:t xml:space="preserve"> y solicitudes de nuevos requerimientos de automatización por programas, cuyas conclusiones son:</w:t>
      </w:r>
    </w:p>
    <w:p w:rsidR="00C67009" w:rsidRPr="00C67009" w:rsidRDefault="00C67009" w:rsidP="00C67009">
      <w:pPr>
        <w:ind w:left="426"/>
        <w:jc w:val="both"/>
        <w:rPr>
          <w:rFonts w:ascii="Arial" w:hAnsi="Arial" w:cs="Arial"/>
        </w:rPr>
      </w:pPr>
    </w:p>
    <w:p w:rsidR="00C67009" w:rsidRPr="00C67009" w:rsidRDefault="00C67009" w:rsidP="00C67009">
      <w:pPr>
        <w:ind w:left="426"/>
        <w:jc w:val="both"/>
        <w:rPr>
          <w:rFonts w:ascii="Arial" w:hAnsi="Arial" w:cs="Arial"/>
          <w:i/>
        </w:rPr>
      </w:pPr>
      <w:r w:rsidRPr="00C67009">
        <w:rPr>
          <w:rFonts w:ascii="Arial" w:hAnsi="Arial" w:cs="Arial"/>
          <w:i/>
        </w:rPr>
        <w:t>“…</w:t>
      </w:r>
      <w:r w:rsidRPr="00C67009">
        <w:rPr>
          <w:rFonts w:ascii="Arial" w:hAnsi="Arial" w:cs="Arial"/>
          <w:b/>
          <w:i/>
          <w:u w:val="single"/>
        </w:rPr>
        <w:t>la exposición de riesgo que tiene la Institución es muy alta</w:t>
      </w:r>
      <w:r w:rsidRPr="00C67009">
        <w:rPr>
          <w:rFonts w:ascii="Arial" w:hAnsi="Arial" w:cs="Arial"/>
          <w:i/>
        </w:rPr>
        <w:t>, tal y como se indica en el diagnóstico realizado y diferentes auditorías externas e internas lo han indicado.  Evaluando específicamente los sistemas mencionados en el diagnóstico y sin pretender hacer un análisis técnico de los mismos, se puede anotar lo siguiente:</w:t>
      </w:r>
    </w:p>
    <w:p w:rsidR="00C67009" w:rsidRPr="00C67009" w:rsidRDefault="00C67009" w:rsidP="00C67009">
      <w:pPr>
        <w:jc w:val="both"/>
        <w:rPr>
          <w:rFonts w:ascii="Arial" w:hAnsi="Arial" w:cs="Arial"/>
          <w:i/>
        </w:rPr>
      </w:pPr>
    </w:p>
    <w:p w:rsidR="00C67009" w:rsidRPr="00C67009" w:rsidRDefault="00C67009" w:rsidP="00C67009">
      <w:pPr>
        <w:ind w:left="567"/>
        <w:jc w:val="both"/>
        <w:rPr>
          <w:rFonts w:ascii="Arial" w:hAnsi="Arial" w:cs="Arial"/>
          <w:i/>
        </w:rPr>
      </w:pPr>
      <w:r w:rsidRPr="00C67009">
        <w:rPr>
          <w:rFonts w:ascii="Arial" w:hAnsi="Arial" w:cs="Arial"/>
          <w:i/>
        </w:rPr>
        <w:t>Desarrollo de Dinámica:</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El sistema fue entregado en abril 2018 y la garantía vence en octubre 2018</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Para poner en producción el sistema se requiere hacer un gran trabajo para lograr integrar los usuarios de este sistema.  La estimación de tiempo a hoy es I semestre 2021 y la inversión hasta final de agosto la vamos a saber</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Se tiene dependencia de un usuario experto</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No ha existido un verdadero director de proyecto</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Hay un Audi interno respecto a al riesgo de este desarrollo</w:t>
      </w:r>
    </w:p>
    <w:p w:rsidR="00C67009" w:rsidRPr="00C67009" w:rsidRDefault="00C67009" w:rsidP="00C67009">
      <w:pPr>
        <w:ind w:left="916"/>
        <w:jc w:val="both"/>
        <w:rPr>
          <w:rFonts w:ascii="Arial" w:hAnsi="Arial" w:cs="Arial"/>
          <w:i/>
        </w:rPr>
      </w:pPr>
    </w:p>
    <w:p w:rsidR="00C67009" w:rsidRPr="00C67009" w:rsidRDefault="00C67009" w:rsidP="00C67009">
      <w:pPr>
        <w:ind w:left="567"/>
        <w:jc w:val="both"/>
        <w:rPr>
          <w:rFonts w:ascii="Arial" w:hAnsi="Arial" w:cs="Arial"/>
          <w:i/>
        </w:rPr>
      </w:pPr>
      <w:r w:rsidRPr="00C67009">
        <w:rPr>
          <w:rFonts w:ascii="Arial" w:hAnsi="Arial" w:cs="Arial"/>
          <w:i/>
        </w:rPr>
        <w:t>Sistema de SOIN:</w:t>
      </w:r>
    </w:p>
    <w:p w:rsidR="00C67009" w:rsidRPr="00C67009" w:rsidRDefault="00C67009" w:rsidP="00C67009">
      <w:pPr>
        <w:ind w:left="567"/>
        <w:jc w:val="both"/>
        <w:rPr>
          <w:rFonts w:ascii="Arial" w:hAnsi="Arial" w:cs="Arial"/>
          <w:i/>
        </w:rPr>
      </w:pP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No se ha logrado firmar un contrato de mantenimiento a la fecha</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El sistema es inestable en este momento</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La Institución tiene dependencia de un solo funcionario experto</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Algunos módulos de Recursos Humanos no se han logrado implementar, por falta de cambios por parte de SOIN</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Es una de las dos principales bases de datos que soporta toda la operación de la Institución</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No se ha logrado capacitar a los distintos usuarios</w:t>
      </w:r>
    </w:p>
    <w:p w:rsidR="00C67009" w:rsidRPr="00C67009" w:rsidRDefault="00C67009" w:rsidP="00C67009">
      <w:pPr>
        <w:jc w:val="both"/>
        <w:rPr>
          <w:rFonts w:ascii="Arial" w:hAnsi="Arial" w:cs="Arial"/>
          <w:i/>
        </w:rPr>
      </w:pPr>
    </w:p>
    <w:p w:rsidR="00C67009" w:rsidRPr="00C67009" w:rsidRDefault="00C67009" w:rsidP="00C67009">
      <w:pPr>
        <w:ind w:left="567"/>
        <w:jc w:val="both"/>
        <w:rPr>
          <w:rFonts w:ascii="Arial" w:hAnsi="Arial" w:cs="Arial"/>
          <w:i/>
        </w:rPr>
      </w:pPr>
      <w:r w:rsidRPr="00C67009">
        <w:rPr>
          <w:rFonts w:ascii="Arial" w:hAnsi="Arial" w:cs="Arial"/>
          <w:i/>
        </w:rPr>
        <w:t>Sistema de Becas:</w:t>
      </w:r>
    </w:p>
    <w:p w:rsidR="00C67009" w:rsidRPr="00C67009" w:rsidRDefault="00C67009" w:rsidP="00C67009">
      <w:pPr>
        <w:ind w:left="567"/>
        <w:jc w:val="both"/>
        <w:rPr>
          <w:rFonts w:ascii="Arial" w:hAnsi="Arial" w:cs="Arial"/>
          <w:i/>
        </w:rPr>
      </w:pP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 xml:space="preserve">Riesgo </w:t>
      </w:r>
      <w:proofErr w:type="spellStart"/>
      <w:r w:rsidRPr="00C67009">
        <w:rPr>
          <w:rFonts w:ascii="Arial" w:hAnsi="Arial" w:cs="Arial"/>
          <w:i/>
        </w:rPr>
        <w:t>del</w:t>
      </w:r>
      <w:proofErr w:type="spellEnd"/>
      <w:r w:rsidRPr="00C67009">
        <w:rPr>
          <w:rFonts w:ascii="Arial" w:hAnsi="Arial" w:cs="Arial"/>
          <w:i/>
        </w:rPr>
        <w:t xml:space="preserve"> no retorno de la inversión realizada a la fecha</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Este desarrollo en su momento fue sujeto de análisis por la Contraloría General de la República</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La dinámica de este tema en la Institución es muy alta y el sistema a desarrollar de ser lo suficientemente flexible para adaptar nuevos requerimientos con cambios menores</w:t>
      </w:r>
    </w:p>
    <w:p w:rsidR="00C67009" w:rsidRPr="00C67009" w:rsidRDefault="00C67009" w:rsidP="00E03D56">
      <w:pPr>
        <w:numPr>
          <w:ilvl w:val="0"/>
          <w:numId w:val="7"/>
        </w:numPr>
        <w:ind w:left="1276"/>
        <w:contextualSpacing/>
        <w:jc w:val="both"/>
        <w:rPr>
          <w:rFonts w:ascii="Arial" w:hAnsi="Arial" w:cs="Arial"/>
          <w:i/>
        </w:rPr>
      </w:pPr>
      <w:r w:rsidRPr="00C67009">
        <w:rPr>
          <w:rFonts w:ascii="Arial" w:hAnsi="Arial" w:cs="Arial"/>
          <w:i/>
        </w:rPr>
        <w:t xml:space="preserve">El tiempo estimado de finalización en si es un riesgo 2022. </w:t>
      </w:r>
    </w:p>
    <w:p w:rsidR="00C67009" w:rsidRPr="00C67009" w:rsidRDefault="00C67009" w:rsidP="00C67009">
      <w:pPr>
        <w:jc w:val="both"/>
        <w:rPr>
          <w:rFonts w:ascii="Arial" w:hAnsi="Arial" w:cs="Arial"/>
          <w:i/>
        </w:rPr>
      </w:pPr>
    </w:p>
    <w:p w:rsidR="00C67009" w:rsidRPr="00C67009" w:rsidRDefault="00C67009" w:rsidP="00C67009">
      <w:pPr>
        <w:jc w:val="both"/>
        <w:rPr>
          <w:rFonts w:ascii="Arial" w:hAnsi="Arial" w:cs="Arial"/>
          <w:i/>
        </w:rPr>
      </w:pPr>
    </w:p>
    <w:p w:rsidR="00C67009" w:rsidRPr="00C67009" w:rsidRDefault="00C67009" w:rsidP="00C67009">
      <w:pPr>
        <w:jc w:val="both"/>
        <w:rPr>
          <w:rFonts w:ascii="Arial" w:hAnsi="Arial" w:cs="Arial"/>
          <w:i/>
        </w:rPr>
      </w:pPr>
    </w:p>
    <w:p w:rsidR="00C67009" w:rsidRPr="00C67009" w:rsidRDefault="00C67009" w:rsidP="00C67009">
      <w:pPr>
        <w:jc w:val="both"/>
        <w:rPr>
          <w:rFonts w:ascii="Arial" w:hAnsi="Arial" w:cs="Arial"/>
          <w:i/>
        </w:rPr>
      </w:pPr>
    </w:p>
    <w:p w:rsidR="00C67009" w:rsidRPr="00C67009" w:rsidRDefault="00C67009" w:rsidP="00C67009">
      <w:pPr>
        <w:jc w:val="both"/>
        <w:rPr>
          <w:rFonts w:ascii="Arial" w:hAnsi="Arial" w:cs="Arial"/>
          <w:i/>
        </w:rPr>
      </w:pPr>
    </w:p>
    <w:p w:rsidR="00C67009" w:rsidRPr="00C67009" w:rsidRDefault="00C67009" w:rsidP="00C67009">
      <w:pPr>
        <w:ind w:left="708"/>
        <w:jc w:val="both"/>
        <w:rPr>
          <w:rFonts w:ascii="Arial" w:hAnsi="Arial" w:cs="Arial"/>
          <w:i/>
        </w:rPr>
      </w:pPr>
      <w:r w:rsidRPr="00C67009">
        <w:rPr>
          <w:rFonts w:ascii="Arial" w:hAnsi="Arial" w:cs="Arial"/>
          <w:i/>
        </w:rPr>
        <w:t xml:space="preserve">En general, el modelo actual de descentralización de los desarrollos de automatización, la poca o nula participación del DATIC en los desarrollos </w:t>
      </w:r>
      <w:r w:rsidRPr="00C67009">
        <w:rPr>
          <w:rFonts w:ascii="Arial" w:hAnsi="Arial" w:cs="Arial"/>
          <w:i/>
        </w:rPr>
        <w:lastRenderedPageBreak/>
        <w:t xml:space="preserve">(porque el modelo así lo indica) y el no contar con la asignación de directores de proyecto a nivel Institucional, son algunas de las causas que </w:t>
      </w:r>
      <w:r w:rsidRPr="00C67009">
        <w:rPr>
          <w:rFonts w:ascii="Arial" w:hAnsi="Arial" w:cs="Arial"/>
          <w:b/>
          <w:i/>
          <w:u w:val="single"/>
        </w:rPr>
        <w:t>han llevado a la Institución a este punto de caos y preocupación respecto a los últimos desarrollos de automatización de procesos</w:t>
      </w:r>
      <w:r w:rsidRPr="00C67009">
        <w:rPr>
          <w:rFonts w:ascii="Arial" w:hAnsi="Arial" w:cs="Arial"/>
          <w:i/>
        </w:rPr>
        <w:t>.  También es muy importante indicar que la Institución tiene que avanzar en estos desarrollos porque la mayoría de los sistemas ya han cumplido su vida útil y se trabaja en formatos que ya no se usan y los mantenimientos cada día son muy caros y difíciles de hacer.  La Institución debe y requiere modernizar la tecnología usada en bases de datos y automatización de procesos con los objetivos de minimizar riesgos de obsolescencia y mejorar el nivel de servicio a nuestros usuarios con una gestión más eficiente.” (Subrayado nuestro)</w:t>
      </w:r>
    </w:p>
    <w:p w:rsidR="00C67009" w:rsidRPr="00C67009" w:rsidRDefault="00C67009" w:rsidP="00C67009">
      <w:pPr>
        <w:ind w:left="426"/>
        <w:jc w:val="both"/>
        <w:rPr>
          <w:rFonts w:ascii="Arial" w:hAnsi="Arial" w:cs="Arial"/>
        </w:rPr>
      </w:pPr>
    </w:p>
    <w:p w:rsidR="00C67009" w:rsidRDefault="00C67009" w:rsidP="00E03D56">
      <w:pPr>
        <w:numPr>
          <w:ilvl w:val="0"/>
          <w:numId w:val="4"/>
        </w:numPr>
        <w:ind w:left="426"/>
        <w:jc w:val="both"/>
        <w:rPr>
          <w:rFonts w:ascii="Arial" w:hAnsi="Arial" w:cs="Arial"/>
        </w:rPr>
      </w:pPr>
      <w:r w:rsidRPr="00C67009">
        <w:rPr>
          <w:rFonts w:ascii="Arial" w:hAnsi="Arial" w:cs="Arial"/>
        </w:rPr>
        <w:t>La Comisión de Planificación y Administración, en reunión No. 727-2017, realizada el 21 de junio del presente, analiza estos documentos y acuerda elevar al pleno una propuesta.</w:t>
      </w:r>
    </w:p>
    <w:p w:rsidR="00D84205" w:rsidRPr="00C67009" w:rsidRDefault="00D84205" w:rsidP="00D84205">
      <w:pPr>
        <w:ind w:left="426"/>
        <w:jc w:val="both"/>
        <w:rPr>
          <w:rFonts w:ascii="Arial" w:hAnsi="Arial" w:cs="Arial"/>
        </w:rPr>
      </w:pPr>
    </w:p>
    <w:p w:rsidR="00C67009" w:rsidRPr="00C67009" w:rsidRDefault="00C67009" w:rsidP="00C67009">
      <w:pPr>
        <w:spacing w:after="240"/>
        <w:rPr>
          <w:rFonts w:ascii="Arial" w:hAnsi="Arial" w:cs="Arial"/>
          <w:b/>
        </w:rPr>
      </w:pPr>
      <w:r w:rsidRPr="00C67009">
        <w:rPr>
          <w:rFonts w:ascii="Arial" w:hAnsi="Arial" w:cs="Arial"/>
          <w:b/>
        </w:rPr>
        <w:t xml:space="preserve">SE </w:t>
      </w:r>
      <w:r>
        <w:rPr>
          <w:rFonts w:ascii="Arial" w:hAnsi="Arial" w:cs="Arial"/>
          <w:b/>
        </w:rPr>
        <w:t>ACUERDA:</w:t>
      </w:r>
    </w:p>
    <w:p w:rsidR="00C67009" w:rsidRPr="00C67009" w:rsidRDefault="00C67009" w:rsidP="00E03D56">
      <w:pPr>
        <w:numPr>
          <w:ilvl w:val="0"/>
          <w:numId w:val="12"/>
        </w:numPr>
        <w:ind w:left="426"/>
        <w:jc w:val="both"/>
        <w:rPr>
          <w:rFonts w:ascii="Arial" w:hAnsi="Arial" w:cs="Arial"/>
          <w:bCs/>
        </w:rPr>
      </w:pPr>
      <w:r w:rsidRPr="00C67009">
        <w:rPr>
          <w:rFonts w:ascii="Arial" w:hAnsi="Arial" w:cs="Arial"/>
          <w:bCs/>
        </w:rPr>
        <w:t xml:space="preserve">Modificar el punto 1. del inciso </w:t>
      </w:r>
      <w:proofErr w:type="gramStart"/>
      <w:r w:rsidRPr="00C67009">
        <w:rPr>
          <w:rFonts w:ascii="Arial" w:hAnsi="Arial" w:cs="Arial"/>
          <w:bCs/>
        </w:rPr>
        <w:t>a)  del</w:t>
      </w:r>
      <w:proofErr w:type="gramEnd"/>
      <w:r w:rsidRPr="00C67009">
        <w:rPr>
          <w:rFonts w:ascii="Arial" w:hAnsi="Arial" w:cs="Arial"/>
          <w:bCs/>
        </w:rPr>
        <w:t xml:space="preserve"> acuerdo de la Sesión No. 2863, Artículo  13, del 2 de abril del 2014 “Cambio de nombre del Centro Cómputo por Departamento de Administración de Tecnologías de Información y Comunicaciones”, para que se lea:</w:t>
      </w:r>
    </w:p>
    <w:p w:rsidR="00C67009" w:rsidRPr="00C67009" w:rsidRDefault="00C67009" w:rsidP="00C67009">
      <w:pPr>
        <w:ind w:left="851"/>
        <w:jc w:val="both"/>
        <w:rPr>
          <w:rFonts w:ascii="Arial" w:hAnsi="Arial" w:cs="Arial"/>
          <w:sz w:val="16"/>
          <w:szCs w:val="16"/>
        </w:rPr>
      </w:pPr>
    </w:p>
    <w:p w:rsidR="00C67009" w:rsidRPr="00C67009" w:rsidRDefault="00C67009" w:rsidP="00E03D56">
      <w:pPr>
        <w:numPr>
          <w:ilvl w:val="3"/>
          <w:numId w:val="11"/>
        </w:numPr>
        <w:ind w:left="1276" w:right="424" w:hanging="425"/>
        <w:jc w:val="both"/>
        <w:rPr>
          <w:rFonts w:ascii="Arial" w:hAnsi="Arial" w:cs="Arial"/>
        </w:rPr>
      </w:pPr>
      <w:r w:rsidRPr="00C67009">
        <w:rPr>
          <w:rFonts w:ascii="Arial" w:hAnsi="Arial" w:cs="Arial"/>
        </w:rPr>
        <w:t>Ejecutar las acciones según la planeación estratégica de las Tecnologías de Información y Comunicación (TIC)</w:t>
      </w:r>
    </w:p>
    <w:p w:rsidR="00C67009" w:rsidRPr="00C67009" w:rsidRDefault="00C67009" w:rsidP="00C67009">
      <w:pPr>
        <w:jc w:val="both"/>
        <w:rPr>
          <w:rFonts w:ascii="Arial" w:hAnsi="Arial" w:cs="Arial"/>
        </w:rPr>
      </w:pPr>
    </w:p>
    <w:p w:rsidR="00C67009" w:rsidRPr="00C67009" w:rsidRDefault="00C67009" w:rsidP="00E03D56">
      <w:pPr>
        <w:numPr>
          <w:ilvl w:val="0"/>
          <w:numId w:val="12"/>
        </w:numPr>
        <w:ind w:left="426"/>
        <w:jc w:val="both"/>
        <w:rPr>
          <w:rFonts w:ascii="Arial" w:hAnsi="Arial" w:cs="Arial"/>
          <w:bCs/>
        </w:rPr>
      </w:pPr>
      <w:r w:rsidRPr="00C67009">
        <w:rPr>
          <w:rFonts w:ascii="Arial" w:hAnsi="Arial" w:cs="Arial"/>
          <w:bCs/>
        </w:rPr>
        <w:t xml:space="preserve">Modificar el inciso b) del acuerdo de la Sesión Ordinaria N°3004, artículo 12, del 14 de diciembre de 2016 “Plan Estratégico 2017-2021”, para eliminar el Proyecto Estratégico 1. </w:t>
      </w:r>
      <w:r w:rsidRPr="00C67009">
        <w:rPr>
          <w:rFonts w:ascii="Arial" w:hAnsi="Arial" w:cs="Arial"/>
          <w:bCs/>
          <w:i/>
        </w:rPr>
        <w:t>Proyecto de Fortalecimiento del Uso de Tecnologías Digitales</w:t>
      </w:r>
      <w:r w:rsidRPr="00C67009">
        <w:rPr>
          <w:rFonts w:ascii="Arial" w:hAnsi="Arial" w:cs="Arial"/>
          <w:bCs/>
        </w:rPr>
        <w:t xml:space="preserve"> - PETEC-01.  </w:t>
      </w:r>
    </w:p>
    <w:p w:rsidR="00C67009" w:rsidRPr="00C67009" w:rsidRDefault="00C67009" w:rsidP="00C67009">
      <w:pPr>
        <w:ind w:left="-39" w:right="424"/>
        <w:contextualSpacing/>
        <w:jc w:val="both"/>
        <w:rPr>
          <w:rFonts w:ascii="Arial" w:hAnsi="Arial" w:cs="Arial"/>
          <w:bCs/>
        </w:rPr>
      </w:pPr>
    </w:p>
    <w:p w:rsidR="00C67009" w:rsidRPr="00C67009" w:rsidRDefault="00C67009" w:rsidP="00E03D56">
      <w:pPr>
        <w:numPr>
          <w:ilvl w:val="0"/>
          <w:numId w:val="12"/>
        </w:numPr>
        <w:ind w:left="426"/>
        <w:jc w:val="both"/>
        <w:rPr>
          <w:rFonts w:ascii="Arial" w:hAnsi="Arial" w:cs="Arial"/>
          <w:bCs/>
        </w:rPr>
      </w:pPr>
      <w:r w:rsidRPr="00C67009">
        <w:rPr>
          <w:rFonts w:ascii="Arial" w:hAnsi="Arial" w:cs="Arial"/>
          <w:bCs/>
        </w:rPr>
        <w:t xml:space="preserve">Dar por conocido el “Plan Gobierno </w:t>
      </w:r>
      <w:proofErr w:type="spellStart"/>
      <w:r w:rsidRPr="00C67009">
        <w:rPr>
          <w:rFonts w:ascii="Arial" w:hAnsi="Arial" w:cs="Arial"/>
          <w:bCs/>
        </w:rPr>
        <w:t>TIC´s</w:t>
      </w:r>
      <w:proofErr w:type="spellEnd"/>
      <w:r w:rsidRPr="00C67009">
        <w:rPr>
          <w:rFonts w:ascii="Arial" w:hAnsi="Arial" w:cs="Arial"/>
          <w:bCs/>
        </w:rPr>
        <w:t xml:space="preserve"> – TEC”, presentado en el Consejo Institucional en la Sesión Ordinaria N° 3073, artículo 11, del 06 de junio de 2018 y según oficio VAD-398-2018, del 15 de junio del 2018 de la Vicerrectoría de Administración.</w:t>
      </w:r>
    </w:p>
    <w:p w:rsidR="00C67009" w:rsidRPr="00C67009" w:rsidRDefault="00C67009" w:rsidP="00C67009">
      <w:pPr>
        <w:ind w:left="720"/>
        <w:contextualSpacing/>
        <w:rPr>
          <w:rFonts w:ascii="Arial" w:hAnsi="Arial" w:cs="Arial"/>
          <w:bCs/>
        </w:rPr>
      </w:pPr>
    </w:p>
    <w:p w:rsidR="00C67009" w:rsidRPr="00C67009" w:rsidRDefault="00C67009" w:rsidP="00E03D56">
      <w:pPr>
        <w:numPr>
          <w:ilvl w:val="0"/>
          <w:numId w:val="12"/>
        </w:numPr>
        <w:ind w:left="426"/>
        <w:jc w:val="both"/>
        <w:rPr>
          <w:rFonts w:ascii="Arial" w:hAnsi="Arial" w:cs="Arial"/>
          <w:bCs/>
        </w:rPr>
      </w:pPr>
      <w:r w:rsidRPr="00C67009">
        <w:rPr>
          <w:rFonts w:ascii="Arial" w:hAnsi="Arial" w:cs="Arial"/>
          <w:bCs/>
        </w:rPr>
        <w:t xml:space="preserve">Solicitar a la Administración un informe trimestral sobre el avance de la implementación de este plan. </w:t>
      </w:r>
    </w:p>
    <w:p w:rsidR="00956670" w:rsidRPr="00956670" w:rsidRDefault="00956670" w:rsidP="001E1E49">
      <w:pPr>
        <w:jc w:val="both"/>
        <w:rPr>
          <w:rFonts w:ascii="Arial" w:eastAsia="Cambria" w:hAnsi="Arial" w:cs="Arial"/>
          <w:lang w:eastAsia="en-US"/>
        </w:rPr>
      </w:pPr>
    </w:p>
    <w:p w:rsidR="001E1E49" w:rsidRPr="001A7DF9" w:rsidRDefault="003859C1" w:rsidP="00E03D56">
      <w:pPr>
        <w:numPr>
          <w:ilvl w:val="0"/>
          <w:numId w:val="12"/>
        </w:numPr>
        <w:ind w:left="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r w:rsidR="00995F34">
        <w:rPr>
          <w:rFonts w:ascii="Arial" w:hAnsi="Arial" w:cs="Arial"/>
          <w:b/>
          <w:lang w:val="es-CR"/>
        </w:rPr>
        <w:t>.</w:t>
      </w:r>
    </w:p>
    <w:p w:rsidR="00C67009" w:rsidRDefault="00C67009" w:rsidP="001A7DF9">
      <w:pPr>
        <w:autoSpaceDE w:val="0"/>
        <w:autoSpaceDN w:val="0"/>
        <w:adjustRightInd w:val="0"/>
        <w:ind w:right="-91"/>
        <w:jc w:val="both"/>
        <w:rPr>
          <w:rFonts w:ascii="Arial" w:hAnsi="Arial" w:cs="Arial"/>
          <w:b/>
          <w:sz w:val="22"/>
          <w:szCs w:val="22"/>
          <w:lang w:val="es-CR"/>
        </w:rPr>
      </w:pPr>
    </w:p>
    <w:p w:rsidR="001A7DF9" w:rsidRPr="00D84205" w:rsidRDefault="00C67009" w:rsidP="00D84205">
      <w:pPr>
        <w:keepNext/>
        <w:jc w:val="both"/>
        <w:outlineLvl w:val="0"/>
        <w:rPr>
          <w:rFonts w:ascii="Arial" w:hAnsi="Arial" w:cs="Arial"/>
          <w:b/>
          <w:sz w:val="22"/>
          <w:szCs w:val="22"/>
        </w:rPr>
      </w:pPr>
      <w:r w:rsidRPr="00C67009">
        <w:rPr>
          <w:rFonts w:ascii="Arial" w:hAnsi="Arial" w:cs="Arial"/>
          <w:b/>
          <w:sz w:val="22"/>
          <w:szCs w:val="22"/>
        </w:rPr>
        <w:t>Palabras clave:  Modificación – acuerdos -  No. 2863 – No. 3004 – funciones DATIC - eliminar – Plan Estratégico - PETEC01</w:t>
      </w: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CE7F7E" w:rsidRPr="00474B22" w:rsidTr="000E7D09">
        <w:trPr>
          <w:trHeight w:val="183"/>
        </w:trPr>
        <w:tc>
          <w:tcPr>
            <w:tcW w:w="4361" w:type="dxa"/>
          </w:tcPr>
          <w:p w:rsidR="00F4695B" w:rsidRPr="00474B22" w:rsidRDefault="00F4695B" w:rsidP="000E7D09">
            <w:pPr>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D84205" w:rsidRDefault="002C0D34" w:rsidP="00F41044">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p>
    <w:p w:rsidR="00F41044" w:rsidRDefault="00F41044" w:rsidP="00F41044">
      <w:pPr>
        <w:jc w:val="both"/>
        <w:rPr>
          <w:rFonts w:ascii="Arial" w:hAnsi="Arial" w:cs="Arial"/>
          <w:lang w:val="es-CR"/>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10"/>
      <w:footerReference w:type="default" r:id="rId11"/>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D56" w:rsidRDefault="00E03D56">
      <w:r>
        <w:separator/>
      </w:r>
    </w:p>
  </w:endnote>
  <w:endnote w:type="continuationSeparator" w:id="0">
    <w:p w:rsidR="00E03D56" w:rsidRDefault="00E0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D56" w:rsidRDefault="00E03D56">
      <w:r>
        <w:separator/>
      </w:r>
    </w:p>
  </w:footnote>
  <w:footnote w:type="continuationSeparator" w:id="0">
    <w:p w:rsidR="00E03D56" w:rsidRDefault="00E0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FF209C">
      <w:rPr>
        <w:rFonts w:ascii="Arial" w:eastAsia="Cambria" w:hAnsi="Arial" w:cs="Arial"/>
        <w:i/>
        <w:sz w:val="18"/>
        <w:szCs w:val="18"/>
        <w:lang w:val="es-ES_tradnl" w:eastAsia="x-none"/>
      </w:rPr>
      <w:t>7</w:t>
    </w:r>
    <w:r w:rsidR="000E7D09">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0E7D09">
      <w:rPr>
        <w:rFonts w:ascii="Arial" w:eastAsia="Cambria" w:hAnsi="Arial" w:cs="Arial"/>
        <w:i/>
        <w:sz w:val="18"/>
        <w:szCs w:val="18"/>
        <w:lang w:val="es-ES_tradnl" w:eastAsia="x-none"/>
      </w:rPr>
      <w:t>1</w:t>
    </w:r>
    <w:r w:rsidR="00C67009">
      <w:rPr>
        <w:rFonts w:ascii="Arial" w:eastAsia="Cambria" w:hAnsi="Arial" w:cs="Arial"/>
        <w:i/>
        <w:sz w:val="18"/>
        <w:szCs w:val="18"/>
        <w:lang w:val="es-ES_tradnl" w:eastAsia="x-none"/>
      </w:rPr>
      <w:t>3</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F52439">
      <w:rPr>
        <w:rFonts w:ascii="Arial" w:eastAsia="Cambria" w:hAnsi="Arial" w:cs="Arial"/>
        <w:i/>
        <w:sz w:val="18"/>
        <w:szCs w:val="18"/>
        <w:lang w:val="es-ES_tradnl" w:eastAsia="x-none"/>
      </w:rPr>
      <w:t>2</w:t>
    </w:r>
    <w:r w:rsidR="000E7D09">
      <w:rPr>
        <w:rFonts w:ascii="Arial" w:eastAsia="Cambria" w:hAnsi="Arial" w:cs="Arial"/>
        <w:i/>
        <w:sz w:val="18"/>
        <w:szCs w:val="18"/>
        <w:lang w:val="es-ES_tradnl" w:eastAsia="x-none"/>
      </w:rPr>
      <w:t>7</w:t>
    </w:r>
    <w:r w:rsidR="00C55D84">
      <w:rPr>
        <w:rFonts w:ascii="Arial" w:eastAsia="Cambria" w:hAnsi="Arial" w:cs="Arial"/>
        <w:i/>
        <w:sz w:val="18"/>
        <w:szCs w:val="18"/>
        <w:lang w:val="es-ES_tradnl" w:eastAsia="x-none"/>
      </w:rPr>
      <w:t xml:space="preserve"> de </w:t>
    </w:r>
    <w:r w:rsidR="002B4AA8">
      <w:rPr>
        <w:rFonts w:ascii="Arial" w:eastAsia="Cambria" w:hAnsi="Arial" w:cs="Arial"/>
        <w:i/>
        <w:sz w:val="18"/>
        <w:szCs w:val="18"/>
        <w:lang w:val="es-ES_tradnl" w:eastAsia="x-none"/>
      </w:rPr>
      <w:t>junio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1F5556">
      <w:rPr>
        <w:rFonts w:ascii="Arial" w:eastAsia="Cambria" w:hAnsi="Arial" w:cs="Arial"/>
        <w:i/>
        <w:noProof/>
        <w:sz w:val="18"/>
        <w:szCs w:val="18"/>
        <w:lang w:val="es-ES_tradnl" w:eastAsia="x-none"/>
      </w:rPr>
      <w:t>8</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552B93"/>
    <w:multiLevelType w:val="hybridMultilevel"/>
    <w:tmpl w:val="9BCA0BB4"/>
    <w:lvl w:ilvl="0" w:tplc="226CD9B6">
      <w:start w:val="1"/>
      <w:numFmt w:val="bullet"/>
      <w:lvlText w:val="-"/>
      <w:lvlJc w:val="left"/>
      <w:pPr>
        <w:ind w:left="2480" w:hanging="360"/>
      </w:pPr>
      <w:rPr>
        <w:rFonts w:ascii="Calibri" w:eastAsia="Calibri" w:hAnsi="Calibri" w:cs="Calibri" w:hint="default"/>
      </w:rPr>
    </w:lvl>
    <w:lvl w:ilvl="1" w:tplc="140A0003" w:tentative="1">
      <w:start w:val="1"/>
      <w:numFmt w:val="bullet"/>
      <w:lvlText w:val="o"/>
      <w:lvlJc w:val="left"/>
      <w:pPr>
        <w:ind w:left="3200" w:hanging="360"/>
      </w:pPr>
      <w:rPr>
        <w:rFonts w:ascii="Courier New" w:hAnsi="Courier New" w:cs="Courier New" w:hint="default"/>
      </w:rPr>
    </w:lvl>
    <w:lvl w:ilvl="2" w:tplc="140A0005" w:tentative="1">
      <w:start w:val="1"/>
      <w:numFmt w:val="bullet"/>
      <w:lvlText w:val=""/>
      <w:lvlJc w:val="left"/>
      <w:pPr>
        <w:ind w:left="3920" w:hanging="360"/>
      </w:pPr>
      <w:rPr>
        <w:rFonts w:ascii="Wingdings" w:hAnsi="Wingdings" w:hint="default"/>
      </w:rPr>
    </w:lvl>
    <w:lvl w:ilvl="3" w:tplc="140A0001" w:tentative="1">
      <w:start w:val="1"/>
      <w:numFmt w:val="bullet"/>
      <w:lvlText w:val=""/>
      <w:lvlJc w:val="left"/>
      <w:pPr>
        <w:ind w:left="4640" w:hanging="360"/>
      </w:pPr>
      <w:rPr>
        <w:rFonts w:ascii="Symbol" w:hAnsi="Symbol" w:hint="default"/>
      </w:rPr>
    </w:lvl>
    <w:lvl w:ilvl="4" w:tplc="140A0003" w:tentative="1">
      <w:start w:val="1"/>
      <w:numFmt w:val="bullet"/>
      <w:lvlText w:val="o"/>
      <w:lvlJc w:val="left"/>
      <w:pPr>
        <w:ind w:left="5360" w:hanging="360"/>
      </w:pPr>
      <w:rPr>
        <w:rFonts w:ascii="Courier New" w:hAnsi="Courier New" w:cs="Courier New" w:hint="default"/>
      </w:rPr>
    </w:lvl>
    <w:lvl w:ilvl="5" w:tplc="140A0005" w:tentative="1">
      <w:start w:val="1"/>
      <w:numFmt w:val="bullet"/>
      <w:lvlText w:val=""/>
      <w:lvlJc w:val="left"/>
      <w:pPr>
        <w:ind w:left="6080" w:hanging="360"/>
      </w:pPr>
      <w:rPr>
        <w:rFonts w:ascii="Wingdings" w:hAnsi="Wingdings" w:hint="default"/>
      </w:rPr>
    </w:lvl>
    <w:lvl w:ilvl="6" w:tplc="140A0001" w:tentative="1">
      <w:start w:val="1"/>
      <w:numFmt w:val="bullet"/>
      <w:lvlText w:val=""/>
      <w:lvlJc w:val="left"/>
      <w:pPr>
        <w:ind w:left="6800" w:hanging="360"/>
      </w:pPr>
      <w:rPr>
        <w:rFonts w:ascii="Symbol" w:hAnsi="Symbol" w:hint="default"/>
      </w:rPr>
    </w:lvl>
    <w:lvl w:ilvl="7" w:tplc="140A0003" w:tentative="1">
      <w:start w:val="1"/>
      <w:numFmt w:val="bullet"/>
      <w:lvlText w:val="o"/>
      <w:lvlJc w:val="left"/>
      <w:pPr>
        <w:ind w:left="7520" w:hanging="360"/>
      </w:pPr>
      <w:rPr>
        <w:rFonts w:ascii="Courier New" w:hAnsi="Courier New" w:cs="Courier New" w:hint="default"/>
      </w:rPr>
    </w:lvl>
    <w:lvl w:ilvl="8" w:tplc="140A0005" w:tentative="1">
      <w:start w:val="1"/>
      <w:numFmt w:val="bullet"/>
      <w:lvlText w:val=""/>
      <w:lvlJc w:val="left"/>
      <w:pPr>
        <w:ind w:left="8240" w:hanging="360"/>
      </w:pPr>
      <w:rPr>
        <w:rFonts w:ascii="Wingdings" w:hAnsi="Wingdings" w:hint="default"/>
      </w:rPr>
    </w:lvl>
  </w:abstractNum>
  <w:abstractNum w:abstractNumId="2" w15:restartNumberingAfterBreak="0">
    <w:nsid w:val="2F615413"/>
    <w:multiLevelType w:val="hybridMultilevel"/>
    <w:tmpl w:val="D7D82BAA"/>
    <w:lvl w:ilvl="0" w:tplc="E1B2F68A">
      <w:start w:val="5"/>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369836D9"/>
    <w:multiLevelType w:val="hybridMultilevel"/>
    <w:tmpl w:val="B622E4C2"/>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6F76F0"/>
    <w:multiLevelType w:val="hybridMultilevel"/>
    <w:tmpl w:val="56348074"/>
    <w:lvl w:ilvl="0" w:tplc="140A000F">
      <w:start w:val="1"/>
      <w:numFmt w:val="decimal"/>
      <w:lvlText w:val="%1."/>
      <w:lvlJc w:val="left"/>
      <w:pPr>
        <w:ind w:left="1865" w:hanging="360"/>
      </w:pPr>
      <w:rPr>
        <w:rFonts w:hint="default"/>
        <w:color w:val="auto"/>
      </w:rPr>
    </w:lvl>
    <w:lvl w:ilvl="1" w:tplc="140A0003" w:tentative="1">
      <w:start w:val="1"/>
      <w:numFmt w:val="bullet"/>
      <w:lvlText w:val="o"/>
      <w:lvlJc w:val="left"/>
      <w:pPr>
        <w:ind w:left="2585" w:hanging="360"/>
      </w:pPr>
      <w:rPr>
        <w:rFonts w:ascii="Courier New" w:hAnsi="Courier New" w:cs="Courier New" w:hint="default"/>
      </w:rPr>
    </w:lvl>
    <w:lvl w:ilvl="2" w:tplc="140A0005" w:tentative="1">
      <w:start w:val="1"/>
      <w:numFmt w:val="bullet"/>
      <w:lvlText w:val=""/>
      <w:lvlJc w:val="left"/>
      <w:pPr>
        <w:ind w:left="3305" w:hanging="360"/>
      </w:pPr>
      <w:rPr>
        <w:rFonts w:ascii="Wingdings" w:hAnsi="Wingdings" w:hint="default"/>
      </w:rPr>
    </w:lvl>
    <w:lvl w:ilvl="3" w:tplc="140A0001" w:tentative="1">
      <w:start w:val="1"/>
      <w:numFmt w:val="bullet"/>
      <w:lvlText w:val=""/>
      <w:lvlJc w:val="left"/>
      <w:pPr>
        <w:ind w:left="4025" w:hanging="360"/>
      </w:pPr>
      <w:rPr>
        <w:rFonts w:ascii="Symbol" w:hAnsi="Symbol" w:hint="default"/>
      </w:rPr>
    </w:lvl>
    <w:lvl w:ilvl="4" w:tplc="140A0003" w:tentative="1">
      <w:start w:val="1"/>
      <w:numFmt w:val="bullet"/>
      <w:lvlText w:val="o"/>
      <w:lvlJc w:val="left"/>
      <w:pPr>
        <w:ind w:left="4745" w:hanging="360"/>
      </w:pPr>
      <w:rPr>
        <w:rFonts w:ascii="Courier New" w:hAnsi="Courier New" w:cs="Courier New" w:hint="default"/>
      </w:rPr>
    </w:lvl>
    <w:lvl w:ilvl="5" w:tplc="140A0005" w:tentative="1">
      <w:start w:val="1"/>
      <w:numFmt w:val="bullet"/>
      <w:lvlText w:val=""/>
      <w:lvlJc w:val="left"/>
      <w:pPr>
        <w:ind w:left="5465" w:hanging="360"/>
      </w:pPr>
      <w:rPr>
        <w:rFonts w:ascii="Wingdings" w:hAnsi="Wingdings" w:hint="default"/>
      </w:rPr>
    </w:lvl>
    <w:lvl w:ilvl="6" w:tplc="140A0001" w:tentative="1">
      <w:start w:val="1"/>
      <w:numFmt w:val="bullet"/>
      <w:lvlText w:val=""/>
      <w:lvlJc w:val="left"/>
      <w:pPr>
        <w:ind w:left="6185" w:hanging="360"/>
      </w:pPr>
      <w:rPr>
        <w:rFonts w:ascii="Symbol" w:hAnsi="Symbol" w:hint="default"/>
      </w:rPr>
    </w:lvl>
    <w:lvl w:ilvl="7" w:tplc="140A0003" w:tentative="1">
      <w:start w:val="1"/>
      <w:numFmt w:val="bullet"/>
      <w:lvlText w:val="o"/>
      <w:lvlJc w:val="left"/>
      <w:pPr>
        <w:ind w:left="6905" w:hanging="360"/>
      </w:pPr>
      <w:rPr>
        <w:rFonts w:ascii="Courier New" w:hAnsi="Courier New" w:cs="Courier New" w:hint="default"/>
      </w:rPr>
    </w:lvl>
    <w:lvl w:ilvl="8" w:tplc="140A0005" w:tentative="1">
      <w:start w:val="1"/>
      <w:numFmt w:val="bullet"/>
      <w:lvlText w:val=""/>
      <w:lvlJc w:val="left"/>
      <w:pPr>
        <w:ind w:left="7625" w:hanging="360"/>
      </w:pPr>
      <w:rPr>
        <w:rFonts w:ascii="Wingdings" w:hAnsi="Wingdings" w:hint="default"/>
      </w:rPr>
    </w:lvl>
  </w:abstractNum>
  <w:abstractNum w:abstractNumId="6" w15:restartNumberingAfterBreak="0">
    <w:nsid w:val="599A216C"/>
    <w:multiLevelType w:val="hybridMultilevel"/>
    <w:tmpl w:val="F0BCE0DE"/>
    <w:lvl w:ilvl="0" w:tplc="140A0001">
      <w:start w:val="1"/>
      <w:numFmt w:val="bullet"/>
      <w:lvlText w:val=""/>
      <w:lvlJc w:val="left"/>
      <w:pPr>
        <w:ind w:left="1146" w:hanging="360"/>
      </w:pPr>
      <w:rPr>
        <w:rFonts w:ascii="Symbol" w:hAnsi="Symbol" w:hint="default"/>
      </w:rPr>
    </w:lvl>
    <w:lvl w:ilvl="1" w:tplc="140A0003">
      <w:start w:val="1"/>
      <w:numFmt w:val="bullet"/>
      <w:lvlText w:val="o"/>
      <w:lvlJc w:val="left"/>
      <w:pPr>
        <w:ind w:left="1866" w:hanging="360"/>
      </w:pPr>
      <w:rPr>
        <w:rFonts w:ascii="Courier New" w:hAnsi="Courier New" w:cs="Courier New" w:hint="default"/>
      </w:rPr>
    </w:lvl>
    <w:lvl w:ilvl="2" w:tplc="140A0005">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7" w15:restartNumberingAfterBreak="0">
    <w:nsid w:val="5DB531D6"/>
    <w:multiLevelType w:val="hybridMultilevel"/>
    <w:tmpl w:val="8E5E53E0"/>
    <w:lvl w:ilvl="0" w:tplc="55261486">
      <w:start w:val="1"/>
      <w:numFmt w:val="decimal"/>
      <w:lvlText w:val="%1."/>
      <w:lvlJc w:val="left"/>
      <w:pPr>
        <w:tabs>
          <w:tab w:val="num" w:pos="825"/>
        </w:tabs>
        <w:ind w:left="825" w:hanging="465"/>
      </w:pPr>
      <w:rPr>
        <w:rFonts w:hint="default"/>
        <w:b/>
        <w:i w:val="0"/>
        <w:color w:val="auto"/>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EF10E97"/>
    <w:multiLevelType w:val="hybridMultilevel"/>
    <w:tmpl w:val="D9E47C6A"/>
    <w:lvl w:ilvl="0" w:tplc="140A0001">
      <w:start w:val="1"/>
      <w:numFmt w:val="bullet"/>
      <w:lvlText w:val=""/>
      <w:lvlJc w:val="left"/>
      <w:pPr>
        <w:ind w:left="1146" w:hanging="360"/>
      </w:pPr>
      <w:rPr>
        <w:rFonts w:ascii="Symbol" w:hAnsi="Symbol" w:hint="default"/>
      </w:rPr>
    </w:lvl>
    <w:lvl w:ilvl="1" w:tplc="D62E1A0C">
      <w:start w:val="1"/>
      <w:numFmt w:val="bullet"/>
      <w:lvlText w:val=""/>
      <w:lvlJc w:val="left"/>
      <w:pPr>
        <w:ind w:left="1866" w:hanging="360"/>
      </w:pPr>
      <w:rPr>
        <w:rFonts w:ascii="Symbol" w:hAnsi="Symbol" w:hint="default"/>
      </w:rPr>
    </w:lvl>
    <w:lvl w:ilvl="2" w:tplc="140A0005">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9" w15:restartNumberingAfterBreak="0">
    <w:nsid w:val="602252EF"/>
    <w:multiLevelType w:val="multilevel"/>
    <w:tmpl w:val="620CF860"/>
    <w:lvl w:ilvl="0">
      <w:start w:val="1"/>
      <w:numFmt w:val="decimal"/>
      <w:lvlText w:val="%1."/>
      <w:lvlJc w:val="left"/>
      <w:pPr>
        <w:tabs>
          <w:tab w:val="num" w:pos="720"/>
        </w:tabs>
        <w:ind w:left="720" w:hanging="720"/>
      </w:pPr>
      <w:rPr>
        <w:b/>
        <w:sz w:val="20"/>
        <w:szCs w:val="20"/>
      </w:rPr>
    </w:lvl>
    <w:lvl w:ilvl="1">
      <w:start w:val="1"/>
      <w:numFmt w:val="decimal"/>
      <w:lvlText w:val="%2."/>
      <w:lvlJc w:val="left"/>
      <w:pPr>
        <w:tabs>
          <w:tab w:val="num" w:pos="1440"/>
        </w:tabs>
        <w:ind w:left="1440" w:hanging="720"/>
      </w:pPr>
      <w:rPr>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1EF5E5A"/>
    <w:multiLevelType w:val="multilevel"/>
    <w:tmpl w:val="28548B88"/>
    <w:lvl w:ilvl="0">
      <w:start w:val="1"/>
      <w:numFmt w:val="decimal"/>
      <w:lvlText w:val="%1."/>
      <w:lvlJc w:val="left"/>
      <w:pPr>
        <w:tabs>
          <w:tab w:val="num" w:pos="720"/>
        </w:tabs>
        <w:ind w:left="720" w:hanging="720"/>
      </w:pPr>
      <w:rPr>
        <w:b/>
        <w:sz w:val="20"/>
        <w:szCs w:val="20"/>
      </w:rPr>
    </w:lvl>
    <w:lvl w:ilvl="1">
      <w:start w:val="1"/>
      <w:numFmt w:val="decimal"/>
      <w:lvlText w:val="%2."/>
      <w:lvlJc w:val="left"/>
      <w:pPr>
        <w:tabs>
          <w:tab w:val="num" w:pos="1440"/>
        </w:tabs>
        <w:ind w:left="1440" w:hanging="720"/>
      </w:pPr>
      <w:rPr>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5E0387"/>
    <w:multiLevelType w:val="hybridMultilevel"/>
    <w:tmpl w:val="05D2BD44"/>
    <w:lvl w:ilvl="0" w:tplc="140A0019">
      <w:start w:val="1"/>
      <w:numFmt w:val="lowerLetter"/>
      <w:lvlText w:val="%1."/>
      <w:lvlJc w:val="left"/>
      <w:pPr>
        <w:tabs>
          <w:tab w:val="num" w:pos="825"/>
        </w:tabs>
        <w:ind w:left="825" w:hanging="465"/>
      </w:pPr>
      <w:rPr>
        <w:rFonts w:hint="default"/>
        <w:b/>
        <w:i w:val="0"/>
        <w:color w:val="auto"/>
        <w:sz w:val="24"/>
        <w:szCs w:val="24"/>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31943FA"/>
    <w:multiLevelType w:val="hybridMultilevel"/>
    <w:tmpl w:val="48FA2E3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12"/>
  </w:num>
  <w:num w:numId="9">
    <w:abstractNumId w:val="2"/>
  </w:num>
  <w:num w:numId="10">
    <w:abstractNumId w:val="8"/>
  </w:num>
  <w:num w:numId="11">
    <w:abstractNumId w:val="10"/>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E7D0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75FBC"/>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1F5556"/>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F5"/>
    <w:rsid w:val="005F6B28"/>
    <w:rsid w:val="005F79E5"/>
    <w:rsid w:val="00603C4D"/>
    <w:rsid w:val="006059E6"/>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233"/>
    <w:rsid w:val="006A362E"/>
    <w:rsid w:val="006A4A3E"/>
    <w:rsid w:val="006B08A7"/>
    <w:rsid w:val="006B0A68"/>
    <w:rsid w:val="006B0D38"/>
    <w:rsid w:val="006B1523"/>
    <w:rsid w:val="006B1D76"/>
    <w:rsid w:val="006B20B4"/>
    <w:rsid w:val="006B3AB9"/>
    <w:rsid w:val="006B3AF3"/>
    <w:rsid w:val="006B3F64"/>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009"/>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4205"/>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3D56"/>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7E2E"/>
    <w:rsid w:val="00EC05E8"/>
    <w:rsid w:val="00EC20F1"/>
    <w:rsid w:val="00EC2289"/>
    <w:rsid w:val="00EC2B3F"/>
    <w:rsid w:val="00EC30C2"/>
    <w:rsid w:val="00EC3BD7"/>
    <w:rsid w:val="00EC3C5B"/>
    <w:rsid w:val="00EC3FA1"/>
    <w:rsid w:val="00EC5EF3"/>
    <w:rsid w:val="00EC6EDE"/>
    <w:rsid w:val="00EC73DD"/>
    <w:rsid w:val="00ED0DA7"/>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0C114"/>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styleId="Sangra3detindependiente">
    <w:name w:val="Body Text Indent 3"/>
    <w:basedOn w:val="Normal"/>
    <w:link w:val="Sangra3detindependienteCar"/>
    <w:rsid w:val="00C67009"/>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67009"/>
    <w:rPr>
      <w:sz w:val="16"/>
      <w:szCs w:val="16"/>
      <w:lang w:val="es-ES" w:eastAsia="es-ES"/>
    </w:rPr>
  </w:style>
  <w:style w:type="table" w:customStyle="1" w:styleId="Tablaconcuadrcula10">
    <w:name w:val="Tabla con cuadrícula10"/>
    <w:basedOn w:val="Tablanormal"/>
    <w:next w:val="Tablaconcuadrcula"/>
    <w:locked/>
    <w:rsid w:val="00C6700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CB5F-2232-4761-9556-8B7B327B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2432</Words>
  <Characters>13380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25</cp:revision>
  <cp:lastPrinted>2018-06-13T20:00:00Z</cp:lastPrinted>
  <dcterms:created xsi:type="dcterms:W3CDTF">2018-05-02T21:37:00Z</dcterms:created>
  <dcterms:modified xsi:type="dcterms:W3CDTF">2018-06-27T21:26:00Z</dcterms:modified>
</cp:coreProperties>
</file>