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F2645">
        <w:rPr>
          <w:rFonts w:ascii="Arial" w:hAnsi="Arial" w:cs="Arial"/>
          <w:b/>
          <w:bCs/>
          <w:iCs/>
          <w:sz w:val="26"/>
          <w:szCs w:val="22"/>
          <w:lang w:val="es-CR"/>
        </w:rPr>
        <w:t>60</w:t>
      </w:r>
      <w:r w:rsidR="00A56FB0">
        <w:rPr>
          <w:rFonts w:ascii="Arial" w:hAnsi="Arial" w:cs="Arial"/>
          <w:b/>
          <w:bCs/>
          <w:iCs/>
          <w:sz w:val="26"/>
          <w:szCs w:val="22"/>
          <w:lang w:val="es-CR"/>
        </w:rPr>
        <w:t>2</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9561A9"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995F34" w:rsidRDefault="0080033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4F2645" w:rsidRDefault="0080033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4F2645">
              <w:rPr>
                <w:rFonts w:ascii="Arial" w:eastAsia="Cambria" w:hAnsi="Arial" w:cs="Arial"/>
                <w:sz w:val="22"/>
                <w:szCs w:val="22"/>
                <w:lang w:val="es-ES_tradnl" w:eastAsia="en-US"/>
              </w:rPr>
              <w:t>Ing. Luis Paulino Méndez Badilla, Vicerrector de Docencia</w:t>
            </w:r>
          </w:p>
          <w:p w:rsidR="004F2645" w:rsidRDefault="004F264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Máster Ingrid Herrera Jiménez, Presidente Tribunal Institucional Electoral </w:t>
            </w:r>
          </w:p>
          <w:p w:rsidR="00CA1CA8" w:rsidRDefault="004F2645" w:rsidP="00A1639A">
            <w:pPr>
              <w:ind w:left="45"/>
              <w:jc w:val="both"/>
              <w:rPr>
                <w:rFonts w:ascii="Arial" w:eastAsia="Calibri" w:hAnsi="Arial" w:cs="Arial"/>
                <w:color w:val="000000"/>
                <w:sz w:val="22"/>
                <w:szCs w:val="22"/>
                <w:lang w:val="es-ES_tradnl" w:eastAsia="en-US"/>
              </w:rPr>
            </w:pPr>
            <w:r w:rsidRPr="004F2645">
              <w:rPr>
                <w:rFonts w:ascii="Arial" w:eastAsia="Calibri" w:hAnsi="Arial" w:cs="Arial"/>
                <w:color w:val="000000"/>
                <w:sz w:val="22"/>
                <w:szCs w:val="22"/>
                <w:lang w:val="es-ES_tradnl" w:eastAsia="en-US"/>
              </w:rPr>
              <w:t xml:space="preserve">Ing. Carmen Elena Madriz, </w:t>
            </w:r>
            <w:proofErr w:type="spellStart"/>
            <w:r w:rsidRPr="004F2645">
              <w:rPr>
                <w:rFonts w:ascii="Arial" w:eastAsia="Calibri" w:hAnsi="Arial" w:cs="Arial"/>
                <w:color w:val="000000"/>
                <w:sz w:val="22"/>
                <w:szCs w:val="22"/>
                <w:lang w:val="es-ES_tradnl" w:eastAsia="en-US"/>
              </w:rPr>
              <w:t>Ph.D</w:t>
            </w:r>
            <w:proofErr w:type="spellEnd"/>
            <w:r w:rsidRPr="004F2645">
              <w:rPr>
                <w:rFonts w:ascii="Arial" w:eastAsia="Calibri" w:hAnsi="Arial" w:cs="Arial"/>
                <w:color w:val="000000"/>
                <w:sz w:val="22"/>
                <w:szCs w:val="22"/>
                <w:lang w:val="es-ES_tradnl" w:eastAsia="en-US"/>
              </w:rPr>
              <w:t>., Directora Dirección de Posgrado</w:t>
            </w:r>
          </w:p>
          <w:p w:rsidR="004F2645" w:rsidRDefault="004F2645" w:rsidP="00A1639A">
            <w:pPr>
              <w:ind w:left="45"/>
              <w:jc w:val="both"/>
              <w:rPr>
                <w:rFonts w:ascii="Arial" w:eastAsia="Calibri" w:hAnsi="Arial" w:cs="Arial"/>
                <w:color w:val="000000"/>
                <w:sz w:val="22"/>
                <w:szCs w:val="22"/>
                <w:lang w:val="es-ES_tradnl" w:eastAsia="en-US"/>
              </w:rPr>
            </w:pPr>
            <w:r>
              <w:rPr>
                <w:rFonts w:ascii="Arial" w:eastAsia="Calibri" w:hAnsi="Arial" w:cs="Arial"/>
                <w:color w:val="000000"/>
                <w:sz w:val="22"/>
                <w:szCs w:val="22"/>
                <w:lang w:val="es-ES_tradnl" w:eastAsia="en-US"/>
              </w:rPr>
              <w:t>MAU. Tatiana Fernández Martín, Directora Oficina de Planificación Institucional</w:t>
            </w:r>
          </w:p>
          <w:p w:rsidR="00222C2E" w:rsidRPr="004F2645" w:rsidRDefault="00222C2E" w:rsidP="00A1639A">
            <w:pPr>
              <w:ind w:left="45"/>
              <w:jc w:val="both"/>
              <w:rPr>
                <w:rFonts w:ascii="Arial" w:eastAsia="Calibri" w:hAnsi="Arial" w:cs="Arial"/>
                <w:color w:val="000000"/>
                <w:sz w:val="22"/>
                <w:szCs w:val="22"/>
                <w:lang w:val="es-ES_tradnl" w:eastAsia="en-US"/>
              </w:rPr>
            </w:pPr>
            <w:r>
              <w:rPr>
                <w:rFonts w:ascii="Arial" w:eastAsia="Calibri" w:hAnsi="Arial" w:cs="Arial"/>
                <w:color w:val="000000"/>
                <w:sz w:val="22"/>
                <w:szCs w:val="22"/>
                <w:lang w:val="es-ES_tradnl" w:eastAsia="en-US"/>
              </w:rPr>
              <w:t>Dra. Hannia Rodríguez Mora, Directora Departamento de Recursos Humanos</w:t>
            </w:r>
          </w:p>
          <w:p w:rsidR="004F2645" w:rsidRPr="008E0D8C" w:rsidRDefault="004F2645" w:rsidP="004F264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1639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16</w:t>
            </w:r>
            <w:r w:rsidR="00A5669A">
              <w:rPr>
                <w:rFonts w:ascii="Arial" w:eastAsia="Cambria" w:hAnsi="Arial" w:cs="Arial"/>
                <w:b/>
                <w:sz w:val="22"/>
                <w:szCs w:val="22"/>
                <w:lang w:val="es-ES_tradnl" w:eastAsia="en-US"/>
              </w:rPr>
              <w:t xml:space="preserve"> de agosto</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98597E">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A1639A">
              <w:rPr>
                <w:rFonts w:ascii="Arial" w:eastAsia="Calibri" w:hAnsi="Arial" w:cs="Arial"/>
                <w:b/>
                <w:sz w:val="22"/>
                <w:szCs w:val="22"/>
              </w:rPr>
              <w:t>3</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98597E">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A1639A">
              <w:rPr>
                <w:rFonts w:ascii="Arial" w:eastAsia="Calibri" w:hAnsi="Arial" w:cs="Arial"/>
                <w:b/>
                <w:sz w:val="22"/>
                <w:szCs w:val="22"/>
              </w:rPr>
              <w:t>16</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A5669A">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A1639A" w:rsidRPr="00A1639A">
              <w:rPr>
                <w:rFonts w:ascii="Arial" w:eastAsia="Cambria" w:hAnsi="Arial" w:cs="Arial"/>
                <w:b/>
                <w:bCs/>
                <w:sz w:val="22"/>
                <w:szCs w:val="22"/>
                <w:lang w:val="es-CR" w:eastAsia="en-US"/>
              </w:rPr>
              <w:t>Homologación de las unidades de posgrado creadas por el Consejo Institucional, que no cuentan con una categorización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4F2645" w:rsidRPr="004F2645" w:rsidRDefault="004F2645" w:rsidP="004F2645">
      <w:pPr>
        <w:jc w:val="both"/>
        <w:outlineLvl w:val="0"/>
        <w:rPr>
          <w:rFonts w:ascii="Arial" w:eastAsia="Cambria" w:hAnsi="Arial" w:cs="Arial"/>
          <w:b/>
          <w:color w:val="000000"/>
          <w:lang w:val="es-CR" w:eastAsia="en-US"/>
        </w:rPr>
      </w:pPr>
      <w:r w:rsidRPr="004F2645">
        <w:rPr>
          <w:rFonts w:ascii="Arial" w:eastAsia="Cambria" w:hAnsi="Arial" w:cs="Arial"/>
          <w:b/>
          <w:color w:val="000000"/>
          <w:lang w:val="es-CR" w:eastAsia="en-US"/>
        </w:rPr>
        <w:t>RESULTANDO QUE:</w:t>
      </w:r>
    </w:p>
    <w:p w:rsidR="004F2645" w:rsidRPr="004F2645" w:rsidRDefault="004F2645" w:rsidP="004F2645">
      <w:pPr>
        <w:jc w:val="both"/>
        <w:outlineLvl w:val="0"/>
        <w:rPr>
          <w:rFonts w:ascii="Arial" w:eastAsia="Cambria" w:hAnsi="Arial" w:cs="Arial"/>
          <w:b/>
          <w:color w:val="000000"/>
          <w:lang w:val="es-CR" w:eastAsia="en-US"/>
        </w:rPr>
      </w:pPr>
    </w:p>
    <w:p w:rsidR="004F2645" w:rsidRPr="004F2645" w:rsidRDefault="004F2645" w:rsidP="004F2645">
      <w:pPr>
        <w:numPr>
          <w:ilvl w:val="0"/>
          <w:numId w:val="39"/>
        </w:numPr>
        <w:spacing w:after="160" w:line="259" w:lineRule="auto"/>
        <w:jc w:val="both"/>
        <w:rPr>
          <w:rFonts w:ascii="Arial" w:eastAsia="Calibri" w:hAnsi="Arial" w:cs="Arial"/>
          <w:b/>
          <w:color w:val="000000"/>
          <w:lang w:val="es-CR" w:eastAsia="en-US"/>
        </w:rPr>
      </w:pPr>
      <w:r w:rsidRPr="004F2645">
        <w:rPr>
          <w:rFonts w:ascii="Arial" w:eastAsia="Calibri" w:hAnsi="Arial" w:cs="Arial"/>
          <w:bCs/>
          <w:color w:val="000000"/>
          <w:lang w:val="es-CR" w:eastAsia="en-US"/>
        </w:rPr>
        <w:t xml:space="preserve">De acuerdo con el artículo 18, inciso e, del Estatuto Orgánico del ITCR, </w:t>
      </w:r>
      <w:r w:rsidRPr="004F2645">
        <w:rPr>
          <w:rFonts w:ascii="Arial" w:eastAsia="Calibri" w:hAnsi="Arial" w:cs="Arial"/>
          <w:color w:val="000000"/>
          <w:lang w:val="es-CR" w:eastAsia="en-US"/>
        </w:rPr>
        <w:t xml:space="preserve">es función del Consejo Institucional “Crear, fusionar, modificar, trasladar o eliminar departamentos u otras unidades de igual o superior jerarquía…” </w:t>
      </w:r>
    </w:p>
    <w:p w:rsidR="004F2645" w:rsidRPr="004F2645" w:rsidRDefault="004F2645" w:rsidP="004F2645">
      <w:pPr>
        <w:spacing w:line="259" w:lineRule="auto"/>
        <w:jc w:val="both"/>
        <w:rPr>
          <w:rFonts w:ascii="Arial" w:eastAsia="Calibri" w:hAnsi="Arial" w:cs="Arial"/>
          <w:b/>
          <w:color w:val="000000"/>
          <w:lang w:val="es-CR" w:eastAsia="en-US"/>
        </w:rPr>
      </w:pPr>
    </w:p>
    <w:p w:rsidR="004F2645" w:rsidRPr="004F2645" w:rsidRDefault="004F2645" w:rsidP="004F2645">
      <w:pPr>
        <w:numPr>
          <w:ilvl w:val="0"/>
          <w:numId w:val="39"/>
        </w:numPr>
        <w:spacing w:after="160" w:line="259" w:lineRule="auto"/>
        <w:jc w:val="both"/>
        <w:rPr>
          <w:rFonts w:ascii="Arial" w:eastAsia="Calibri" w:hAnsi="Arial" w:cs="Arial"/>
          <w:i/>
          <w:iCs/>
          <w:color w:val="000000"/>
          <w:lang w:val="es-CR" w:eastAsia="en-US"/>
        </w:rPr>
      </w:pPr>
      <w:r w:rsidRPr="004F2645">
        <w:rPr>
          <w:rFonts w:ascii="Arial" w:hAnsi="Arial" w:cs="Arial"/>
          <w:bCs/>
          <w:color w:val="000000"/>
          <w:lang w:val="es-CR"/>
        </w:rPr>
        <w:t>El Consejo Institucional en Sesión Ordinaria No. 3051, Artículo 7, del 13 de diciembre de 2017, Modificación del Reglamento de Creación, Modificación y Eliminación de Unidades en Departamentos del ITCR, para permitir la asignación de categoría a una unidad por un procedimiento de homologación con otra unidad existente, tomó el siguiente acuerdo:</w:t>
      </w:r>
      <w:r w:rsidRPr="004F2645">
        <w:rPr>
          <w:rFonts w:ascii="Arial" w:eastAsia="Calibri" w:hAnsi="Arial" w:cs="Arial"/>
          <w:i/>
          <w:iCs/>
          <w:color w:val="000000"/>
          <w:lang w:val="es-CR" w:eastAsia="en-US"/>
        </w:rPr>
        <w:t xml:space="preserve"> (ver anexo 1)</w:t>
      </w:r>
    </w:p>
    <w:p w:rsidR="004F2645" w:rsidRPr="004F2645" w:rsidRDefault="004F2645" w:rsidP="004F2645">
      <w:pPr>
        <w:ind w:left="708"/>
        <w:rPr>
          <w:rFonts w:ascii="Arial" w:eastAsia="Calibri" w:hAnsi="Arial" w:cs="Arial"/>
          <w:i/>
          <w:iCs/>
          <w:color w:val="000000"/>
          <w:lang w:val="es-CR" w:eastAsia="en-US"/>
        </w:rPr>
      </w:pPr>
    </w:p>
    <w:p w:rsidR="004F2645" w:rsidRPr="004F2645" w:rsidRDefault="004F2645" w:rsidP="004F2645">
      <w:pPr>
        <w:ind w:left="993" w:right="333" w:hanging="284"/>
        <w:jc w:val="both"/>
        <w:rPr>
          <w:rFonts w:ascii="Arial" w:eastAsia="Calibri" w:hAnsi="Arial" w:cs="Arial"/>
          <w:b/>
          <w:color w:val="000000"/>
          <w:sz w:val="22"/>
          <w:szCs w:val="22"/>
          <w:lang w:val="es-CR" w:eastAsia="en-US"/>
        </w:rPr>
      </w:pPr>
      <w:r w:rsidRPr="004F2645">
        <w:rPr>
          <w:rFonts w:ascii="Arial" w:eastAsia="Calibri" w:hAnsi="Arial" w:cs="Arial"/>
          <w:color w:val="000000"/>
          <w:sz w:val="22"/>
          <w:szCs w:val="22"/>
          <w:lang w:val="es-CR" w:eastAsia="en-US"/>
        </w:rPr>
        <w:t>“</w:t>
      </w:r>
      <w:r w:rsidRPr="004F2645">
        <w:rPr>
          <w:rFonts w:ascii="Arial" w:eastAsia="Calibri" w:hAnsi="Arial" w:cs="Arial"/>
          <w:b/>
          <w:color w:val="000000"/>
          <w:sz w:val="22"/>
          <w:szCs w:val="22"/>
          <w:lang w:val="es-CR" w:eastAsia="en-US"/>
        </w:rPr>
        <w:t>a.</w:t>
      </w:r>
      <w:r w:rsidRPr="004F2645">
        <w:rPr>
          <w:rFonts w:ascii="Arial" w:eastAsia="Calibri" w:hAnsi="Arial" w:cs="Arial"/>
          <w:color w:val="000000"/>
          <w:sz w:val="22"/>
          <w:szCs w:val="22"/>
          <w:lang w:val="es-CR" w:eastAsia="en-US"/>
        </w:rPr>
        <w:t xml:space="preserve"> </w:t>
      </w:r>
      <w:r w:rsidRPr="004F2645">
        <w:rPr>
          <w:rFonts w:ascii="Arial" w:eastAsia="Calibri" w:hAnsi="Arial" w:cs="Arial"/>
          <w:i/>
          <w:color w:val="000000"/>
          <w:sz w:val="22"/>
          <w:szCs w:val="22"/>
          <w:lang w:val="es-CR" w:eastAsia="en-US"/>
        </w:rPr>
        <w:t>Aprobar Modificar el Artículo 5 BIS del Reglamento de Creación, Modificación y Eliminación de Unidades en Departamentos del ITCR, para permitir la asignación de categoría a una unidad por un procedimiento de homologación con otra unidad existente, para que se lea:</w:t>
      </w:r>
    </w:p>
    <w:p w:rsidR="004F2645" w:rsidRPr="004F2645" w:rsidRDefault="004F2645" w:rsidP="004F2645">
      <w:pPr>
        <w:ind w:left="993" w:right="333" w:hanging="284"/>
        <w:jc w:val="both"/>
        <w:rPr>
          <w:rFonts w:ascii="Arial" w:eastAsia="Calibri" w:hAnsi="Arial" w:cs="Arial"/>
          <w:b/>
          <w:color w:val="000000"/>
          <w:sz w:val="22"/>
          <w:szCs w:val="22"/>
          <w:lang w:val="es-CR" w:eastAsia="en-US"/>
        </w:rPr>
      </w:pPr>
    </w:p>
    <w:p w:rsidR="004F2645" w:rsidRPr="004F2645" w:rsidRDefault="004F2645" w:rsidP="004F2645">
      <w:pPr>
        <w:spacing w:after="160" w:line="259" w:lineRule="auto"/>
        <w:ind w:left="567" w:right="333"/>
        <w:jc w:val="both"/>
        <w:rPr>
          <w:rFonts w:ascii="Arial" w:eastAsia="Calibri" w:hAnsi="Arial" w:cs="Arial"/>
          <w:i/>
          <w:color w:val="000000"/>
          <w:sz w:val="22"/>
          <w:szCs w:val="22"/>
          <w:lang w:val="es-CR" w:eastAsia="es-CR"/>
        </w:rPr>
      </w:pPr>
      <w:r w:rsidRPr="004F2645">
        <w:rPr>
          <w:rFonts w:ascii="Arial" w:eastAsia="Calibri" w:hAnsi="Arial" w:cs="Arial"/>
          <w:b/>
          <w:bCs/>
          <w:i/>
          <w:color w:val="000000"/>
          <w:sz w:val="22"/>
          <w:szCs w:val="22"/>
          <w:lang w:val="es-CR" w:eastAsia="es-CR"/>
        </w:rPr>
        <w:t>ARTICULO 5 BIS</w:t>
      </w:r>
    </w:p>
    <w:p w:rsidR="004F2645" w:rsidRPr="004F2645" w:rsidRDefault="004F2645" w:rsidP="004F2645">
      <w:pPr>
        <w:spacing w:after="160" w:line="259" w:lineRule="auto"/>
        <w:ind w:left="567" w:right="333"/>
        <w:jc w:val="both"/>
        <w:rPr>
          <w:rFonts w:ascii="Arial" w:eastAsia="Calibri" w:hAnsi="Arial" w:cs="Arial"/>
          <w:i/>
          <w:color w:val="000000"/>
          <w:sz w:val="22"/>
          <w:szCs w:val="22"/>
          <w:lang w:val="es-CR" w:eastAsia="es-CR"/>
        </w:rPr>
      </w:pPr>
      <w:r w:rsidRPr="004F2645">
        <w:rPr>
          <w:rFonts w:ascii="Arial" w:eastAsia="Calibri" w:hAnsi="Arial" w:cs="Arial"/>
          <w:i/>
          <w:color w:val="000000"/>
          <w:sz w:val="22"/>
          <w:szCs w:val="22"/>
          <w:lang w:val="es-CR" w:eastAsia="es-CR"/>
        </w:rPr>
        <w:t xml:space="preserve">La categoría de las unidades en Departamentos del ITCR será evaluada y definida mediante un estudio realizado al efecto por la Oficina de Planificación Institucional.  En el caso de las Unidades de Departamentos académicos contempladas en el artículo 5, no será necesario el estudio técnico y les corresponderá la categoría tres o cuatro, según corresponda. De igual manera, en caso de que exista alguna unidad en un Departamento académico creada con el mismo propósito que la unidad que se pretende categorizar no será necesario el estudio técnico, sino que se asignará </w:t>
      </w:r>
      <w:r w:rsidRPr="004F2645">
        <w:rPr>
          <w:rFonts w:ascii="Arial" w:eastAsia="Calibri" w:hAnsi="Arial" w:cs="Arial"/>
          <w:i/>
          <w:color w:val="000000"/>
          <w:sz w:val="22"/>
          <w:szCs w:val="22"/>
          <w:lang w:val="es-CR" w:eastAsia="es-CR"/>
        </w:rPr>
        <w:lastRenderedPageBreak/>
        <w:t>la categoría de la unidad existente por un procedimiento denominado de homologación.</w:t>
      </w:r>
    </w:p>
    <w:p w:rsidR="004F2645" w:rsidRPr="004F2645" w:rsidRDefault="004F2645" w:rsidP="00800337">
      <w:pPr>
        <w:ind w:left="567" w:right="335"/>
        <w:jc w:val="both"/>
        <w:rPr>
          <w:rFonts w:ascii="Arial" w:eastAsia="Calibri" w:hAnsi="Arial" w:cs="Arial"/>
          <w:i/>
          <w:color w:val="000000"/>
          <w:sz w:val="22"/>
          <w:szCs w:val="22"/>
          <w:lang w:val="es-CR" w:eastAsia="es-CR"/>
        </w:rPr>
      </w:pPr>
      <w:r w:rsidRPr="004F2645">
        <w:rPr>
          <w:rFonts w:ascii="Arial" w:eastAsia="Calibri" w:hAnsi="Arial" w:cs="Arial"/>
          <w:i/>
          <w:color w:val="000000"/>
          <w:sz w:val="22"/>
          <w:szCs w:val="22"/>
          <w:lang w:val="es-CR" w:eastAsia="es-CR"/>
        </w:rPr>
        <w:t>Este estudio se realizará a solicitud del consejo de departamento al que pertenece la unidad, al menos tres meses antes de finalizar el nombramiento del coordinador, solamente cuando se presenten cambios significativos en alguno de los siguientes aspectos:</w:t>
      </w:r>
    </w:p>
    <w:p w:rsidR="004F2645" w:rsidRPr="004F2645" w:rsidRDefault="004F2645" w:rsidP="00800337">
      <w:pPr>
        <w:ind w:left="567" w:right="335"/>
        <w:jc w:val="both"/>
        <w:rPr>
          <w:rFonts w:ascii="Arial" w:eastAsia="Calibri" w:hAnsi="Arial" w:cs="Arial"/>
          <w:i/>
          <w:color w:val="000000"/>
          <w:sz w:val="22"/>
          <w:szCs w:val="22"/>
          <w:lang w:val="es-CR" w:eastAsia="es-CR"/>
        </w:rPr>
      </w:pPr>
      <w:r w:rsidRPr="004F2645">
        <w:rPr>
          <w:rFonts w:ascii="Arial" w:eastAsia="Calibri" w:hAnsi="Arial" w:cs="Arial"/>
          <w:i/>
          <w:color w:val="000000"/>
          <w:sz w:val="22"/>
          <w:szCs w:val="22"/>
          <w:lang w:val="es-CR" w:eastAsia="es-CR"/>
        </w:rPr>
        <w:t xml:space="preserve">a. Cambio en la naturaleza de las funciones realizadas por la unidad </w:t>
      </w:r>
    </w:p>
    <w:p w:rsidR="004F2645" w:rsidRPr="004F2645" w:rsidRDefault="004F2645" w:rsidP="00800337">
      <w:pPr>
        <w:ind w:left="851" w:right="335" w:hanging="284"/>
        <w:jc w:val="both"/>
        <w:rPr>
          <w:rFonts w:ascii="Arial" w:eastAsia="Calibri" w:hAnsi="Arial" w:cs="Arial"/>
          <w:i/>
          <w:color w:val="000000"/>
          <w:sz w:val="22"/>
          <w:szCs w:val="22"/>
          <w:lang w:val="es-CR" w:eastAsia="es-CR"/>
        </w:rPr>
      </w:pPr>
      <w:r w:rsidRPr="004F2645">
        <w:rPr>
          <w:rFonts w:ascii="Arial" w:eastAsia="Calibri" w:hAnsi="Arial" w:cs="Arial"/>
          <w:i/>
          <w:color w:val="000000"/>
          <w:sz w:val="22"/>
          <w:szCs w:val="22"/>
          <w:lang w:val="es-CR" w:eastAsia="es-CR"/>
        </w:rPr>
        <w:t>b. Cambio en el nivel de formación o especialización de los integrantes de la unidad para el cumplimiento de los objetivos de ésta.</w:t>
      </w:r>
    </w:p>
    <w:p w:rsidR="004F2645" w:rsidRPr="004F2645" w:rsidRDefault="004F2645" w:rsidP="00800337">
      <w:pPr>
        <w:ind w:left="567" w:right="335"/>
        <w:jc w:val="both"/>
        <w:rPr>
          <w:rFonts w:ascii="Arial" w:eastAsia="Calibri" w:hAnsi="Arial" w:cs="Arial"/>
          <w:i/>
          <w:color w:val="000000"/>
          <w:sz w:val="22"/>
          <w:szCs w:val="22"/>
          <w:lang w:val="es-CR" w:eastAsia="es-CR"/>
        </w:rPr>
      </w:pPr>
      <w:r w:rsidRPr="004F2645">
        <w:rPr>
          <w:rFonts w:ascii="Arial" w:eastAsia="Calibri" w:hAnsi="Arial" w:cs="Arial"/>
          <w:i/>
          <w:color w:val="000000"/>
          <w:sz w:val="22"/>
          <w:szCs w:val="22"/>
          <w:lang w:val="es-CR" w:eastAsia="es-CR"/>
        </w:rPr>
        <w:t>c. Cambio en el volumen de tareas realizadas por la unidad.</w:t>
      </w:r>
    </w:p>
    <w:p w:rsidR="004F2645" w:rsidRPr="004F2645" w:rsidRDefault="004F2645" w:rsidP="00800337">
      <w:pPr>
        <w:ind w:left="567" w:right="335"/>
        <w:jc w:val="both"/>
        <w:rPr>
          <w:rFonts w:ascii="Arial" w:eastAsia="Calibri" w:hAnsi="Arial" w:cs="Arial"/>
          <w:i/>
          <w:color w:val="000000"/>
          <w:sz w:val="22"/>
          <w:szCs w:val="22"/>
          <w:lang w:val="es-CR" w:eastAsia="es-CR"/>
        </w:rPr>
      </w:pPr>
      <w:r w:rsidRPr="004F2645">
        <w:rPr>
          <w:rFonts w:ascii="Arial" w:eastAsia="Calibri" w:hAnsi="Arial" w:cs="Arial"/>
          <w:i/>
          <w:color w:val="000000"/>
          <w:sz w:val="22"/>
          <w:szCs w:val="22"/>
          <w:lang w:val="es-CR" w:eastAsia="es-CR"/>
        </w:rPr>
        <w:t>La información pertinente para realizar el estudio de evaluación y categorización de la unidad será suministrada por ésta en el formato establecido</w:t>
      </w:r>
      <w:r w:rsidRPr="004F2645">
        <w:rPr>
          <w:rFonts w:ascii="Arial" w:eastAsia="Calibri" w:hAnsi="Arial" w:cs="Arial"/>
          <w:color w:val="000000"/>
          <w:sz w:val="22"/>
          <w:szCs w:val="22"/>
          <w:lang w:val="es-CR" w:eastAsia="es-CR"/>
        </w:rPr>
        <w:t xml:space="preserve"> </w:t>
      </w:r>
      <w:r w:rsidRPr="004F2645">
        <w:rPr>
          <w:rFonts w:ascii="Arial" w:eastAsia="Calibri" w:hAnsi="Arial" w:cs="Arial"/>
          <w:i/>
          <w:color w:val="000000"/>
          <w:sz w:val="22"/>
          <w:szCs w:val="22"/>
          <w:lang w:val="es-CR" w:eastAsia="es-CR"/>
        </w:rPr>
        <w:t>por la Oficina de Planificación Institucional para tal efecto.</w:t>
      </w:r>
    </w:p>
    <w:p w:rsidR="004F2645" w:rsidRPr="004F2645" w:rsidRDefault="004F2645" w:rsidP="004F2645">
      <w:pPr>
        <w:ind w:left="993" w:right="333" w:hanging="284"/>
        <w:jc w:val="both"/>
        <w:rPr>
          <w:rFonts w:ascii="Arial" w:eastAsia="Calibri" w:hAnsi="Arial" w:cs="Arial"/>
          <w:bCs/>
          <w:i/>
          <w:color w:val="000000"/>
          <w:sz w:val="22"/>
          <w:szCs w:val="22"/>
          <w:lang w:val="es-CR" w:eastAsia="en-US"/>
        </w:rPr>
      </w:pPr>
      <w:r w:rsidRPr="004F2645">
        <w:rPr>
          <w:rFonts w:ascii="Arial" w:eastAsia="Cambria" w:hAnsi="Arial" w:cs="Arial"/>
          <w:b/>
          <w:i/>
          <w:sz w:val="22"/>
          <w:szCs w:val="22"/>
          <w:lang w:val="es-ES_tradnl" w:eastAsia="en-US"/>
        </w:rPr>
        <w:t>b</w:t>
      </w:r>
      <w:r w:rsidRPr="004F2645">
        <w:rPr>
          <w:rFonts w:ascii="Arial" w:eastAsia="Calibri" w:hAnsi="Arial" w:cs="Arial"/>
          <w:color w:val="000000"/>
          <w:sz w:val="22"/>
          <w:szCs w:val="22"/>
          <w:lang w:val="es-CR" w:eastAsia="en-US"/>
        </w:rPr>
        <w:t xml:space="preserve">. </w:t>
      </w:r>
      <w:r w:rsidRPr="004F2645">
        <w:rPr>
          <w:rFonts w:ascii="Arial" w:eastAsia="Calibri" w:hAnsi="Arial" w:cs="Arial"/>
          <w:i/>
          <w:color w:val="000000"/>
          <w:sz w:val="22"/>
          <w:szCs w:val="22"/>
          <w:lang w:val="es-CR" w:eastAsia="en-US"/>
        </w:rPr>
        <w:t xml:space="preserve">Solicitar a la Administración que presente una propuesta de Reforma Integral al </w:t>
      </w:r>
      <w:r w:rsidRPr="004F2645">
        <w:rPr>
          <w:rFonts w:ascii="Arial" w:eastAsia="Calibri" w:hAnsi="Arial" w:cs="Arial"/>
          <w:bCs/>
          <w:i/>
          <w:color w:val="000000"/>
          <w:sz w:val="22"/>
          <w:szCs w:val="22"/>
          <w:lang w:val="es-CR" w:eastAsia="en-US"/>
        </w:rPr>
        <w:t>Reglamento de Creación, Modificación y Eliminación de Unidades en Departamentos del Instituto Tecnológico de Costa Rica, a más tardar el 30 de junio del 2018.</w:t>
      </w:r>
    </w:p>
    <w:p w:rsidR="004F2645" w:rsidRPr="004F2645" w:rsidRDefault="004F2645" w:rsidP="004F2645">
      <w:pPr>
        <w:ind w:left="993" w:right="333" w:hanging="284"/>
        <w:jc w:val="both"/>
        <w:rPr>
          <w:rFonts w:ascii="Arial" w:eastAsia="Calibri" w:hAnsi="Arial" w:cs="Arial"/>
          <w:color w:val="000000"/>
          <w:sz w:val="22"/>
          <w:szCs w:val="22"/>
          <w:lang w:val="es-CR" w:eastAsia="es-CR"/>
        </w:rPr>
      </w:pPr>
    </w:p>
    <w:p w:rsidR="004F2645" w:rsidRPr="004F2645" w:rsidRDefault="004F2645" w:rsidP="004F2645">
      <w:pPr>
        <w:ind w:left="993" w:right="333" w:hanging="284"/>
        <w:jc w:val="both"/>
        <w:rPr>
          <w:rFonts w:ascii="Arial" w:eastAsia="Calibri" w:hAnsi="Arial" w:cs="Arial"/>
          <w:bCs/>
          <w:i/>
          <w:color w:val="000000"/>
          <w:sz w:val="22"/>
          <w:szCs w:val="22"/>
          <w:lang w:val="es-CR" w:eastAsia="en-US"/>
        </w:rPr>
      </w:pPr>
      <w:r w:rsidRPr="004F2645">
        <w:rPr>
          <w:rFonts w:ascii="Arial" w:eastAsia="Cambria" w:hAnsi="Arial" w:cs="Arial"/>
          <w:b/>
          <w:i/>
          <w:sz w:val="22"/>
          <w:szCs w:val="22"/>
          <w:lang w:val="es-ES_tradnl" w:eastAsia="en-US"/>
        </w:rPr>
        <w:t xml:space="preserve"> c</w:t>
      </w:r>
      <w:r w:rsidRPr="004F2645">
        <w:rPr>
          <w:rFonts w:ascii="Arial" w:eastAsia="Calibri" w:hAnsi="Arial" w:cs="Arial"/>
          <w:bCs/>
          <w:i/>
          <w:color w:val="000000"/>
          <w:sz w:val="22"/>
          <w:szCs w:val="22"/>
          <w:lang w:val="es-CR" w:eastAsia="en-US"/>
        </w:rPr>
        <w:t>. Publicar</w:t>
      </w:r>
    </w:p>
    <w:p w:rsidR="004F2645" w:rsidRPr="004F2645" w:rsidRDefault="004F2645" w:rsidP="004F2645">
      <w:pPr>
        <w:ind w:right="333"/>
        <w:jc w:val="both"/>
        <w:rPr>
          <w:rFonts w:ascii="Arial" w:eastAsia="Calibri" w:hAnsi="Arial" w:cs="Arial"/>
          <w:i/>
          <w:color w:val="000000"/>
          <w:sz w:val="22"/>
          <w:szCs w:val="22"/>
          <w:lang w:val="es-CR" w:eastAsia="es-CR"/>
        </w:rPr>
      </w:pPr>
    </w:p>
    <w:p w:rsidR="004F2645" w:rsidRPr="004F2645" w:rsidRDefault="004F2645" w:rsidP="004F2645">
      <w:pPr>
        <w:ind w:left="993" w:right="333" w:hanging="284"/>
        <w:jc w:val="both"/>
        <w:rPr>
          <w:rFonts w:ascii="Arial" w:eastAsia="Calibri" w:hAnsi="Arial" w:cs="Arial"/>
          <w:i/>
          <w:color w:val="000000"/>
          <w:sz w:val="22"/>
          <w:szCs w:val="22"/>
          <w:lang w:val="es-CR" w:eastAsia="es-CR"/>
        </w:rPr>
      </w:pPr>
      <w:r w:rsidRPr="004F2645">
        <w:rPr>
          <w:rFonts w:ascii="Arial" w:eastAsia="Cambria" w:hAnsi="Arial" w:cs="Arial"/>
          <w:b/>
          <w:i/>
          <w:sz w:val="22"/>
          <w:szCs w:val="22"/>
          <w:lang w:val="es-ES_tradnl" w:eastAsia="en-US"/>
        </w:rPr>
        <w:t>d.</w:t>
      </w:r>
      <w:r w:rsidRPr="004F2645">
        <w:rPr>
          <w:rFonts w:ascii="Arial" w:eastAsia="Calibri" w:hAnsi="Arial" w:cs="Arial"/>
          <w:i/>
          <w:iCs/>
          <w:sz w:val="22"/>
          <w:szCs w:val="22"/>
          <w:lang w:val="es-CR" w:eastAsia="es-CR"/>
        </w:rPr>
        <w:t xml:space="preserve"> Comunicar.  </w:t>
      </w:r>
      <w:r w:rsidRPr="004F2645">
        <w:rPr>
          <w:rFonts w:ascii="Arial" w:eastAsia="Calibri" w:hAnsi="Arial" w:cs="Arial"/>
          <w:b/>
          <w:i/>
          <w:iCs/>
          <w:sz w:val="22"/>
          <w:szCs w:val="22"/>
          <w:lang w:val="es-CR" w:eastAsia="es-CR"/>
        </w:rPr>
        <w:t>ACUERDO FIRME</w:t>
      </w:r>
      <w:r>
        <w:rPr>
          <w:rFonts w:ascii="Arial" w:eastAsia="Calibri" w:hAnsi="Arial" w:cs="Arial"/>
          <w:b/>
          <w:i/>
          <w:iCs/>
          <w:sz w:val="22"/>
          <w:szCs w:val="22"/>
          <w:lang w:val="es-CR" w:eastAsia="es-CR"/>
        </w:rPr>
        <w:t>”</w:t>
      </w:r>
      <w:r w:rsidRPr="004F2645">
        <w:rPr>
          <w:rFonts w:ascii="Arial" w:eastAsia="Calibri" w:hAnsi="Arial" w:cs="Arial"/>
          <w:b/>
          <w:i/>
          <w:iCs/>
          <w:sz w:val="22"/>
          <w:szCs w:val="22"/>
          <w:lang w:val="es-CR" w:eastAsia="es-CR"/>
        </w:rPr>
        <w:t>.</w:t>
      </w:r>
      <w:r w:rsidRPr="004F2645">
        <w:rPr>
          <w:rFonts w:ascii="Arial" w:eastAsia="Calibri" w:hAnsi="Arial" w:cs="Arial"/>
          <w:i/>
          <w:iCs/>
          <w:sz w:val="22"/>
          <w:szCs w:val="22"/>
          <w:lang w:val="es-CR" w:eastAsia="es-CR"/>
        </w:rPr>
        <w:t xml:space="preserve"> </w:t>
      </w:r>
    </w:p>
    <w:p w:rsidR="004F2645" w:rsidRPr="004F2645" w:rsidRDefault="004F2645" w:rsidP="004F2645">
      <w:pPr>
        <w:jc w:val="both"/>
        <w:rPr>
          <w:rFonts w:ascii="Calibri" w:eastAsia="Cambria" w:hAnsi="Calibri" w:cs="Arial"/>
          <w:color w:val="000000"/>
          <w:lang w:val="es-CR" w:eastAsia="en-US"/>
        </w:rPr>
      </w:pPr>
    </w:p>
    <w:p w:rsidR="004F2645" w:rsidRDefault="004F2645" w:rsidP="004F2645">
      <w:pPr>
        <w:numPr>
          <w:ilvl w:val="0"/>
          <w:numId w:val="39"/>
        </w:numPr>
        <w:jc w:val="both"/>
        <w:rPr>
          <w:rFonts w:ascii="Arial" w:hAnsi="Arial" w:cs="Arial"/>
          <w:bCs/>
          <w:lang w:val="es-CR"/>
        </w:rPr>
      </w:pPr>
      <w:r w:rsidRPr="004F2645">
        <w:rPr>
          <w:rFonts w:ascii="Arial" w:hAnsi="Arial" w:cs="Arial"/>
          <w:bCs/>
          <w:lang w:val="es-CR"/>
        </w:rPr>
        <w:t xml:space="preserve">La </w:t>
      </w:r>
      <w:r w:rsidR="00222C2E">
        <w:rPr>
          <w:rFonts w:ascii="Arial" w:hAnsi="Arial" w:cs="Arial"/>
          <w:bCs/>
          <w:lang w:val="es-CR"/>
        </w:rPr>
        <w:t>M</w:t>
      </w:r>
      <w:r w:rsidRPr="004F2645">
        <w:rPr>
          <w:rFonts w:ascii="Arial" w:hAnsi="Arial" w:cs="Arial"/>
          <w:bCs/>
          <w:lang w:val="es-CR"/>
        </w:rPr>
        <w:t>aestría en Educación Técnica está a cargo directamente del Director de la Escuela de Educación Técnica, sin que se haya creado ninguna unidad en esa unidad académica para impartirla.</w:t>
      </w:r>
    </w:p>
    <w:p w:rsidR="00800337" w:rsidRPr="004F2645" w:rsidRDefault="00800337" w:rsidP="00800337">
      <w:pPr>
        <w:ind w:left="284"/>
        <w:jc w:val="both"/>
        <w:rPr>
          <w:rFonts w:ascii="Arial" w:hAnsi="Arial" w:cs="Arial"/>
          <w:bCs/>
          <w:lang w:val="es-CR"/>
        </w:rPr>
      </w:pPr>
    </w:p>
    <w:p w:rsidR="004F2645" w:rsidRPr="004F2645" w:rsidRDefault="004F2645" w:rsidP="004F2645">
      <w:pPr>
        <w:jc w:val="both"/>
        <w:outlineLvl w:val="0"/>
        <w:rPr>
          <w:rFonts w:ascii="Arial" w:eastAsia="Cambria" w:hAnsi="Arial" w:cs="Arial"/>
          <w:b/>
          <w:color w:val="000000"/>
          <w:lang w:val="es-CR" w:eastAsia="en-US"/>
        </w:rPr>
      </w:pPr>
      <w:r w:rsidRPr="004F2645">
        <w:rPr>
          <w:rFonts w:ascii="Arial" w:eastAsia="Cambria" w:hAnsi="Arial" w:cs="Arial"/>
          <w:b/>
          <w:color w:val="000000"/>
          <w:lang w:val="es-CR" w:eastAsia="en-US"/>
        </w:rPr>
        <w:t>CONSIDERANDO QUE:</w:t>
      </w:r>
    </w:p>
    <w:p w:rsidR="004F2645" w:rsidRPr="004F2645" w:rsidRDefault="004F2645" w:rsidP="004F2645">
      <w:pPr>
        <w:jc w:val="both"/>
        <w:outlineLvl w:val="0"/>
        <w:rPr>
          <w:rFonts w:ascii="Arial" w:eastAsia="Cambria" w:hAnsi="Arial" w:cs="Arial"/>
          <w:b/>
          <w:color w:val="000000"/>
          <w:lang w:val="es-CR" w:eastAsia="en-US"/>
        </w:rPr>
      </w:pPr>
    </w:p>
    <w:p w:rsidR="004F2645" w:rsidRPr="004F2645" w:rsidRDefault="004F2645" w:rsidP="004F2645">
      <w:pPr>
        <w:numPr>
          <w:ilvl w:val="1"/>
          <w:numId w:val="38"/>
        </w:numPr>
        <w:ind w:left="426" w:hanging="426"/>
        <w:jc w:val="both"/>
        <w:rPr>
          <w:rFonts w:ascii="Arial" w:eastAsia="Calibri" w:hAnsi="Arial" w:cs="Arial"/>
          <w:color w:val="000000"/>
          <w:lang w:val="es-ES_tradnl" w:eastAsia="en-US"/>
        </w:rPr>
      </w:pPr>
      <w:r w:rsidRPr="004F2645">
        <w:rPr>
          <w:rFonts w:ascii="Arial" w:eastAsia="Calibri" w:hAnsi="Arial" w:cs="Arial"/>
          <w:color w:val="000000"/>
          <w:lang w:val="es-ES_tradnl" w:eastAsia="en-US"/>
        </w:rPr>
        <w:t>La Secretaría del Consejo Institucional recibe el oficio R-1480-2017, con fecha de recibido 06 de diciembre de 2017, suscrito por el Dr. Julio Calvo, Rector, dirigido</w:t>
      </w:r>
      <w:r w:rsidRPr="004F2645">
        <w:rPr>
          <w:rFonts w:ascii="Calibri" w:eastAsia="Calibri" w:hAnsi="Calibri"/>
          <w:sz w:val="22"/>
          <w:szCs w:val="22"/>
          <w:lang w:val="es-CR" w:eastAsia="en-US"/>
        </w:rPr>
        <w:t xml:space="preserve"> </w:t>
      </w:r>
      <w:r w:rsidRPr="004F2645">
        <w:rPr>
          <w:rFonts w:ascii="Arial" w:eastAsia="Calibri" w:hAnsi="Arial" w:cs="Arial"/>
          <w:color w:val="000000"/>
          <w:lang w:val="es-ES_tradnl" w:eastAsia="en-US"/>
        </w:rPr>
        <w:t>a la Ing. María Estrada Sánchez, Coordinadora Comisión de Asuntos Académicos y Estudiantiles, en el cual en atención al oficio SCI-781-2017, remite la propuesta de homologación para clasificar las unidades creadas por el Consejo Institucional que no cuentan con una categorización. (ver anexo 2)</w:t>
      </w:r>
    </w:p>
    <w:p w:rsidR="004F2645" w:rsidRPr="004F2645" w:rsidRDefault="004F2645" w:rsidP="004F2645">
      <w:pPr>
        <w:ind w:left="720"/>
        <w:jc w:val="both"/>
        <w:rPr>
          <w:rFonts w:ascii="Arial" w:eastAsia="Calibri" w:hAnsi="Arial" w:cs="Arial"/>
          <w:color w:val="000000"/>
          <w:lang w:val="es-ES_tradnl" w:eastAsia="en-US"/>
        </w:rPr>
      </w:pPr>
    </w:p>
    <w:p w:rsidR="00800337" w:rsidRDefault="004F2645" w:rsidP="004F2645">
      <w:pPr>
        <w:numPr>
          <w:ilvl w:val="1"/>
          <w:numId w:val="38"/>
        </w:numPr>
        <w:ind w:left="426" w:hanging="426"/>
        <w:jc w:val="both"/>
        <w:rPr>
          <w:rFonts w:ascii="Arial" w:eastAsia="Calibri" w:hAnsi="Arial" w:cs="Arial"/>
          <w:color w:val="000000"/>
          <w:lang w:val="es-ES_tradnl" w:eastAsia="en-US"/>
        </w:rPr>
      </w:pPr>
      <w:r w:rsidRPr="004F2645">
        <w:rPr>
          <w:rFonts w:ascii="Arial" w:eastAsia="Calibri" w:hAnsi="Arial" w:cs="Arial"/>
          <w:color w:val="000000"/>
          <w:lang w:val="es-ES_tradnl" w:eastAsia="en-US"/>
        </w:rPr>
        <w:t xml:space="preserve">La Secretaría del Consejo Institucional recibe el oficio DP-107-2017, con fecha de recibido 04 de octubre de 2017, suscrito por la Ing. Carmen Elena Madriz, </w:t>
      </w:r>
      <w:proofErr w:type="spellStart"/>
      <w:r w:rsidRPr="004F2645">
        <w:rPr>
          <w:rFonts w:ascii="Arial" w:eastAsia="Calibri" w:hAnsi="Arial" w:cs="Arial"/>
          <w:color w:val="000000"/>
          <w:lang w:val="es-ES_tradnl" w:eastAsia="en-US"/>
        </w:rPr>
        <w:t>Ph.D</w:t>
      </w:r>
      <w:proofErr w:type="spellEnd"/>
      <w:r w:rsidRPr="004F2645">
        <w:rPr>
          <w:rFonts w:ascii="Arial" w:eastAsia="Calibri" w:hAnsi="Arial" w:cs="Arial"/>
          <w:color w:val="000000"/>
          <w:lang w:val="es-ES_tradnl" w:eastAsia="en-US"/>
        </w:rPr>
        <w:t>., Directora Dirección de Posgrado, dirigido al Dr. Julio Calvo, Presidente Consejo Institucional, en el cual remite Formulación de Unidades de Posgrado y solicita que aquellas Unidades de Posgrado que a la fecha se encuentren en funcionamiento y ofreciendo al menos un programa de posgrado, sean declaradas oficialmente como tales, por parte del Consejo Institucional, según lo establece el artículo 51 inciso b) del Estatuto Org</w:t>
      </w:r>
      <w:r>
        <w:rPr>
          <w:rFonts w:ascii="Arial" w:eastAsia="Calibri" w:hAnsi="Arial" w:cs="Arial"/>
          <w:color w:val="000000"/>
          <w:lang w:val="es-ES_tradnl" w:eastAsia="en-US"/>
        </w:rPr>
        <w:t>ánico, que indica lo siguiente</w:t>
      </w:r>
      <w:r w:rsidR="00800337">
        <w:rPr>
          <w:rFonts w:ascii="Arial" w:eastAsia="Calibri" w:hAnsi="Arial" w:cs="Arial"/>
          <w:color w:val="000000"/>
          <w:lang w:val="es-ES_tradnl" w:eastAsia="en-US"/>
        </w:rPr>
        <w:t>:</w:t>
      </w:r>
    </w:p>
    <w:p w:rsidR="004F2645" w:rsidRPr="004F2645" w:rsidRDefault="004F2645" w:rsidP="00800337">
      <w:pPr>
        <w:jc w:val="both"/>
        <w:rPr>
          <w:rFonts w:ascii="Arial" w:eastAsia="Calibri" w:hAnsi="Arial" w:cs="Arial"/>
          <w:color w:val="000000"/>
          <w:lang w:val="es-ES_tradnl" w:eastAsia="en-US"/>
        </w:rPr>
      </w:pPr>
      <w:r>
        <w:rPr>
          <w:rFonts w:ascii="Arial" w:eastAsia="Calibri" w:hAnsi="Arial" w:cs="Arial"/>
          <w:color w:val="000000"/>
          <w:lang w:val="es-ES_tradnl" w:eastAsia="en-US"/>
        </w:rPr>
        <w:t xml:space="preserve"> </w:t>
      </w:r>
    </w:p>
    <w:p w:rsidR="004F2645" w:rsidRPr="004F2645" w:rsidRDefault="004F2645" w:rsidP="00800337">
      <w:pPr>
        <w:keepNext/>
        <w:widowControl w:val="0"/>
        <w:tabs>
          <w:tab w:val="left" w:pos="2880"/>
        </w:tabs>
        <w:overflowPunct w:val="0"/>
        <w:adjustRightInd w:val="0"/>
        <w:ind w:left="2880" w:right="567" w:hanging="2029"/>
        <w:jc w:val="both"/>
        <w:rPr>
          <w:rFonts w:ascii="Arial" w:hAnsi="Arial" w:cs="Arial"/>
          <w:b/>
          <w:bCs/>
          <w:i/>
          <w:color w:val="000000"/>
          <w:sz w:val="22"/>
          <w:szCs w:val="22"/>
          <w:lang w:val="es-CR" w:eastAsia="es-CR"/>
        </w:rPr>
      </w:pPr>
      <w:r w:rsidRPr="004F2645">
        <w:rPr>
          <w:rFonts w:ascii="Arial" w:hAnsi="Arial" w:cs="Arial"/>
          <w:b/>
          <w:bCs/>
          <w:i/>
          <w:color w:val="000000"/>
          <w:sz w:val="22"/>
          <w:szCs w:val="22"/>
          <w:lang w:val="es-CR" w:eastAsia="es-CR"/>
        </w:rPr>
        <w:t>“Considerando que:</w:t>
      </w:r>
    </w:p>
    <w:p w:rsidR="004F2645" w:rsidRPr="004F2645" w:rsidRDefault="004F2645" w:rsidP="004F2645">
      <w:pPr>
        <w:tabs>
          <w:tab w:val="left" w:pos="426"/>
        </w:tabs>
        <w:ind w:left="1134" w:right="567" w:hanging="360"/>
        <w:jc w:val="both"/>
        <w:rPr>
          <w:rFonts w:ascii="Arial" w:hAnsi="Arial" w:cs="Arial"/>
          <w:color w:val="000000"/>
          <w:lang w:val="es-ES_tradnl"/>
        </w:rPr>
      </w:pPr>
      <w:r w:rsidRPr="004F2645">
        <w:rPr>
          <w:rFonts w:ascii="Arial" w:hAnsi="Arial" w:cs="Arial"/>
          <w:color w:val="000000"/>
          <w:sz w:val="22"/>
          <w:lang w:val="es-ES_tradnl"/>
        </w:rPr>
        <w:t>1</w:t>
      </w:r>
      <w:r w:rsidRPr="004F2645">
        <w:rPr>
          <w:rFonts w:ascii="Arial" w:hAnsi="Arial" w:cs="Arial"/>
          <w:color w:val="000000"/>
          <w:lang w:val="es-ES_tradnl"/>
        </w:rPr>
        <w:t>.</w:t>
      </w:r>
      <w:r w:rsidRPr="004F2645">
        <w:rPr>
          <w:rFonts w:ascii="Arial" w:hAnsi="Arial" w:cs="Arial"/>
          <w:color w:val="000000"/>
          <w:lang w:val="es-ES_tradnl"/>
        </w:rPr>
        <w:tab/>
      </w:r>
      <w:r w:rsidRPr="004F2645">
        <w:rPr>
          <w:rFonts w:ascii="Arial" w:hAnsi="Arial" w:cs="Arial"/>
          <w:i/>
          <w:sz w:val="22"/>
          <w:szCs w:val="22"/>
          <w:lang w:val="es-CR"/>
        </w:rPr>
        <w:t>La Dirección de Posgrado recibió el oficio OPI-484-2017, de la Oficina de Planificación Institucional, en el que se indica que prácticamente ninguno de los Departamentos Académicos o Escuelas ha realizado el debido proceso, para la creación de las Unidades de Posgrado, según lo establece el Reglamento de Creación, Modificación y Eliminación de Unidades en Departamentos del ITCR.</w:t>
      </w:r>
      <w:r w:rsidRPr="004F2645">
        <w:rPr>
          <w:rFonts w:ascii="Arial" w:hAnsi="Arial" w:cs="Arial"/>
          <w:color w:val="000000"/>
          <w:lang w:val="es-ES_tradnl"/>
        </w:rPr>
        <w:t xml:space="preserve">    </w:t>
      </w:r>
    </w:p>
    <w:p w:rsidR="004F2645" w:rsidRPr="004F2645" w:rsidRDefault="004F2645" w:rsidP="004F2645">
      <w:pPr>
        <w:ind w:left="720"/>
        <w:jc w:val="both"/>
        <w:rPr>
          <w:rFonts w:ascii="Arial" w:eastAsia="Calibri" w:hAnsi="Arial" w:cs="Arial"/>
          <w:color w:val="000000"/>
          <w:lang w:val="es-ES_tradnl" w:eastAsia="en-US"/>
        </w:rPr>
      </w:pPr>
    </w:p>
    <w:p w:rsidR="004F2645" w:rsidRPr="004F2645" w:rsidRDefault="004F2645" w:rsidP="004F2645">
      <w:pPr>
        <w:tabs>
          <w:tab w:val="left" w:pos="426"/>
        </w:tabs>
        <w:ind w:left="1134" w:right="567" w:hanging="360"/>
        <w:jc w:val="both"/>
        <w:rPr>
          <w:rFonts w:ascii="Arial" w:hAnsi="Arial" w:cs="Arial"/>
          <w:color w:val="000000"/>
          <w:lang w:val="es-ES_tradnl"/>
        </w:rPr>
      </w:pPr>
      <w:r w:rsidRPr="004F2645">
        <w:rPr>
          <w:rFonts w:ascii="Arial" w:hAnsi="Arial" w:cs="Arial"/>
          <w:color w:val="000000"/>
          <w:sz w:val="22"/>
          <w:lang w:val="es-ES_tradnl"/>
        </w:rPr>
        <w:t>2</w:t>
      </w:r>
      <w:r w:rsidRPr="004F2645">
        <w:rPr>
          <w:rFonts w:ascii="Arial" w:hAnsi="Arial" w:cs="Arial"/>
          <w:color w:val="000000"/>
          <w:lang w:val="es-ES_tradnl"/>
        </w:rPr>
        <w:t>.</w:t>
      </w:r>
      <w:r w:rsidRPr="004F2645">
        <w:rPr>
          <w:rFonts w:ascii="Arial" w:hAnsi="Arial" w:cs="Arial"/>
          <w:color w:val="000000"/>
          <w:lang w:val="es-ES_tradnl"/>
        </w:rPr>
        <w:tab/>
      </w:r>
      <w:r w:rsidRPr="004F2645">
        <w:rPr>
          <w:rFonts w:ascii="Arial" w:hAnsi="Arial" w:cs="Arial"/>
          <w:i/>
          <w:sz w:val="22"/>
          <w:szCs w:val="22"/>
          <w:lang w:val="es-CR"/>
        </w:rPr>
        <w:t>Todos los programas adscritos a un área, están debidamente conformados ya que, en el momento de su aprobación por parte del Consejo Institucional, se creó el área que les da el sustento académico.</w:t>
      </w:r>
    </w:p>
    <w:p w:rsidR="004F2645" w:rsidRPr="004F2645" w:rsidRDefault="004F2645" w:rsidP="004F2645">
      <w:pPr>
        <w:ind w:left="720"/>
        <w:jc w:val="both"/>
        <w:rPr>
          <w:rFonts w:ascii="Arial" w:hAnsi="Arial" w:cs="Arial"/>
          <w:color w:val="000000"/>
          <w:lang w:val="es-ES_tradnl"/>
        </w:rPr>
      </w:pPr>
    </w:p>
    <w:p w:rsidR="004F2645" w:rsidRPr="004F2645" w:rsidRDefault="004F2645" w:rsidP="004F2645">
      <w:pPr>
        <w:tabs>
          <w:tab w:val="left" w:pos="426"/>
        </w:tabs>
        <w:ind w:left="1134" w:right="567" w:hanging="360"/>
        <w:jc w:val="both"/>
        <w:rPr>
          <w:rFonts w:ascii="Arial" w:hAnsi="Arial" w:cs="Arial"/>
          <w:color w:val="000000"/>
          <w:lang w:val="es-ES_tradnl"/>
        </w:rPr>
      </w:pPr>
      <w:r w:rsidRPr="004F2645">
        <w:rPr>
          <w:rFonts w:ascii="Arial" w:hAnsi="Arial" w:cs="Arial"/>
          <w:color w:val="000000"/>
          <w:sz w:val="22"/>
          <w:lang w:val="es-ES_tradnl"/>
        </w:rPr>
        <w:t>3</w:t>
      </w:r>
      <w:r w:rsidRPr="004F2645">
        <w:rPr>
          <w:rFonts w:ascii="Arial" w:hAnsi="Arial" w:cs="Arial"/>
          <w:color w:val="000000"/>
          <w:lang w:val="es-ES_tradnl"/>
        </w:rPr>
        <w:t>.</w:t>
      </w:r>
      <w:r w:rsidRPr="004F2645">
        <w:rPr>
          <w:rFonts w:ascii="Arial" w:hAnsi="Arial" w:cs="Arial"/>
          <w:color w:val="000000"/>
          <w:lang w:val="es-ES_tradnl"/>
        </w:rPr>
        <w:tab/>
      </w:r>
      <w:r w:rsidRPr="004F2645">
        <w:rPr>
          <w:rFonts w:ascii="Arial" w:hAnsi="Arial" w:cs="Arial"/>
          <w:i/>
          <w:sz w:val="22"/>
          <w:szCs w:val="22"/>
          <w:lang w:val="es-CR"/>
        </w:rPr>
        <w:t>La creación de las unidades de Posgrado se da a partir de su incorporación en el artículo 51 del Estatuto Orgánico, publicado en la Gaceta 370, el viernes 06 de diciembre 2013; a esa fecha, gran parte de los programas de posgrados ya estaban conformados debidamente y ofreciendo el posgrado correspondiente.</w:t>
      </w:r>
    </w:p>
    <w:p w:rsidR="004F2645" w:rsidRPr="004F2645" w:rsidRDefault="004F2645" w:rsidP="004F2645">
      <w:pPr>
        <w:ind w:left="720"/>
        <w:jc w:val="both"/>
        <w:rPr>
          <w:rFonts w:ascii="Arial" w:hAnsi="Arial" w:cs="Arial"/>
          <w:color w:val="000000"/>
          <w:lang w:val="es-ES_tradnl"/>
        </w:rPr>
      </w:pPr>
    </w:p>
    <w:p w:rsidR="004F2645" w:rsidRPr="004F2645" w:rsidRDefault="004F2645" w:rsidP="004F2645">
      <w:pPr>
        <w:tabs>
          <w:tab w:val="left" w:pos="426"/>
        </w:tabs>
        <w:ind w:left="1134" w:right="567" w:hanging="360"/>
        <w:jc w:val="both"/>
        <w:rPr>
          <w:rFonts w:ascii="Arial" w:hAnsi="Arial" w:cs="Arial"/>
          <w:color w:val="000000"/>
          <w:lang w:val="es-ES_tradnl"/>
        </w:rPr>
      </w:pPr>
      <w:r w:rsidRPr="004F2645">
        <w:rPr>
          <w:rFonts w:ascii="Arial" w:hAnsi="Arial" w:cs="Arial"/>
          <w:color w:val="000000"/>
          <w:sz w:val="22"/>
          <w:lang w:val="es-ES_tradnl"/>
        </w:rPr>
        <w:t>4.</w:t>
      </w:r>
      <w:r w:rsidRPr="004F2645">
        <w:rPr>
          <w:rFonts w:ascii="Arial" w:hAnsi="Arial" w:cs="Arial"/>
          <w:color w:val="000000"/>
          <w:lang w:val="es-ES_tradnl"/>
        </w:rPr>
        <w:tab/>
      </w:r>
      <w:r w:rsidRPr="004F2645">
        <w:rPr>
          <w:rFonts w:ascii="Arial" w:hAnsi="Arial" w:cs="Arial"/>
          <w:i/>
          <w:sz w:val="22"/>
          <w:szCs w:val="22"/>
          <w:lang w:val="es-CR"/>
        </w:rPr>
        <w:t>Por medio del oficio VIDA-09-2014, el Vicerrector de Docencia comunica a los Directores de Escuela que contaban a ese momento con programas de posgrado, las acciones para la puesta en ejecución del acuerdo de la Creación de la Dirección de Posgrado.  Una de ellas se describe a continuación:</w:t>
      </w:r>
      <w:r w:rsidRPr="004F2645">
        <w:rPr>
          <w:rFonts w:ascii="Arial" w:hAnsi="Arial" w:cs="Arial"/>
          <w:color w:val="000000"/>
          <w:lang w:val="es-ES_tradnl"/>
        </w:rPr>
        <w:t xml:space="preserve"> </w:t>
      </w:r>
    </w:p>
    <w:p w:rsidR="004F2645" w:rsidRPr="004F2645" w:rsidRDefault="004F2645" w:rsidP="004F2645">
      <w:pPr>
        <w:tabs>
          <w:tab w:val="left" w:pos="426"/>
        </w:tabs>
        <w:ind w:left="1134" w:right="567" w:hanging="360"/>
        <w:jc w:val="both"/>
        <w:rPr>
          <w:rFonts w:ascii="Arial" w:hAnsi="Arial" w:cs="Arial"/>
          <w:i/>
          <w:sz w:val="22"/>
          <w:szCs w:val="22"/>
          <w:lang w:val="es-CR"/>
        </w:rPr>
      </w:pPr>
      <w:r w:rsidRPr="004F2645">
        <w:rPr>
          <w:rFonts w:ascii="Arial" w:hAnsi="Arial" w:cs="Arial"/>
          <w:color w:val="000000"/>
          <w:lang w:val="es-ES_tradnl"/>
        </w:rPr>
        <w:t>a.</w:t>
      </w:r>
      <w:r w:rsidRPr="004F2645">
        <w:rPr>
          <w:rFonts w:ascii="Arial" w:hAnsi="Arial" w:cs="Arial"/>
          <w:color w:val="000000"/>
          <w:lang w:val="es-ES_tradnl"/>
        </w:rPr>
        <w:tab/>
      </w:r>
      <w:r w:rsidRPr="004F2645">
        <w:rPr>
          <w:rFonts w:ascii="Arial" w:hAnsi="Arial" w:cs="Arial"/>
          <w:i/>
          <w:sz w:val="22"/>
          <w:szCs w:val="22"/>
          <w:lang w:val="es-CR"/>
        </w:rPr>
        <w:t>“Establecer la Unidad Interna de Posgrado, como órgano colegiado que atienda todo lo relacionado con Programas de Postgrado. (Artículo5 1.b)”</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tabs>
          <w:tab w:val="left" w:pos="426"/>
        </w:tabs>
        <w:ind w:left="1134" w:right="567" w:hanging="360"/>
        <w:jc w:val="both"/>
        <w:rPr>
          <w:rFonts w:ascii="Arial" w:hAnsi="Arial" w:cs="Arial"/>
          <w:i/>
          <w:sz w:val="22"/>
          <w:szCs w:val="22"/>
          <w:lang w:val="es-CR"/>
        </w:rPr>
      </w:pPr>
      <w:r w:rsidRPr="004F2645">
        <w:rPr>
          <w:rFonts w:ascii="Arial" w:hAnsi="Arial" w:cs="Arial"/>
          <w:i/>
          <w:sz w:val="22"/>
          <w:szCs w:val="22"/>
          <w:lang w:val="es-CR"/>
        </w:rPr>
        <w:t>b.</w:t>
      </w:r>
      <w:r w:rsidRPr="004F2645">
        <w:rPr>
          <w:rFonts w:ascii="Arial" w:hAnsi="Arial" w:cs="Arial"/>
          <w:i/>
          <w:sz w:val="22"/>
          <w:szCs w:val="22"/>
          <w:lang w:val="es-CR"/>
        </w:rPr>
        <w:tab/>
        <w:t>Asignar a los miembros de la Unidad Interna de Posgrado 4 horas semanales en su carga académica.</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tabs>
          <w:tab w:val="left" w:pos="426"/>
        </w:tabs>
        <w:ind w:left="1134" w:right="567" w:hanging="360"/>
        <w:jc w:val="both"/>
        <w:rPr>
          <w:rFonts w:ascii="Arial" w:hAnsi="Arial" w:cs="Arial"/>
          <w:i/>
          <w:sz w:val="22"/>
          <w:szCs w:val="22"/>
          <w:lang w:val="es-CR"/>
        </w:rPr>
      </w:pPr>
      <w:r w:rsidRPr="004F2645">
        <w:rPr>
          <w:rFonts w:ascii="Arial" w:hAnsi="Arial" w:cs="Arial"/>
          <w:i/>
          <w:sz w:val="22"/>
          <w:szCs w:val="22"/>
          <w:lang w:val="es-CR"/>
        </w:rPr>
        <w:t>c.</w:t>
      </w:r>
      <w:r w:rsidRPr="004F2645">
        <w:rPr>
          <w:rFonts w:ascii="Arial" w:hAnsi="Arial" w:cs="Arial"/>
          <w:i/>
          <w:sz w:val="22"/>
          <w:szCs w:val="22"/>
          <w:lang w:val="es-CR"/>
        </w:rPr>
        <w:tab/>
        <w:t>Asignar 20 horas semanales de carga académica al coordinador de la Unidad Interna de posgrado en su carga académica.</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ind w:left="720"/>
        <w:jc w:val="both"/>
        <w:rPr>
          <w:rFonts w:ascii="Arial" w:hAnsi="Arial" w:cs="Arial"/>
          <w:i/>
          <w:sz w:val="22"/>
          <w:szCs w:val="22"/>
          <w:lang w:val="es-CR"/>
        </w:rPr>
      </w:pPr>
      <w:r w:rsidRPr="004F2645">
        <w:rPr>
          <w:rFonts w:ascii="Arial" w:hAnsi="Arial" w:cs="Arial"/>
          <w:i/>
          <w:sz w:val="22"/>
          <w:szCs w:val="22"/>
          <w:lang w:val="es-CR"/>
        </w:rPr>
        <w:t>Todas las acciones fueron desarrolladas por las escuelas en su momento y las Unidades de Posgrado fueron conformadas en las escuelas. Adicionalmente los coordinadores fueron nombrados por medio del Tribunal Institucional Electoral (TIE) como Coordinadores de la Unidad de Posgrado de la Escuela respectiva.</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ind w:left="720"/>
        <w:jc w:val="both"/>
        <w:rPr>
          <w:rFonts w:ascii="Arial" w:hAnsi="Arial" w:cs="Arial"/>
          <w:i/>
          <w:sz w:val="22"/>
          <w:szCs w:val="22"/>
          <w:lang w:val="es-CR"/>
        </w:rPr>
      </w:pPr>
      <w:r w:rsidRPr="004F2645">
        <w:rPr>
          <w:rFonts w:ascii="Arial" w:hAnsi="Arial" w:cs="Arial"/>
          <w:i/>
          <w:sz w:val="22"/>
          <w:szCs w:val="22"/>
          <w:lang w:val="es-CR"/>
        </w:rPr>
        <w:t>Nota: Se evidencia un error de forma en el párrafo anterior, ya que el nombre correcto, según acuerdo del Consejo Institucional es Unidad de Posgrado y no Unidad Interna de Posgrado como se indica.</w:t>
      </w:r>
    </w:p>
    <w:p w:rsidR="004F2645" w:rsidRPr="004F2645" w:rsidRDefault="004F2645" w:rsidP="004F2645">
      <w:pPr>
        <w:ind w:left="720"/>
        <w:jc w:val="both"/>
        <w:rPr>
          <w:rFonts w:ascii="Arial" w:eastAsia="Calibri" w:hAnsi="Arial" w:cs="Arial"/>
          <w:color w:val="000000"/>
          <w:lang w:val="es-ES_tradnl" w:eastAsia="en-US"/>
        </w:rPr>
      </w:pPr>
    </w:p>
    <w:p w:rsidR="004F2645" w:rsidRPr="004F2645" w:rsidRDefault="004F2645" w:rsidP="004F2645">
      <w:pPr>
        <w:tabs>
          <w:tab w:val="left" w:pos="426"/>
        </w:tabs>
        <w:ind w:left="1134" w:right="567" w:hanging="360"/>
        <w:jc w:val="both"/>
        <w:rPr>
          <w:rFonts w:ascii="Arial" w:hAnsi="Arial" w:cs="Arial"/>
          <w:i/>
          <w:sz w:val="22"/>
          <w:szCs w:val="22"/>
          <w:lang w:val="es-CR"/>
        </w:rPr>
      </w:pPr>
      <w:r w:rsidRPr="004F2645">
        <w:rPr>
          <w:rFonts w:ascii="Arial" w:hAnsi="Arial" w:cs="Arial"/>
          <w:i/>
          <w:sz w:val="22"/>
          <w:szCs w:val="22"/>
          <w:lang w:val="es-CR"/>
        </w:rPr>
        <w:t>5. La Institución. a la fecha, cuenta con once Unidades de Posgrado, debidamente establecidas en cada una de las correspondientes Escuelas:</w:t>
      </w:r>
    </w:p>
    <w:p w:rsidR="004F2645" w:rsidRPr="004F2645" w:rsidRDefault="004F2645" w:rsidP="004F2645">
      <w:pPr>
        <w:tabs>
          <w:tab w:val="left" w:pos="426"/>
        </w:tabs>
        <w:ind w:left="1134" w:right="567" w:hanging="360"/>
        <w:jc w:val="both"/>
        <w:rPr>
          <w:rFonts w:ascii="Arial" w:hAnsi="Arial" w:cs="Arial"/>
          <w:i/>
          <w:sz w:val="22"/>
          <w:szCs w:val="22"/>
          <w:lang w:val="es-CR"/>
        </w:rPr>
      </w:pPr>
    </w:p>
    <w:tbl>
      <w:tblPr>
        <w:tblW w:w="9346" w:type="dxa"/>
        <w:jc w:val="center"/>
        <w:tblCellMar>
          <w:left w:w="0" w:type="dxa"/>
          <w:right w:w="0" w:type="dxa"/>
        </w:tblCellMar>
        <w:tblLook w:val="04A0" w:firstRow="1" w:lastRow="0" w:firstColumn="1" w:lastColumn="0" w:noHBand="0" w:noVBand="1"/>
      </w:tblPr>
      <w:tblGrid>
        <w:gridCol w:w="440"/>
        <w:gridCol w:w="4653"/>
        <w:gridCol w:w="4253"/>
      </w:tblGrid>
      <w:tr w:rsidR="004F2645" w:rsidRPr="004F2645" w:rsidTr="0074702D">
        <w:trPr>
          <w:trHeight w:val="313"/>
          <w:tblHeader/>
          <w:jc w:val="center"/>
        </w:trPr>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2645" w:rsidRPr="004F2645" w:rsidRDefault="004F2645" w:rsidP="004F2645">
            <w:pPr>
              <w:spacing w:after="160" w:line="259" w:lineRule="auto"/>
              <w:jc w:val="both"/>
              <w:rPr>
                <w:rFonts w:ascii="Calibri" w:eastAsia="Calibri" w:hAnsi="Calibri"/>
                <w:b/>
                <w:bCs/>
                <w:i/>
                <w:sz w:val="20"/>
                <w:szCs w:val="22"/>
                <w:lang w:val="es-CR" w:eastAsia="en-US"/>
              </w:rPr>
            </w:pPr>
          </w:p>
        </w:tc>
        <w:tc>
          <w:tcPr>
            <w:tcW w:w="4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645" w:rsidRPr="004F2645" w:rsidRDefault="004F2645" w:rsidP="004F2645">
            <w:pPr>
              <w:spacing w:after="160" w:line="259" w:lineRule="auto"/>
              <w:jc w:val="both"/>
              <w:rPr>
                <w:rFonts w:ascii="Calibri" w:eastAsia="Calibri" w:hAnsi="Calibri"/>
                <w:b/>
                <w:bCs/>
                <w:i/>
                <w:sz w:val="20"/>
                <w:szCs w:val="22"/>
                <w:lang w:val="es-CR" w:eastAsia="en-US"/>
              </w:rPr>
            </w:pPr>
            <w:r w:rsidRPr="004F2645">
              <w:rPr>
                <w:rFonts w:ascii="Calibri" w:eastAsia="Calibri" w:hAnsi="Calibri"/>
                <w:b/>
                <w:bCs/>
                <w:i/>
                <w:sz w:val="20"/>
                <w:szCs w:val="22"/>
                <w:lang w:val="es-CR" w:eastAsia="en-US"/>
              </w:rPr>
              <w:t>Dependencia</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645" w:rsidRPr="004F2645" w:rsidRDefault="004F2645" w:rsidP="004F2645">
            <w:pPr>
              <w:spacing w:after="160" w:line="259" w:lineRule="auto"/>
              <w:jc w:val="both"/>
              <w:rPr>
                <w:rFonts w:ascii="Calibri" w:eastAsia="Calibri" w:hAnsi="Calibri"/>
                <w:b/>
                <w:bCs/>
                <w:i/>
                <w:sz w:val="20"/>
                <w:szCs w:val="22"/>
                <w:lang w:val="es-CR" w:eastAsia="en-US"/>
              </w:rPr>
            </w:pPr>
            <w:r w:rsidRPr="004F2645">
              <w:rPr>
                <w:rFonts w:ascii="Calibri" w:eastAsia="Calibri" w:hAnsi="Calibri"/>
                <w:b/>
                <w:bCs/>
                <w:i/>
                <w:sz w:val="20"/>
                <w:szCs w:val="22"/>
                <w:lang w:val="es-CR" w:eastAsia="en-US"/>
              </w:rPr>
              <w:t>Programa(s) Asociado(s)</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1</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 xml:space="preserve">Escuela de Ingeniería en Electrónica </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Electrónica</w:t>
            </w:r>
          </w:p>
        </w:tc>
      </w:tr>
      <w:tr w:rsidR="004F2645" w:rsidRPr="004F2645" w:rsidTr="0074702D">
        <w:trPr>
          <w:trHeight w:val="1023"/>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3</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Administración de Empresas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Administración de Empresas</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 xml:space="preserve">Maestría en Dirección de Empresas </w:t>
            </w:r>
          </w:p>
          <w:p w:rsidR="004F2645" w:rsidRPr="004F2645" w:rsidRDefault="004F2645" w:rsidP="004F2645">
            <w:pPr>
              <w:spacing w:after="160" w:line="259" w:lineRule="auto"/>
              <w:ind w:right="170"/>
              <w:jc w:val="both"/>
              <w:rPr>
                <w:rFonts w:ascii="Calibri" w:eastAsia="Calibri" w:hAnsi="Calibri"/>
                <w:i/>
                <w:sz w:val="20"/>
                <w:szCs w:val="22"/>
                <w:lang w:val="es-CR" w:eastAsia="en-US"/>
              </w:rPr>
            </w:pPr>
            <w:r w:rsidRPr="004F2645">
              <w:rPr>
                <w:rFonts w:ascii="Calibri" w:eastAsia="Calibri" w:hAnsi="Calibri"/>
                <w:i/>
                <w:sz w:val="20"/>
                <w:szCs w:val="22"/>
                <w:lang w:val="es-CR" w:eastAsia="en-US"/>
              </w:rPr>
              <w:t>Doctorado en Dirección de Empresas</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4</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Educación Técnica</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Educación Técnica</w:t>
            </w:r>
          </w:p>
        </w:tc>
      </w:tr>
      <w:tr w:rsidR="004F2645" w:rsidRPr="004F2645" w:rsidTr="0074702D">
        <w:trPr>
          <w:trHeight w:val="979"/>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lastRenderedPageBreak/>
              <w:t>5</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Salud Ocupacional e Higiene Ambiental</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Salud Ocupacional con Mención en Higiene Ambiental</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6</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Ingeniería en Construcción</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Ingeniería Vial</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7</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Ingeniería en Electromecánica</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ind w:right="737"/>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de Administración de la Ingeniería Electromecánica</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8</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Ingeniería en Producción Industrial</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 xml:space="preserve">Maestría en Sistemas Modernos de Manufactura </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Cadena de Abastecimiento</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9</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Ciencia e Ingeniería de los Materiales</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Ingeniería en Dispositivos Médicos</w:t>
            </w:r>
          </w:p>
        </w:tc>
      </w:tr>
      <w:tr w:rsidR="004F2645" w:rsidRPr="004F2645" w:rsidTr="0074702D">
        <w:trPr>
          <w:trHeight w:val="293"/>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10</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Ingeniería en Computación</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Computación</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11</w:t>
            </w:r>
          </w:p>
        </w:tc>
        <w:tc>
          <w:tcPr>
            <w:tcW w:w="4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Unidad de Posgrado de</w:t>
            </w:r>
          </w:p>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Escuela de ingeniería Forestal</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i/>
                <w:sz w:val="20"/>
                <w:szCs w:val="22"/>
                <w:lang w:val="es-CR" w:eastAsia="en-US"/>
              </w:rPr>
            </w:pPr>
            <w:r w:rsidRPr="004F2645">
              <w:rPr>
                <w:rFonts w:ascii="Calibri" w:eastAsia="Calibri" w:hAnsi="Calibri"/>
                <w:i/>
                <w:sz w:val="20"/>
                <w:szCs w:val="22"/>
                <w:lang w:val="es-CR" w:eastAsia="en-US"/>
              </w:rPr>
              <w:t>Maestría en  Ciencias Forestales</w:t>
            </w:r>
          </w:p>
        </w:tc>
      </w:tr>
    </w:tbl>
    <w:p w:rsidR="004F2645" w:rsidRPr="004F2645" w:rsidRDefault="004F2645" w:rsidP="004F2645">
      <w:pPr>
        <w:jc w:val="both"/>
        <w:rPr>
          <w:rFonts w:ascii="Arial" w:eastAsia="Calibri" w:hAnsi="Arial" w:cs="Arial"/>
          <w:i/>
          <w:color w:val="000000"/>
          <w:sz w:val="22"/>
          <w:lang w:val="es-ES_tradnl" w:eastAsia="en-US"/>
        </w:rPr>
      </w:pPr>
    </w:p>
    <w:p w:rsidR="004F2645" w:rsidRPr="004F2645" w:rsidRDefault="004F2645" w:rsidP="004F2645">
      <w:pPr>
        <w:ind w:left="720"/>
        <w:jc w:val="both"/>
        <w:rPr>
          <w:rFonts w:ascii="Arial" w:hAnsi="Arial" w:cs="Arial"/>
          <w:i/>
          <w:sz w:val="22"/>
          <w:szCs w:val="22"/>
          <w:lang w:val="es-CR"/>
        </w:rPr>
      </w:pPr>
      <w:r w:rsidRPr="004F2645">
        <w:rPr>
          <w:rFonts w:ascii="Arial" w:hAnsi="Arial" w:cs="Arial"/>
          <w:i/>
          <w:sz w:val="22"/>
          <w:szCs w:val="22"/>
          <w:lang w:val="es-CR"/>
        </w:rPr>
        <w:t>Las unidades incluidas en la tabla anterior, no cuentan con el estudio de la OPI, para su creación, tal como lo solicita la normativa vigente.</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ind w:left="720"/>
        <w:jc w:val="both"/>
        <w:rPr>
          <w:rFonts w:ascii="Arial" w:hAnsi="Arial" w:cs="Arial"/>
          <w:i/>
          <w:sz w:val="22"/>
          <w:szCs w:val="22"/>
          <w:lang w:val="es-CR"/>
        </w:rPr>
      </w:pPr>
      <w:r w:rsidRPr="004F2645">
        <w:rPr>
          <w:rFonts w:ascii="Arial" w:hAnsi="Arial" w:cs="Arial"/>
          <w:i/>
          <w:sz w:val="22"/>
          <w:szCs w:val="22"/>
          <w:lang w:val="es-CR"/>
        </w:rPr>
        <w:t>Por lo expuesto anteriormente, esta Dirección solicita que:</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ind w:left="720"/>
        <w:jc w:val="both"/>
        <w:rPr>
          <w:rFonts w:ascii="Arial" w:hAnsi="Arial" w:cs="Arial"/>
          <w:i/>
          <w:sz w:val="22"/>
          <w:szCs w:val="22"/>
          <w:lang w:val="es-CR"/>
        </w:rPr>
      </w:pPr>
      <w:r w:rsidRPr="004F2645">
        <w:rPr>
          <w:rFonts w:ascii="Arial" w:hAnsi="Arial" w:cs="Arial"/>
          <w:i/>
          <w:sz w:val="22"/>
          <w:szCs w:val="22"/>
          <w:lang w:val="es-CR"/>
        </w:rPr>
        <w:t xml:space="preserve">Aquellas Unidades de Posgrado que a la fecha se encuentren en funcionamiento y ofreciendo al menos un programa de posgrado, sean declaradas oficialmente como tales, por parte del Consejo Institucional, según lo establece el artículo 51 inciso b) del Estatuto Orgánico. </w:t>
      </w:r>
    </w:p>
    <w:p w:rsidR="004F2645" w:rsidRPr="004F2645" w:rsidRDefault="004F2645" w:rsidP="004F2645">
      <w:pPr>
        <w:ind w:left="720"/>
        <w:jc w:val="both"/>
        <w:rPr>
          <w:rFonts w:ascii="Arial" w:hAnsi="Arial" w:cs="Arial"/>
          <w:i/>
          <w:sz w:val="22"/>
          <w:szCs w:val="22"/>
          <w:lang w:val="es-CR"/>
        </w:rPr>
      </w:pPr>
    </w:p>
    <w:p w:rsidR="004F2645" w:rsidRPr="004F2645" w:rsidRDefault="004F2645" w:rsidP="004F2645">
      <w:pPr>
        <w:ind w:left="720"/>
        <w:jc w:val="both"/>
        <w:rPr>
          <w:rFonts w:ascii="Arial" w:hAnsi="Arial" w:cs="Arial"/>
          <w:i/>
          <w:sz w:val="22"/>
          <w:szCs w:val="22"/>
          <w:lang w:val="es-CR"/>
        </w:rPr>
      </w:pPr>
      <w:r w:rsidRPr="004F2645">
        <w:rPr>
          <w:rFonts w:ascii="Arial" w:hAnsi="Arial" w:cs="Arial"/>
          <w:i/>
          <w:sz w:val="22"/>
          <w:szCs w:val="22"/>
          <w:lang w:val="es-CR"/>
        </w:rPr>
        <w:t>Se detallan a continuación, las Unidades de Posgrado con las condiciones anteriormente mencionadas:</w:t>
      </w:r>
    </w:p>
    <w:p w:rsidR="004F2645" w:rsidRPr="004F2645" w:rsidRDefault="004F2645" w:rsidP="004F2645">
      <w:pPr>
        <w:jc w:val="both"/>
        <w:rPr>
          <w:rFonts w:ascii="Arial" w:eastAsia="Calibri" w:hAnsi="Arial" w:cs="Arial"/>
          <w:i/>
          <w:color w:val="000000"/>
          <w:sz w:val="22"/>
          <w:lang w:val="es-ES_tradnl" w:eastAsia="en-US"/>
        </w:rPr>
      </w:pPr>
    </w:p>
    <w:tbl>
      <w:tblPr>
        <w:tblW w:w="7928" w:type="dxa"/>
        <w:jc w:val="center"/>
        <w:tblCellMar>
          <w:left w:w="0" w:type="dxa"/>
          <w:right w:w="0" w:type="dxa"/>
        </w:tblCellMar>
        <w:tblLook w:val="04A0" w:firstRow="1" w:lastRow="0" w:firstColumn="1" w:lastColumn="0" w:noHBand="0" w:noVBand="1"/>
      </w:tblPr>
      <w:tblGrid>
        <w:gridCol w:w="440"/>
        <w:gridCol w:w="3945"/>
        <w:gridCol w:w="3543"/>
      </w:tblGrid>
      <w:tr w:rsidR="004F2645" w:rsidRPr="004F2645" w:rsidTr="0074702D">
        <w:trPr>
          <w:trHeight w:val="313"/>
          <w:tblHeader/>
          <w:jc w:val="center"/>
        </w:trPr>
        <w:tc>
          <w:tcPr>
            <w:tcW w:w="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2645" w:rsidRPr="004F2645" w:rsidRDefault="004F2645" w:rsidP="004F2645">
            <w:pPr>
              <w:spacing w:after="160" w:line="259" w:lineRule="auto"/>
              <w:jc w:val="both"/>
              <w:rPr>
                <w:rFonts w:ascii="Calibri" w:eastAsia="Calibri" w:hAnsi="Calibri"/>
                <w:b/>
                <w:bCs/>
                <w:sz w:val="18"/>
                <w:szCs w:val="22"/>
                <w:lang w:val="es-CR" w:eastAsia="en-US"/>
              </w:rPr>
            </w:pP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645" w:rsidRPr="004F2645" w:rsidRDefault="004F2645" w:rsidP="004F2645">
            <w:pPr>
              <w:spacing w:after="160" w:line="259" w:lineRule="auto"/>
              <w:jc w:val="both"/>
              <w:rPr>
                <w:rFonts w:ascii="Calibri" w:eastAsia="Calibri" w:hAnsi="Calibri"/>
                <w:b/>
                <w:bCs/>
                <w:sz w:val="18"/>
                <w:szCs w:val="22"/>
                <w:lang w:val="es-CR" w:eastAsia="en-US"/>
              </w:rPr>
            </w:pPr>
            <w:r w:rsidRPr="004F2645">
              <w:rPr>
                <w:rFonts w:ascii="Calibri" w:eastAsia="Calibri" w:hAnsi="Calibri"/>
                <w:b/>
                <w:bCs/>
                <w:sz w:val="18"/>
                <w:szCs w:val="22"/>
                <w:lang w:val="es-CR" w:eastAsia="en-US"/>
              </w:rPr>
              <w:t>Dependencia</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2645" w:rsidRPr="004F2645" w:rsidRDefault="004F2645" w:rsidP="004F2645">
            <w:pPr>
              <w:spacing w:after="160" w:line="259" w:lineRule="auto"/>
              <w:jc w:val="both"/>
              <w:rPr>
                <w:rFonts w:ascii="Calibri" w:eastAsia="Calibri" w:hAnsi="Calibri"/>
                <w:b/>
                <w:bCs/>
                <w:sz w:val="18"/>
                <w:szCs w:val="22"/>
                <w:lang w:val="es-CR" w:eastAsia="en-US"/>
              </w:rPr>
            </w:pPr>
            <w:r w:rsidRPr="004F2645">
              <w:rPr>
                <w:rFonts w:ascii="Calibri" w:eastAsia="Calibri" w:hAnsi="Calibri"/>
                <w:b/>
                <w:bCs/>
                <w:sz w:val="18"/>
                <w:szCs w:val="22"/>
                <w:lang w:val="es-CR" w:eastAsia="en-US"/>
              </w:rPr>
              <w:t>Programa(s) Asociado(s)</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1</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 xml:space="preserve">Escuela de Ingeniería en Electrónica </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Electrónica</w:t>
            </w:r>
          </w:p>
        </w:tc>
      </w:tr>
      <w:tr w:rsidR="004F2645" w:rsidRPr="004F2645" w:rsidTr="0074702D">
        <w:trPr>
          <w:trHeight w:val="1023"/>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3</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Administración de Empresas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Administración de Empresas</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 xml:space="preserve">Maestría en Dirección de Empresas </w:t>
            </w:r>
          </w:p>
          <w:p w:rsidR="004F2645" w:rsidRPr="004F2645" w:rsidRDefault="004F2645" w:rsidP="004F2645">
            <w:pPr>
              <w:spacing w:after="160" w:line="259" w:lineRule="auto"/>
              <w:ind w:right="170"/>
              <w:jc w:val="both"/>
              <w:rPr>
                <w:rFonts w:ascii="Calibri" w:eastAsia="Calibri" w:hAnsi="Calibri"/>
                <w:sz w:val="18"/>
                <w:szCs w:val="22"/>
                <w:lang w:val="es-CR" w:eastAsia="en-US"/>
              </w:rPr>
            </w:pPr>
            <w:r w:rsidRPr="004F2645">
              <w:rPr>
                <w:rFonts w:ascii="Calibri" w:eastAsia="Calibri" w:hAnsi="Calibri"/>
                <w:sz w:val="18"/>
                <w:szCs w:val="22"/>
                <w:lang w:val="es-CR" w:eastAsia="en-US"/>
              </w:rPr>
              <w:t>Doctorado en Dirección de Empresas</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4</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Educación Técnica</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Educación Técnica</w:t>
            </w:r>
          </w:p>
        </w:tc>
      </w:tr>
      <w:tr w:rsidR="004F2645" w:rsidRPr="004F2645" w:rsidTr="0074702D">
        <w:trPr>
          <w:trHeight w:val="979"/>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lastRenderedPageBreak/>
              <w:t>5</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Salud Ocupacional e Higiene Ambiental</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Salud Ocupacional con Mención en Higiene Ambiental</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6</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Ingeniería en Construcción</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Ingeniería Vial</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7</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Ingeniería en Electromecánica</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ind w:right="737"/>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de Administración de la Ingeniería Electromecánica</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8</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Ingeniería en Producción Industrial</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 xml:space="preserve">Maestría en Sistemas Modernos de Manufactura </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Cadena de Abastecimiento</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9</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Ciencia e Ingeniería de los Materiales</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Ingeniería en Dispositivos Médicos</w:t>
            </w:r>
          </w:p>
        </w:tc>
      </w:tr>
      <w:tr w:rsidR="004F2645" w:rsidRPr="004F2645" w:rsidTr="0074702D">
        <w:trPr>
          <w:trHeight w:val="293"/>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10</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Ingeniería en Computación</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Computación</w:t>
            </w:r>
          </w:p>
        </w:tc>
      </w:tr>
      <w:tr w:rsidR="004F2645" w:rsidRPr="004F2645" w:rsidTr="0074702D">
        <w:trPr>
          <w:trHeight w:val="834"/>
          <w:jc w:val="center"/>
        </w:trPr>
        <w:tc>
          <w:tcPr>
            <w:tcW w:w="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11</w:t>
            </w:r>
          </w:p>
        </w:tc>
        <w:tc>
          <w:tcPr>
            <w:tcW w:w="39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Unidad de Posgrado de</w:t>
            </w:r>
          </w:p>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Escuela de ingeniería Forestal</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Calibri" w:eastAsia="Calibri" w:hAnsi="Calibri"/>
                <w:sz w:val="18"/>
                <w:szCs w:val="22"/>
                <w:lang w:val="es-CR" w:eastAsia="en-US"/>
              </w:rPr>
            </w:pPr>
            <w:r w:rsidRPr="004F2645">
              <w:rPr>
                <w:rFonts w:ascii="Calibri" w:eastAsia="Calibri" w:hAnsi="Calibri"/>
                <w:sz w:val="18"/>
                <w:szCs w:val="22"/>
                <w:lang w:val="es-CR" w:eastAsia="en-US"/>
              </w:rPr>
              <w:t>Maestría en  Ciencias Forestales”</w:t>
            </w:r>
          </w:p>
        </w:tc>
      </w:tr>
    </w:tbl>
    <w:p w:rsidR="004F2645" w:rsidRPr="004F2645" w:rsidRDefault="004F2645" w:rsidP="004F2645">
      <w:pPr>
        <w:jc w:val="both"/>
        <w:rPr>
          <w:rFonts w:ascii="Arial" w:eastAsia="Calibri" w:hAnsi="Arial" w:cs="Arial"/>
          <w:color w:val="000000"/>
          <w:lang w:val="es-ES_tradnl" w:eastAsia="en-US"/>
        </w:rPr>
      </w:pPr>
    </w:p>
    <w:p w:rsidR="004F2645" w:rsidRPr="004F2645" w:rsidRDefault="004F2645" w:rsidP="004F2645">
      <w:pPr>
        <w:numPr>
          <w:ilvl w:val="1"/>
          <w:numId w:val="38"/>
        </w:numPr>
        <w:ind w:left="426" w:hanging="426"/>
        <w:jc w:val="both"/>
        <w:rPr>
          <w:rFonts w:ascii="Arial" w:eastAsia="Calibri" w:hAnsi="Arial" w:cs="Arial"/>
          <w:color w:val="000000"/>
          <w:lang w:val="es-ES_tradnl" w:eastAsia="en-US"/>
        </w:rPr>
      </w:pPr>
      <w:r w:rsidRPr="004F2645">
        <w:rPr>
          <w:rFonts w:ascii="Arial" w:eastAsia="Calibri" w:hAnsi="Arial" w:cs="Arial"/>
          <w:color w:val="000000"/>
          <w:lang w:val="es-ES_tradnl" w:eastAsia="en-US"/>
        </w:rPr>
        <w:t xml:space="preserve">La Comisión de Asuntos Académicos y Estudiantiles, en la reunión No.592, celebrada el 15 de junio de 2018, da audiencia a la MAU. Tatiana Fernández y a la Licda. Jenny Zúñiga Valverde, en la cual se aclaran dudas sobre el tema. </w:t>
      </w:r>
    </w:p>
    <w:p w:rsidR="004F2645" w:rsidRPr="004F2645" w:rsidRDefault="004F2645" w:rsidP="004F2645">
      <w:pPr>
        <w:ind w:left="708"/>
        <w:rPr>
          <w:rFonts w:ascii="Arial" w:hAnsi="Arial" w:cs="Arial"/>
          <w:color w:val="000000"/>
          <w:lang w:val="es-ES_tradnl"/>
        </w:rPr>
      </w:pPr>
    </w:p>
    <w:p w:rsidR="004F2645" w:rsidRPr="004F2645" w:rsidRDefault="004F2645" w:rsidP="004F2645">
      <w:pPr>
        <w:numPr>
          <w:ilvl w:val="1"/>
          <w:numId w:val="38"/>
        </w:numPr>
        <w:ind w:left="426" w:hanging="426"/>
        <w:jc w:val="both"/>
        <w:rPr>
          <w:rFonts w:ascii="Arial" w:eastAsia="Calibri" w:hAnsi="Arial" w:cs="Arial"/>
          <w:color w:val="000000"/>
          <w:lang w:val="es-ES_tradnl" w:eastAsia="en-US"/>
        </w:rPr>
      </w:pPr>
      <w:r w:rsidRPr="004F2645">
        <w:rPr>
          <w:rFonts w:ascii="Arial" w:eastAsia="Calibri" w:hAnsi="Arial" w:cs="Arial"/>
          <w:color w:val="000000"/>
          <w:lang w:val="es-ES_tradnl" w:eastAsia="en-US"/>
        </w:rPr>
        <w:t>El Consejo Institucional en Sesión Ordinaria No. 3082, Artículo 7, del 09 de agosto de 2018. Modificación del Artículo 10 del “Reglamento de Creación, Modificación y Eliminación de Unidades del Instituto Tecnológico de Costa Rica”, tomó el siguiente acuerdo: (ver anexo 3)</w:t>
      </w:r>
    </w:p>
    <w:p w:rsidR="004F2645" w:rsidRPr="004F2645" w:rsidRDefault="004F2645" w:rsidP="004F2645">
      <w:pPr>
        <w:ind w:left="720"/>
        <w:jc w:val="both"/>
        <w:rPr>
          <w:rFonts w:ascii="Arial" w:eastAsia="Calibri" w:hAnsi="Arial" w:cs="Arial"/>
          <w:color w:val="000000"/>
          <w:highlight w:val="yellow"/>
          <w:lang w:val="es-ES_tradnl" w:eastAsia="en-US"/>
        </w:rPr>
      </w:pPr>
    </w:p>
    <w:p w:rsidR="004F2645" w:rsidRPr="004F2645" w:rsidRDefault="004F2645" w:rsidP="004F2645">
      <w:pPr>
        <w:ind w:left="993" w:right="333" w:hanging="284"/>
        <w:jc w:val="both"/>
        <w:rPr>
          <w:rFonts w:ascii="Arial" w:eastAsia="Calibri" w:hAnsi="Arial" w:cs="Arial"/>
          <w:i/>
          <w:color w:val="000000"/>
          <w:sz w:val="22"/>
          <w:szCs w:val="22"/>
          <w:lang w:val="es-CR" w:eastAsia="en-US"/>
        </w:rPr>
      </w:pPr>
      <w:r w:rsidRPr="004F2645">
        <w:rPr>
          <w:rFonts w:ascii="Arial" w:eastAsia="Calibri" w:hAnsi="Arial" w:cs="Arial"/>
          <w:color w:val="000000"/>
          <w:sz w:val="22"/>
          <w:szCs w:val="22"/>
          <w:lang w:val="es-CR" w:eastAsia="en-US"/>
        </w:rPr>
        <w:t>“</w:t>
      </w:r>
      <w:r w:rsidRPr="004F2645">
        <w:rPr>
          <w:rFonts w:ascii="Arial" w:eastAsia="Calibri" w:hAnsi="Arial" w:cs="Arial"/>
          <w:b/>
          <w:color w:val="000000"/>
          <w:sz w:val="22"/>
          <w:szCs w:val="22"/>
          <w:lang w:val="es-CR" w:eastAsia="en-US"/>
        </w:rPr>
        <w:t>a</w:t>
      </w:r>
      <w:r w:rsidRPr="004F2645">
        <w:rPr>
          <w:rFonts w:ascii="Arial" w:eastAsia="Calibri" w:hAnsi="Arial" w:cs="Arial"/>
          <w:color w:val="000000"/>
          <w:sz w:val="22"/>
          <w:szCs w:val="22"/>
          <w:lang w:val="es-CR" w:eastAsia="en-US"/>
        </w:rPr>
        <w:t xml:space="preserve">. </w:t>
      </w:r>
      <w:r w:rsidRPr="004F2645">
        <w:rPr>
          <w:rFonts w:ascii="Arial" w:eastAsia="Calibri" w:hAnsi="Arial" w:cs="Arial"/>
          <w:i/>
          <w:color w:val="000000"/>
          <w:sz w:val="22"/>
          <w:szCs w:val="22"/>
          <w:lang w:val="es-CR" w:eastAsia="en-US"/>
        </w:rPr>
        <w:t>Modificar el Artículo 10 del “Reglamento de Creación, Modificación y Eliminación de Unidades del Instituto Tecnológico de Costa Rica”, para que se lea de la siguiente manera:</w:t>
      </w:r>
    </w:p>
    <w:p w:rsidR="004F2645" w:rsidRPr="004F2645" w:rsidRDefault="004F2645" w:rsidP="004F2645">
      <w:pPr>
        <w:ind w:left="993" w:right="333" w:hanging="284"/>
        <w:jc w:val="both"/>
        <w:rPr>
          <w:rFonts w:ascii="Arial" w:eastAsia="Calibri" w:hAnsi="Arial" w:cs="Arial"/>
          <w:i/>
          <w:color w:val="000000"/>
          <w:sz w:val="22"/>
          <w:szCs w:val="22"/>
          <w:lang w:val="es-CR" w:eastAsia="en-US"/>
        </w:rPr>
      </w:pPr>
    </w:p>
    <w:p w:rsidR="004F2645" w:rsidRPr="004F2645" w:rsidRDefault="004F2645" w:rsidP="004F2645">
      <w:pPr>
        <w:ind w:left="993" w:right="333"/>
        <w:jc w:val="both"/>
        <w:rPr>
          <w:rFonts w:ascii="Arial" w:eastAsia="Calibri" w:hAnsi="Arial" w:cs="Arial"/>
          <w:i/>
          <w:sz w:val="22"/>
          <w:szCs w:val="22"/>
          <w:lang w:val="es-CR" w:eastAsia="en-US"/>
        </w:rPr>
      </w:pPr>
      <w:r w:rsidRPr="004F2645">
        <w:rPr>
          <w:rFonts w:ascii="Arial" w:eastAsia="Calibri" w:hAnsi="Arial"/>
          <w:i/>
          <w:sz w:val="22"/>
          <w:szCs w:val="22"/>
          <w:lang w:val="es-CR" w:eastAsia="en-US"/>
        </w:rPr>
        <w:t>Artículo 10</w:t>
      </w:r>
    </w:p>
    <w:p w:rsidR="004F2645" w:rsidRPr="004F2645" w:rsidRDefault="004F2645" w:rsidP="004F2645">
      <w:pPr>
        <w:ind w:left="993" w:right="333"/>
        <w:jc w:val="both"/>
        <w:rPr>
          <w:rFonts w:ascii="Arial" w:eastAsia="Calibri" w:hAnsi="Arial" w:cs="Arial"/>
          <w:i/>
          <w:sz w:val="22"/>
          <w:szCs w:val="22"/>
          <w:lang w:val="es-CR" w:eastAsia="en-US"/>
        </w:rPr>
      </w:pPr>
      <w:r w:rsidRPr="004F2645">
        <w:rPr>
          <w:rFonts w:ascii="Arial" w:eastAsia="Calibri" w:hAnsi="Arial" w:cs="Arial"/>
          <w:i/>
          <w:sz w:val="22"/>
          <w:szCs w:val="22"/>
          <w:lang w:val="es-CR" w:eastAsia="en-US"/>
        </w:rPr>
        <w:t xml:space="preserve">La creación de unidades en Departamentos Académicos requiere de un acuerdo del Consejo Institucional, según conveniencia institucional y recomendación técnica. </w:t>
      </w:r>
    </w:p>
    <w:p w:rsidR="004F2645" w:rsidRPr="004F2645" w:rsidRDefault="004F2645" w:rsidP="004F2645">
      <w:pPr>
        <w:ind w:left="993" w:right="333" w:hanging="284"/>
        <w:jc w:val="both"/>
        <w:rPr>
          <w:rFonts w:ascii="Arial" w:eastAsia="Calibri" w:hAnsi="Arial" w:cs="Arial"/>
          <w:i/>
          <w:sz w:val="22"/>
          <w:szCs w:val="22"/>
          <w:lang w:val="es-CR" w:eastAsia="en-US"/>
        </w:rPr>
      </w:pPr>
      <w:r w:rsidRPr="004F2645">
        <w:rPr>
          <w:rFonts w:ascii="Arial" w:eastAsia="Cambria" w:hAnsi="Arial" w:cs="Arial"/>
          <w:i/>
          <w:sz w:val="22"/>
          <w:szCs w:val="22"/>
          <w:lang w:val="es-CR" w:eastAsia="en-US"/>
        </w:rPr>
        <w:t>b. Comunicar</w:t>
      </w:r>
      <w:r w:rsidRPr="004F2645">
        <w:rPr>
          <w:rFonts w:ascii="Arial" w:eastAsia="Calibri" w:hAnsi="Arial" w:cs="Arial"/>
          <w:i/>
          <w:sz w:val="22"/>
          <w:szCs w:val="22"/>
          <w:lang w:val="es-CR" w:eastAsia="en-US"/>
        </w:rPr>
        <w:t>.  ACUERDO FIRME.”</w:t>
      </w:r>
    </w:p>
    <w:p w:rsidR="004F2645" w:rsidRPr="004F2645" w:rsidRDefault="004F2645" w:rsidP="004F2645">
      <w:pPr>
        <w:ind w:left="720"/>
        <w:jc w:val="both"/>
        <w:rPr>
          <w:rFonts w:ascii="Arial" w:eastAsia="Calibri" w:hAnsi="Arial" w:cs="Arial"/>
          <w:color w:val="000000"/>
          <w:highlight w:val="yellow"/>
          <w:lang w:val="es-ES_tradnl" w:eastAsia="en-US"/>
        </w:rPr>
      </w:pPr>
    </w:p>
    <w:p w:rsidR="004F2645" w:rsidRPr="004F2645" w:rsidRDefault="004F2645" w:rsidP="004F2645">
      <w:pPr>
        <w:numPr>
          <w:ilvl w:val="1"/>
          <w:numId w:val="38"/>
        </w:numPr>
        <w:ind w:left="426" w:hanging="426"/>
        <w:jc w:val="both"/>
        <w:rPr>
          <w:rFonts w:ascii="Arial" w:eastAsia="Calibri" w:hAnsi="Arial" w:cs="Arial"/>
          <w:lang w:val="es-ES_tradnl" w:eastAsia="en-US"/>
        </w:rPr>
      </w:pPr>
      <w:r w:rsidRPr="004F2645">
        <w:rPr>
          <w:rFonts w:ascii="Arial" w:eastAsia="Calibri" w:hAnsi="Arial" w:cs="Arial"/>
          <w:lang w:val="es-ES_tradnl" w:eastAsia="en-US"/>
        </w:rPr>
        <w:t xml:space="preserve">El tamaño actual de la Escuela de Educación Técnica hace recomendable que se mantenga la figura de administración de la maestría en Educación Técnica, a saber, que esté directamente dirigida por el Director de la Escuela, hasta que por conveniencia institucional y recomendación técnica corresponda variar esa modalidad. </w:t>
      </w:r>
    </w:p>
    <w:p w:rsidR="004F2645" w:rsidRPr="004F2645" w:rsidRDefault="004F2645" w:rsidP="004F2645">
      <w:pPr>
        <w:numPr>
          <w:ilvl w:val="1"/>
          <w:numId w:val="38"/>
        </w:numPr>
        <w:ind w:left="426" w:hanging="426"/>
        <w:jc w:val="both"/>
        <w:rPr>
          <w:rFonts w:ascii="Arial" w:eastAsia="Calibri" w:hAnsi="Arial" w:cs="Arial"/>
          <w:color w:val="000000"/>
          <w:lang w:val="es-ES_tradnl" w:eastAsia="en-US"/>
        </w:rPr>
      </w:pPr>
      <w:r w:rsidRPr="004F2645">
        <w:rPr>
          <w:rFonts w:ascii="Arial" w:eastAsia="Calibri" w:hAnsi="Arial" w:cs="Arial"/>
          <w:color w:val="000000"/>
          <w:lang w:val="es-ES_tradnl" w:eastAsia="en-US"/>
        </w:rPr>
        <w:lastRenderedPageBreak/>
        <w:t>La Comisión de Asuntos Académicos y Estudiantiles, en la reunión No.</w:t>
      </w:r>
      <w:r>
        <w:rPr>
          <w:rFonts w:ascii="Arial" w:eastAsia="Calibri" w:hAnsi="Arial" w:cs="Arial"/>
          <w:color w:val="000000"/>
          <w:lang w:val="es-ES_tradnl" w:eastAsia="en-US"/>
        </w:rPr>
        <w:t xml:space="preserve"> </w:t>
      </w:r>
      <w:r w:rsidRPr="004F2645">
        <w:rPr>
          <w:rFonts w:ascii="Arial" w:eastAsia="Calibri" w:hAnsi="Arial" w:cs="Arial"/>
          <w:color w:val="000000"/>
          <w:lang w:val="es-ES_tradnl" w:eastAsia="en-US"/>
        </w:rPr>
        <w:t xml:space="preserve">596, celebrada el 10 de agosto de 2018, revisa la propuesta y dispone elevarla al pleno. </w:t>
      </w:r>
    </w:p>
    <w:p w:rsidR="004F2645" w:rsidRPr="004F2645" w:rsidRDefault="004F2645" w:rsidP="004F2645">
      <w:pPr>
        <w:jc w:val="both"/>
        <w:rPr>
          <w:rFonts w:ascii="Arial" w:eastAsia="Calibri" w:hAnsi="Arial" w:cs="Arial"/>
          <w:color w:val="000000"/>
          <w:sz w:val="22"/>
          <w:szCs w:val="22"/>
          <w:lang w:val="es-ES_tradnl" w:eastAsia="en-US"/>
        </w:rPr>
      </w:pPr>
    </w:p>
    <w:p w:rsidR="004F2645" w:rsidRPr="004F2645" w:rsidRDefault="004F2645" w:rsidP="004F2645">
      <w:pPr>
        <w:ind w:left="-284"/>
        <w:jc w:val="both"/>
        <w:rPr>
          <w:rFonts w:ascii="Arial" w:eastAsia="Calibri" w:hAnsi="Arial" w:cs="Arial"/>
          <w:b/>
          <w:color w:val="000000"/>
          <w:lang w:val="es-CR" w:eastAsia="en-US"/>
        </w:rPr>
      </w:pPr>
      <w:r w:rsidRPr="004F2645">
        <w:rPr>
          <w:rFonts w:ascii="Arial" w:eastAsia="Calibri" w:hAnsi="Arial" w:cs="Arial"/>
          <w:b/>
          <w:color w:val="000000"/>
          <w:lang w:val="es-CR" w:eastAsia="en-US"/>
        </w:rPr>
        <w:t>SE</w:t>
      </w:r>
      <w:r>
        <w:rPr>
          <w:rFonts w:ascii="Arial" w:eastAsia="Calibri" w:hAnsi="Arial" w:cs="Arial"/>
          <w:b/>
          <w:color w:val="000000"/>
          <w:lang w:val="es-CR" w:eastAsia="en-US"/>
        </w:rPr>
        <w:t xml:space="preserve"> ACUERDA</w:t>
      </w:r>
      <w:r w:rsidRPr="004F2645">
        <w:rPr>
          <w:rFonts w:ascii="Arial" w:eastAsia="Calibri" w:hAnsi="Arial" w:cs="Arial"/>
          <w:b/>
          <w:color w:val="000000"/>
          <w:lang w:val="es-CR" w:eastAsia="en-US"/>
        </w:rPr>
        <w:t>:</w:t>
      </w:r>
    </w:p>
    <w:p w:rsidR="004F2645" w:rsidRPr="004F2645" w:rsidRDefault="004F2645" w:rsidP="004F2645">
      <w:pPr>
        <w:ind w:left="-284"/>
        <w:jc w:val="both"/>
        <w:rPr>
          <w:rFonts w:ascii="Arial" w:eastAsia="Calibri" w:hAnsi="Arial" w:cs="Arial"/>
          <w:b/>
          <w:color w:val="000000"/>
          <w:lang w:val="es-CR" w:eastAsia="en-US"/>
        </w:rPr>
      </w:pPr>
    </w:p>
    <w:p w:rsidR="004F2645" w:rsidRPr="004F2645" w:rsidRDefault="004F2645" w:rsidP="004F2645">
      <w:pPr>
        <w:numPr>
          <w:ilvl w:val="0"/>
          <w:numId w:val="40"/>
        </w:numPr>
        <w:ind w:left="142" w:hanging="426"/>
        <w:jc w:val="both"/>
        <w:rPr>
          <w:rFonts w:ascii="Arial" w:hAnsi="Arial" w:cs="Arial"/>
          <w:b/>
          <w:color w:val="000000"/>
          <w:lang w:val="es-CR"/>
        </w:rPr>
      </w:pPr>
      <w:r w:rsidRPr="004F2645">
        <w:rPr>
          <w:rFonts w:ascii="Arial" w:hAnsi="Arial" w:cs="Arial"/>
          <w:color w:val="000000"/>
          <w:lang w:val="es-CR"/>
        </w:rPr>
        <w:t>Ratificar la categorización de las siguientes unidades de posgrado, tomando como base el Artículo 5 Bis del Reglamento de Creación, Modificación y Eliminación de Unidades en departamentos del ITCR:</w:t>
      </w:r>
    </w:p>
    <w:p w:rsidR="004F2645" w:rsidRPr="004F2645" w:rsidRDefault="004F2645" w:rsidP="004F2645">
      <w:pPr>
        <w:jc w:val="both"/>
        <w:rPr>
          <w:rFonts w:ascii="Arial" w:hAnsi="Arial" w:cs="Arial"/>
          <w:i/>
          <w:sz w:val="20"/>
          <w:szCs w:val="20"/>
        </w:rPr>
      </w:pPr>
    </w:p>
    <w:tbl>
      <w:tblPr>
        <w:tblW w:w="7655" w:type="dxa"/>
        <w:jc w:val="center"/>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77"/>
        <w:gridCol w:w="3544"/>
        <w:gridCol w:w="1134"/>
      </w:tblGrid>
      <w:tr w:rsidR="004F2645" w:rsidRPr="004F2645" w:rsidTr="0074702D">
        <w:trPr>
          <w:trHeight w:val="313"/>
          <w:tblHeader/>
          <w:jc w:val="center"/>
        </w:trPr>
        <w:tc>
          <w:tcPr>
            <w:tcW w:w="2977" w:type="dxa"/>
            <w:shd w:val="clear" w:color="auto" w:fill="DEEAF6"/>
            <w:tcMar>
              <w:top w:w="0" w:type="dxa"/>
              <w:left w:w="108" w:type="dxa"/>
              <w:bottom w:w="0" w:type="dxa"/>
              <w:right w:w="108" w:type="dxa"/>
            </w:tcMar>
            <w:vAlign w:val="center"/>
            <w:hideMark/>
          </w:tcPr>
          <w:p w:rsidR="004F2645" w:rsidRPr="004F2645" w:rsidRDefault="004F2645" w:rsidP="004F2645">
            <w:pPr>
              <w:spacing w:after="160" w:line="259" w:lineRule="auto"/>
              <w:jc w:val="center"/>
              <w:rPr>
                <w:rFonts w:ascii="Arial" w:eastAsia="Calibri" w:hAnsi="Arial" w:cs="Arial"/>
                <w:b/>
                <w:bCs/>
                <w:i/>
                <w:sz w:val="18"/>
                <w:szCs w:val="22"/>
                <w:lang w:val="es-CR" w:eastAsia="en-US"/>
              </w:rPr>
            </w:pPr>
            <w:r w:rsidRPr="004F2645">
              <w:rPr>
                <w:rFonts w:ascii="Arial" w:eastAsia="Calibri" w:hAnsi="Arial" w:cs="Arial"/>
                <w:b/>
                <w:bCs/>
                <w:i/>
                <w:sz w:val="18"/>
                <w:szCs w:val="22"/>
                <w:lang w:val="es-CR" w:eastAsia="en-US"/>
              </w:rPr>
              <w:t xml:space="preserve">Unidad </w:t>
            </w:r>
          </w:p>
        </w:tc>
        <w:tc>
          <w:tcPr>
            <w:tcW w:w="3544" w:type="dxa"/>
            <w:shd w:val="clear" w:color="auto" w:fill="DEEAF6"/>
            <w:tcMar>
              <w:top w:w="0" w:type="dxa"/>
              <w:left w:w="108" w:type="dxa"/>
              <w:bottom w:w="0" w:type="dxa"/>
              <w:right w:w="108" w:type="dxa"/>
            </w:tcMar>
            <w:vAlign w:val="center"/>
            <w:hideMark/>
          </w:tcPr>
          <w:p w:rsidR="004F2645" w:rsidRPr="004F2645" w:rsidRDefault="004F2645" w:rsidP="004F2645">
            <w:pPr>
              <w:spacing w:after="160" w:line="259" w:lineRule="auto"/>
              <w:jc w:val="center"/>
              <w:rPr>
                <w:rFonts w:ascii="Arial" w:eastAsia="Calibri" w:hAnsi="Arial" w:cs="Arial"/>
                <w:b/>
                <w:bCs/>
                <w:i/>
                <w:sz w:val="18"/>
                <w:szCs w:val="22"/>
                <w:lang w:val="es-CR" w:eastAsia="en-US"/>
              </w:rPr>
            </w:pPr>
            <w:r w:rsidRPr="004F2645">
              <w:rPr>
                <w:rFonts w:ascii="Arial" w:eastAsia="Calibri" w:hAnsi="Arial" w:cs="Arial"/>
                <w:b/>
                <w:bCs/>
                <w:i/>
                <w:sz w:val="18"/>
                <w:szCs w:val="22"/>
                <w:lang w:val="es-CR" w:eastAsia="en-US"/>
              </w:rPr>
              <w:t>Programa(s) Asociado(s)</w:t>
            </w:r>
          </w:p>
        </w:tc>
        <w:tc>
          <w:tcPr>
            <w:tcW w:w="1134" w:type="dxa"/>
            <w:shd w:val="clear" w:color="auto" w:fill="DEEAF6"/>
            <w:vAlign w:val="center"/>
          </w:tcPr>
          <w:p w:rsidR="004F2645" w:rsidRPr="004F2645" w:rsidRDefault="004F2645" w:rsidP="004F2645">
            <w:pPr>
              <w:spacing w:after="160" w:line="259" w:lineRule="auto"/>
              <w:jc w:val="center"/>
              <w:rPr>
                <w:rFonts w:ascii="Arial" w:eastAsia="Calibri" w:hAnsi="Arial" w:cs="Arial"/>
                <w:b/>
                <w:bCs/>
                <w:i/>
                <w:sz w:val="18"/>
                <w:szCs w:val="22"/>
                <w:lang w:val="es-CR" w:eastAsia="en-US"/>
              </w:rPr>
            </w:pPr>
            <w:r w:rsidRPr="004F2645">
              <w:rPr>
                <w:rFonts w:ascii="Arial" w:eastAsia="Calibri" w:hAnsi="Arial" w:cs="Arial"/>
                <w:b/>
                <w:bCs/>
                <w:i/>
                <w:sz w:val="18"/>
                <w:szCs w:val="22"/>
                <w:lang w:val="es-CR" w:eastAsia="en-US"/>
              </w:rPr>
              <w:t>Categoría</w:t>
            </w:r>
          </w:p>
        </w:tc>
      </w:tr>
      <w:tr w:rsidR="004F2645" w:rsidRPr="004F2645" w:rsidTr="0074702D">
        <w:trPr>
          <w:trHeight w:val="834"/>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 xml:space="preserve">Unidad de Posgrado de la Escuela de Ingeniería en Electrónica </w:t>
            </w:r>
          </w:p>
        </w:tc>
        <w:tc>
          <w:tcPr>
            <w:tcW w:w="3544"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Maestría en Electrónica</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1023"/>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Administración de Empresas</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en Administración de Empresas</w:t>
            </w:r>
          </w:p>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 xml:space="preserve">Maestría en Dirección de Empresas </w:t>
            </w:r>
          </w:p>
          <w:p w:rsidR="004F2645" w:rsidRPr="004F2645" w:rsidRDefault="004F2645" w:rsidP="004F2645">
            <w:pPr>
              <w:numPr>
                <w:ilvl w:val="0"/>
                <w:numId w:val="41"/>
              </w:numPr>
              <w:spacing w:after="160" w:line="259" w:lineRule="auto"/>
              <w:ind w:left="176" w:right="170" w:hanging="176"/>
              <w:contextualSpacing/>
              <w:jc w:val="both"/>
              <w:rPr>
                <w:rFonts w:ascii="Arial" w:hAnsi="Arial" w:cs="Arial"/>
                <w:i/>
                <w:sz w:val="18"/>
                <w:szCs w:val="20"/>
                <w:lang w:val="es-CR"/>
              </w:rPr>
            </w:pPr>
            <w:r w:rsidRPr="004F2645">
              <w:rPr>
                <w:rFonts w:ascii="Arial" w:hAnsi="Arial" w:cs="Arial"/>
                <w:i/>
                <w:sz w:val="18"/>
                <w:szCs w:val="20"/>
                <w:lang w:val="es-CR"/>
              </w:rPr>
              <w:t>Doctorado en Dirección de Empresas</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979"/>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Salud Ocupacional e Higiene Ambiental</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Salud Ocupacional con Mención en Higiene Ambiental</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834"/>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Ingeniería en Construcción</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en Ingeniería Vial</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834"/>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Ingeniería en Electromecánica</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de Administración de la Ingeniería Electromecánica</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834"/>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Ingeniería en Producción Industrial</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 xml:space="preserve">Maestría en Sistemas Modernos de Manufactura </w:t>
            </w:r>
          </w:p>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en Cadena de Abastecimiento</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834"/>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Ciencia e Ingeniería de los Materiales</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en Ingeniería en Dispositivos Médicos</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293"/>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Ingeniería en Computación</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en Computación</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r w:rsidR="004F2645" w:rsidRPr="004F2645" w:rsidTr="0074702D">
        <w:trPr>
          <w:trHeight w:val="834"/>
          <w:jc w:val="center"/>
        </w:trPr>
        <w:tc>
          <w:tcPr>
            <w:tcW w:w="2977" w:type="dxa"/>
            <w:tcMar>
              <w:top w:w="0" w:type="dxa"/>
              <w:left w:w="108" w:type="dxa"/>
              <w:bottom w:w="0" w:type="dxa"/>
              <w:right w:w="108" w:type="dxa"/>
            </w:tcMar>
            <w:vAlign w:val="center"/>
            <w:hideMark/>
          </w:tcPr>
          <w:p w:rsidR="004F2645" w:rsidRPr="004F2645" w:rsidRDefault="004F2645" w:rsidP="004F2645">
            <w:pPr>
              <w:spacing w:after="160" w:line="259" w:lineRule="auto"/>
              <w:jc w:val="both"/>
              <w:rPr>
                <w:rFonts w:ascii="Arial" w:eastAsia="Calibri" w:hAnsi="Arial" w:cs="Arial"/>
                <w:i/>
                <w:sz w:val="18"/>
                <w:szCs w:val="22"/>
                <w:lang w:val="es-CR" w:eastAsia="en-US"/>
              </w:rPr>
            </w:pPr>
            <w:r w:rsidRPr="004F2645">
              <w:rPr>
                <w:rFonts w:ascii="Arial" w:eastAsia="Calibri" w:hAnsi="Arial" w:cs="Arial"/>
                <w:i/>
                <w:sz w:val="18"/>
                <w:szCs w:val="22"/>
                <w:lang w:val="es-CR" w:eastAsia="en-US"/>
              </w:rPr>
              <w:t>Unidad de Posgrado de la Escuela de ingeniería Forestal</w:t>
            </w:r>
          </w:p>
        </w:tc>
        <w:tc>
          <w:tcPr>
            <w:tcW w:w="3544" w:type="dxa"/>
            <w:tcMar>
              <w:top w:w="0" w:type="dxa"/>
              <w:left w:w="108" w:type="dxa"/>
              <w:bottom w:w="0" w:type="dxa"/>
              <w:right w:w="108" w:type="dxa"/>
            </w:tcMar>
            <w:vAlign w:val="center"/>
            <w:hideMark/>
          </w:tcPr>
          <w:p w:rsidR="004F2645" w:rsidRPr="004F2645" w:rsidRDefault="004F2645" w:rsidP="004F2645">
            <w:pPr>
              <w:numPr>
                <w:ilvl w:val="0"/>
                <w:numId w:val="41"/>
              </w:numPr>
              <w:spacing w:after="160" w:line="259" w:lineRule="auto"/>
              <w:ind w:left="176" w:hanging="176"/>
              <w:contextualSpacing/>
              <w:jc w:val="both"/>
              <w:rPr>
                <w:rFonts w:ascii="Arial" w:hAnsi="Arial" w:cs="Arial"/>
                <w:i/>
                <w:sz w:val="18"/>
                <w:szCs w:val="20"/>
                <w:lang w:val="es-CR"/>
              </w:rPr>
            </w:pPr>
            <w:r w:rsidRPr="004F2645">
              <w:rPr>
                <w:rFonts w:ascii="Arial" w:hAnsi="Arial" w:cs="Arial"/>
                <w:i/>
                <w:sz w:val="18"/>
                <w:szCs w:val="20"/>
                <w:lang w:val="es-CR"/>
              </w:rPr>
              <w:t>Maestría en  Ciencias Forestales</w:t>
            </w:r>
          </w:p>
        </w:tc>
        <w:tc>
          <w:tcPr>
            <w:tcW w:w="1134" w:type="dxa"/>
            <w:vAlign w:val="center"/>
          </w:tcPr>
          <w:p w:rsidR="004F2645" w:rsidRPr="004F2645" w:rsidRDefault="004F2645" w:rsidP="004F2645">
            <w:pPr>
              <w:spacing w:after="160" w:line="259" w:lineRule="auto"/>
              <w:jc w:val="center"/>
              <w:rPr>
                <w:rFonts w:ascii="Arial" w:eastAsia="Calibri" w:hAnsi="Arial" w:cs="Arial"/>
                <w:i/>
                <w:sz w:val="18"/>
                <w:szCs w:val="22"/>
                <w:lang w:val="es-CR" w:eastAsia="en-US"/>
              </w:rPr>
            </w:pPr>
            <w:r w:rsidRPr="004F2645">
              <w:rPr>
                <w:rFonts w:ascii="Arial" w:eastAsia="Calibri" w:hAnsi="Arial" w:cs="Arial"/>
                <w:i/>
                <w:sz w:val="18"/>
                <w:szCs w:val="22"/>
                <w:lang w:val="es-CR" w:eastAsia="en-US"/>
              </w:rPr>
              <w:t>4</w:t>
            </w:r>
          </w:p>
        </w:tc>
      </w:tr>
    </w:tbl>
    <w:p w:rsidR="004F2645" w:rsidRPr="004F2645" w:rsidRDefault="004F2645" w:rsidP="004F2645">
      <w:pPr>
        <w:jc w:val="both"/>
        <w:rPr>
          <w:rFonts w:ascii="Arial" w:hAnsi="Arial" w:cs="Arial"/>
          <w:i/>
          <w:sz w:val="20"/>
          <w:szCs w:val="20"/>
        </w:rPr>
      </w:pPr>
    </w:p>
    <w:p w:rsidR="004F2645" w:rsidRPr="004F2645" w:rsidRDefault="004F2645" w:rsidP="004F2645">
      <w:pPr>
        <w:ind w:right="-91"/>
        <w:jc w:val="both"/>
        <w:rPr>
          <w:rFonts w:ascii="Arial" w:eastAsia="Calibri" w:hAnsi="Arial" w:cs="Arial"/>
          <w:color w:val="000000"/>
          <w:lang w:val="es-CR" w:eastAsia="en-US"/>
        </w:rPr>
      </w:pPr>
    </w:p>
    <w:p w:rsidR="00BB6A5E" w:rsidRPr="004F2645" w:rsidRDefault="00BB6A5E" w:rsidP="004F2645">
      <w:pPr>
        <w:numPr>
          <w:ilvl w:val="0"/>
          <w:numId w:val="40"/>
        </w:numPr>
        <w:spacing w:after="160" w:line="259" w:lineRule="auto"/>
        <w:ind w:left="142" w:hanging="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2645" w:rsidRDefault="004F2645" w:rsidP="004F2645">
      <w:pPr>
        <w:spacing w:after="160" w:line="259" w:lineRule="auto"/>
        <w:jc w:val="both"/>
        <w:rPr>
          <w:rFonts w:ascii="Arial" w:hAnsi="Arial" w:cs="Arial"/>
        </w:rPr>
      </w:pPr>
    </w:p>
    <w:p w:rsidR="004F2645" w:rsidRPr="004F2645" w:rsidRDefault="004F2645" w:rsidP="004F2645">
      <w:pPr>
        <w:ind w:right="-91"/>
        <w:jc w:val="both"/>
        <w:rPr>
          <w:rFonts w:ascii="Arial" w:eastAsia="Calibri" w:hAnsi="Arial" w:cs="Arial"/>
          <w:b/>
          <w:color w:val="000000"/>
          <w:sz w:val="22"/>
          <w:szCs w:val="22"/>
          <w:lang w:eastAsia="en-US"/>
        </w:rPr>
      </w:pPr>
      <w:r w:rsidRPr="004F2645">
        <w:rPr>
          <w:rFonts w:ascii="Arial" w:eastAsia="Calibri" w:hAnsi="Arial" w:cs="Arial"/>
          <w:b/>
          <w:color w:val="000000"/>
          <w:sz w:val="22"/>
          <w:szCs w:val="22"/>
          <w:lang w:eastAsia="en-US"/>
        </w:rPr>
        <w:t>Palabras clave:  Categorización –Homologación- Unidades-Posgrado</w:t>
      </w:r>
    </w:p>
    <w:p w:rsidR="004F2645" w:rsidRDefault="004F2645" w:rsidP="004F2645">
      <w:pPr>
        <w:jc w:val="both"/>
        <w:rPr>
          <w:rFonts w:ascii="Arial" w:hAnsi="Arial" w:cs="Arial"/>
          <w:b/>
          <w:lang w:val="es-CR"/>
        </w:rPr>
      </w:pPr>
    </w:p>
    <w:p w:rsidR="004F2645" w:rsidRDefault="004F2645" w:rsidP="004F2645">
      <w:pPr>
        <w:jc w:val="both"/>
        <w:rPr>
          <w:rFonts w:ascii="Arial" w:hAnsi="Arial" w:cs="Arial"/>
          <w:b/>
          <w:lang w:val="es-CR"/>
        </w:rPr>
      </w:pPr>
    </w:p>
    <w:p w:rsidR="004F2645" w:rsidRPr="004F2645" w:rsidRDefault="004F2645" w:rsidP="004F2645">
      <w:pPr>
        <w:keepNext/>
        <w:spacing w:after="160" w:line="259" w:lineRule="auto"/>
        <w:jc w:val="both"/>
        <w:outlineLvl w:val="6"/>
        <w:rPr>
          <w:rFonts w:ascii="Arial" w:eastAsia="Calibri" w:hAnsi="Arial" w:cs="Arial"/>
          <w:b/>
          <w:sz w:val="16"/>
          <w:szCs w:val="16"/>
          <w:lang w:val="es-CR" w:eastAsia="en-US"/>
        </w:rPr>
      </w:pPr>
      <w:r w:rsidRPr="004F2645">
        <w:rPr>
          <w:rFonts w:ascii="Arial" w:eastAsia="Calibri" w:hAnsi="Arial" w:cs="Arial"/>
          <w:b/>
          <w:sz w:val="16"/>
          <w:szCs w:val="16"/>
          <w:lang w:val="es-CR" w:eastAsia="en-US"/>
        </w:rPr>
        <w:lastRenderedPageBreak/>
        <w:t xml:space="preserve">Anexo 1                                            Anexo 2                                                     Anexo 3 </w:t>
      </w:r>
    </w:p>
    <w:p w:rsidR="004F2645" w:rsidRPr="004F2645" w:rsidRDefault="004F2645" w:rsidP="004F2645">
      <w:pPr>
        <w:keepNext/>
        <w:spacing w:after="160" w:line="259" w:lineRule="auto"/>
        <w:jc w:val="both"/>
        <w:outlineLvl w:val="6"/>
        <w:rPr>
          <w:rFonts w:ascii="Arial" w:eastAsia="Calibri" w:hAnsi="Arial" w:cs="Arial"/>
          <w:b/>
          <w:sz w:val="16"/>
          <w:szCs w:val="16"/>
          <w:lang w:val="es-CR" w:eastAsia="en-US"/>
        </w:rPr>
      </w:pPr>
      <w:r w:rsidRPr="004F2645">
        <w:rPr>
          <w:rFonts w:ascii="Arial" w:eastAsia="Calibri" w:hAnsi="Arial" w:cs="Arial"/>
          <w:b/>
          <w:sz w:val="16"/>
          <w:szCs w:val="16"/>
          <w:lang w:val="es-CR" w:eastAsia="en-US"/>
        </w:rPr>
        <w:t xml:space="preserve">   </w:t>
      </w:r>
      <w:bookmarkStart w:id="1" w:name="_MON_1595420189"/>
      <w:bookmarkEnd w:id="1"/>
      <w:r w:rsidRPr="004F2645">
        <w:rPr>
          <w:rFonts w:ascii="Arial" w:eastAsia="Calibri" w:hAnsi="Arial" w:cs="Arial"/>
          <w:b/>
          <w:sz w:val="16"/>
          <w:szCs w:val="16"/>
          <w:lang w:val="es-CR" w:eastAsia="en-US"/>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9.45pt" o:ole="">
            <v:imagedata r:id="rId8" o:title=""/>
          </v:shape>
          <o:OLEObject Type="Embed" ProgID="Word.Document.12" ShapeID="_x0000_i1025" DrawAspect="Icon" ObjectID="_1596019639" r:id="rId9">
            <o:FieldCodes>\s</o:FieldCodes>
          </o:OLEObject>
        </w:object>
      </w:r>
      <w:r w:rsidRPr="004F2645">
        <w:rPr>
          <w:rFonts w:ascii="Arial" w:eastAsia="Calibri" w:hAnsi="Arial" w:cs="Arial"/>
          <w:b/>
          <w:sz w:val="16"/>
          <w:szCs w:val="16"/>
          <w:lang w:val="es-CR" w:eastAsia="en-US"/>
        </w:rPr>
        <w:t xml:space="preserve">                    </w:t>
      </w:r>
      <w:bookmarkStart w:id="2" w:name="_MON_1595420114"/>
      <w:bookmarkEnd w:id="2"/>
      <w:r w:rsidRPr="004F2645">
        <w:rPr>
          <w:rFonts w:ascii="Arial" w:eastAsia="Calibri" w:hAnsi="Arial" w:cs="Arial"/>
          <w:b/>
          <w:sz w:val="16"/>
          <w:szCs w:val="16"/>
          <w:lang w:val="es-CR" w:eastAsia="en-US"/>
        </w:rPr>
        <w:object w:dxaOrig="1539" w:dyaOrig="994">
          <v:shape id="_x0000_i1026" type="#_x0000_t75" style="width:78.25pt;height:49.45pt" o:ole="">
            <v:imagedata r:id="rId10" o:title=""/>
          </v:shape>
          <o:OLEObject Type="Embed" ProgID="Word.Document.8" ShapeID="_x0000_i1026" DrawAspect="Icon" ObjectID="_1596019640" r:id="rId11">
            <o:FieldCodes>\s</o:FieldCodes>
          </o:OLEObject>
        </w:object>
      </w:r>
      <w:r w:rsidRPr="004F2645">
        <w:rPr>
          <w:rFonts w:ascii="Arial" w:eastAsia="Calibri" w:hAnsi="Arial" w:cs="Arial"/>
          <w:b/>
          <w:sz w:val="16"/>
          <w:szCs w:val="16"/>
          <w:lang w:val="es-CR" w:eastAsia="en-US"/>
        </w:rPr>
        <w:t xml:space="preserve">                         </w:t>
      </w:r>
      <w:bookmarkStart w:id="3" w:name="_MON_1595663085"/>
      <w:bookmarkEnd w:id="3"/>
      <w:r w:rsidRPr="004F2645">
        <w:rPr>
          <w:rFonts w:ascii="Arial" w:eastAsia="Calibri" w:hAnsi="Arial" w:cs="Arial"/>
          <w:b/>
          <w:sz w:val="16"/>
          <w:szCs w:val="16"/>
          <w:lang w:val="es-CR" w:eastAsia="en-US"/>
        </w:rPr>
        <w:object w:dxaOrig="1539" w:dyaOrig="994">
          <v:shape id="_x0000_i1027" type="#_x0000_t75" style="width:78.25pt;height:49.45pt" o:ole="">
            <v:imagedata r:id="rId12" o:title=""/>
          </v:shape>
          <o:OLEObject Type="Embed" ProgID="Word.Document.12" ShapeID="_x0000_i1027" DrawAspect="Icon" ObjectID="_1596019641" r:id="rId13">
            <o:FieldCodes>\s</o:FieldCodes>
          </o:OLEObject>
        </w:object>
      </w:r>
    </w:p>
    <w:p w:rsidR="004F2645" w:rsidRDefault="004F2645" w:rsidP="004F2645">
      <w:pPr>
        <w:jc w:val="both"/>
        <w:rPr>
          <w:rFonts w:ascii="Arial" w:hAnsi="Arial" w:cs="Arial"/>
          <w:b/>
          <w:lang w:val="es-CR"/>
        </w:rPr>
      </w:pPr>
    </w:p>
    <w:p w:rsidR="004F2645" w:rsidRPr="00ED1939" w:rsidRDefault="004F2645" w:rsidP="004F2645">
      <w:pPr>
        <w:jc w:val="both"/>
        <w:rPr>
          <w:rFonts w:ascii="Arial" w:hAnsi="Arial" w:cs="Arial"/>
        </w:rPr>
      </w:pPr>
    </w:p>
    <w:p w:rsidR="00ED1939" w:rsidRPr="00B17C67" w:rsidRDefault="00ED1939" w:rsidP="00ED1939">
      <w:pPr>
        <w:ind w:left="392" w:right="-91"/>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D23326" w:rsidRPr="004F2645" w:rsidRDefault="00475D28" w:rsidP="00A1639A">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p>
    <w:p w:rsidR="002C0D34" w:rsidRPr="004F2645" w:rsidRDefault="002C0D34" w:rsidP="00885F0A">
      <w:pPr>
        <w:jc w:val="both"/>
        <w:rPr>
          <w:rFonts w:ascii="Arial" w:eastAsia="Cambria" w:hAnsi="Arial" w:cs="Arial"/>
          <w:b/>
          <w:sz w:val="16"/>
          <w:szCs w:val="16"/>
          <w:lang w:val="es-CR" w:eastAsia="en-US"/>
        </w:rPr>
      </w:pPr>
      <w:r w:rsidRPr="004F2645">
        <w:rPr>
          <w:rFonts w:ascii="Arial" w:eastAsia="Cambria" w:hAnsi="Arial" w:cs="Arial"/>
          <w:b/>
          <w:sz w:val="16"/>
          <w:szCs w:val="16"/>
          <w:lang w:val="es-CR" w:eastAsia="en-US"/>
        </w:rPr>
        <w:t xml:space="preserve">        </w:t>
      </w:r>
    </w:p>
    <w:p w:rsidR="0003651A" w:rsidRPr="004F2645" w:rsidRDefault="00956670" w:rsidP="00F41044">
      <w:pPr>
        <w:jc w:val="both"/>
        <w:rPr>
          <w:rFonts w:ascii="Arial" w:eastAsia="Cambria" w:hAnsi="Arial" w:cs="Arial"/>
          <w:sz w:val="22"/>
          <w:szCs w:val="22"/>
          <w:lang w:val="es-CR" w:eastAsia="en-US"/>
        </w:rPr>
      </w:pPr>
      <w:r w:rsidRPr="004F2645">
        <w:rPr>
          <w:rFonts w:ascii="Arial" w:eastAsia="Cambria" w:hAnsi="Arial" w:cs="Arial"/>
          <w:b/>
          <w:sz w:val="16"/>
          <w:szCs w:val="16"/>
          <w:lang w:val="es-CR"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41" w:rsidRDefault="00E04041">
      <w:r>
        <w:separator/>
      </w:r>
    </w:p>
  </w:endnote>
  <w:endnote w:type="continuationSeparator" w:id="0">
    <w:p w:rsidR="00E04041" w:rsidRDefault="00E0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41" w:rsidRDefault="00E04041">
      <w:r>
        <w:separator/>
      </w:r>
    </w:p>
  </w:footnote>
  <w:footnote w:type="continuationSeparator" w:id="0">
    <w:p w:rsidR="00E04041" w:rsidRDefault="00E0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A1639A">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98597E">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1639A">
      <w:rPr>
        <w:rFonts w:ascii="Arial" w:eastAsia="Cambria" w:hAnsi="Arial" w:cs="Arial"/>
        <w:i/>
        <w:sz w:val="18"/>
        <w:szCs w:val="18"/>
        <w:lang w:val="es-ES_tradnl" w:eastAsia="x-none"/>
      </w:rPr>
      <w:t>16</w:t>
    </w:r>
    <w:r w:rsidR="00C55D84">
      <w:rPr>
        <w:rFonts w:ascii="Arial" w:eastAsia="Cambria" w:hAnsi="Arial" w:cs="Arial"/>
        <w:i/>
        <w:sz w:val="18"/>
        <w:szCs w:val="18"/>
        <w:lang w:val="es-ES_tradnl" w:eastAsia="x-none"/>
      </w:rPr>
      <w:t xml:space="preserve"> de </w:t>
    </w:r>
    <w:r w:rsidR="00A5669A">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56FB0">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D77419B"/>
    <w:multiLevelType w:val="hybridMultilevel"/>
    <w:tmpl w:val="446A18AA"/>
    <w:lvl w:ilvl="0" w:tplc="A4389CF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5" w15:restartNumberingAfterBreak="0">
    <w:nsid w:val="1385153B"/>
    <w:multiLevelType w:val="hybridMultilevel"/>
    <w:tmpl w:val="4AD8BABA"/>
    <w:lvl w:ilvl="0" w:tplc="20608AA0">
      <w:start w:val="1"/>
      <w:numFmt w:val="decimal"/>
      <w:lvlText w:val="%1."/>
      <w:lvlJc w:val="left"/>
      <w:pPr>
        <w:ind w:left="578" w:hanging="360"/>
      </w:pPr>
      <w:rPr>
        <w:rFonts w:hint="default"/>
        <w:b/>
        <w:i w:val="0"/>
        <w:color w:val="auto"/>
        <w:lang w:val="x-none"/>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6" w15:restartNumberingAfterBreak="0">
    <w:nsid w:val="16672303"/>
    <w:multiLevelType w:val="hybridMultilevel"/>
    <w:tmpl w:val="880C9C7A"/>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8" w15:restartNumberingAfterBreak="0">
    <w:nsid w:val="16E45454"/>
    <w:multiLevelType w:val="hybridMultilevel"/>
    <w:tmpl w:val="D3CE0052"/>
    <w:lvl w:ilvl="0" w:tplc="940625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F00713"/>
    <w:multiLevelType w:val="hybridMultilevel"/>
    <w:tmpl w:val="3A4CC212"/>
    <w:lvl w:ilvl="0" w:tplc="9B86066A">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AB17FDF"/>
    <w:multiLevelType w:val="hybridMultilevel"/>
    <w:tmpl w:val="3D462858"/>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D233FC"/>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6" w15:restartNumberingAfterBreak="0">
    <w:nsid w:val="2E693203"/>
    <w:multiLevelType w:val="hybridMultilevel"/>
    <w:tmpl w:val="729ADC3C"/>
    <w:lvl w:ilvl="0" w:tplc="81DC4F3E">
      <w:start w:val="1"/>
      <w:numFmt w:val="lowerLetter"/>
      <w:lvlText w:val="%1."/>
      <w:lvlJc w:val="left"/>
      <w:pPr>
        <w:ind w:left="1440" w:hanging="360"/>
      </w:pPr>
      <w:rPr>
        <w:rFonts w:hint="default"/>
        <w:b/>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7" w15:restartNumberingAfterBreak="0">
    <w:nsid w:val="2FA10167"/>
    <w:multiLevelType w:val="hybridMultilevel"/>
    <w:tmpl w:val="5C8CCC74"/>
    <w:lvl w:ilvl="0" w:tplc="343EB3DC">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8"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BEF5565"/>
    <w:multiLevelType w:val="hybridMultilevel"/>
    <w:tmpl w:val="5F3848AC"/>
    <w:lvl w:ilvl="0" w:tplc="81C608A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BD5329"/>
    <w:multiLevelType w:val="hybridMultilevel"/>
    <w:tmpl w:val="18921442"/>
    <w:lvl w:ilvl="0" w:tplc="30185850">
      <w:start w:val="2"/>
      <w:numFmt w:val="bullet"/>
      <w:lvlText w:val="-"/>
      <w:lvlJc w:val="left"/>
      <w:pPr>
        <w:ind w:left="360" w:hanging="360"/>
      </w:pPr>
      <w:rPr>
        <w:rFonts w:ascii="Arial" w:eastAsia="Cambria" w:hAnsi="Arial" w:cs="Aria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DFE1778"/>
    <w:multiLevelType w:val="hybridMultilevel"/>
    <w:tmpl w:val="60E23B58"/>
    <w:lvl w:ilvl="0" w:tplc="9B86066A">
      <w:start w:val="1"/>
      <w:numFmt w:val="lowerLetter"/>
      <w:lvlText w:val="%1."/>
      <w:lvlJc w:val="left"/>
      <w:pPr>
        <w:ind w:left="720" w:hanging="360"/>
      </w:pPr>
      <w:rPr>
        <w:b/>
        <w:color w:val="auto"/>
      </w:rPr>
    </w:lvl>
    <w:lvl w:ilvl="1" w:tplc="2A1010BE">
      <w:start w:val="1"/>
      <w:numFmt w:val="lowerLetter"/>
      <w:lvlText w:val="%2."/>
      <w:lvlJc w:val="left"/>
      <w:pPr>
        <w:ind w:left="1440" w:hanging="360"/>
      </w:pPr>
      <w:rPr>
        <w:b/>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8"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9" w15:restartNumberingAfterBreak="0">
    <w:nsid w:val="63DF2FB9"/>
    <w:multiLevelType w:val="hybridMultilevel"/>
    <w:tmpl w:val="57FA716E"/>
    <w:lvl w:ilvl="0" w:tplc="9B86066A">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D0D6079"/>
    <w:multiLevelType w:val="hybridMultilevel"/>
    <w:tmpl w:val="EBF48D04"/>
    <w:lvl w:ilvl="0" w:tplc="6A3ABE42">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2"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163211D"/>
    <w:multiLevelType w:val="hybridMultilevel"/>
    <w:tmpl w:val="1CC0522C"/>
    <w:lvl w:ilvl="0" w:tplc="9B86066A">
      <w:start w:val="1"/>
      <w:numFmt w:val="lowerLetter"/>
      <w:lvlText w:val="%1."/>
      <w:lvlJc w:val="left"/>
      <w:pPr>
        <w:ind w:left="720" w:hanging="360"/>
      </w:pPr>
      <w:rPr>
        <w:rFonts w:hint="default"/>
        <w:b/>
        <w:color w:val="auto"/>
      </w:rPr>
    </w:lvl>
    <w:lvl w:ilvl="1" w:tplc="C6AA054E">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764127F"/>
    <w:multiLevelType w:val="hybridMultilevel"/>
    <w:tmpl w:val="913407B6"/>
    <w:lvl w:ilvl="0" w:tplc="4C860B1C">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38"/>
  </w:num>
  <w:num w:numId="3">
    <w:abstractNumId w:val="18"/>
  </w:num>
  <w:num w:numId="4">
    <w:abstractNumId w:val="27"/>
  </w:num>
  <w:num w:numId="5">
    <w:abstractNumId w:val="0"/>
  </w:num>
  <w:num w:numId="6">
    <w:abstractNumId w:val="19"/>
  </w:num>
  <w:num w:numId="7">
    <w:abstractNumId w:val="40"/>
  </w:num>
  <w:num w:numId="8">
    <w:abstractNumId w:val="39"/>
  </w:num>
  <w:num w:numId="9">
    <w:abstractNumId w:val="20"/>
  </w:num>
  <w:num w:numId="10">
    <w:abstractNumId w:val="14"/>
  </w:num>
  <w:num w:numId="11">
    <w:abstractNumId w:val="35"/>
  </w:num>
  <w:num w:numId="12">
    <w:abstractNumId w:val="37"/>
  </w:num>
  <w:num w:numId="13">
    <w:abstractNumId w:val="2"/>
  </w:num>
  <w:num w:numId="14">
    <w:abstractNumId w:val="11"/>
  </w:num>
  <w:num w:numId="15">
    <w:abstractNumId w:val="9"/>
  </w:num>
  <w:num w:numId="16">
    <w:abstractNumId w:val="23"/>
  </w:num>
  <w:num w:numId="17">
    <w:abstractNumId w:val="21"/>
  </w:num>
  <w:num w:numId="18">
    <w:abstractNumId w:val="30"/>
  </w:num>
  <w:num w:numId="19">
    <w:abstractNumId w:val="28"/>
  </w:num>
  <w:num w:numId="20">
    <w:abstractNumId w:val="5"/>
  </w:num>
  <w:num w:numId="21">
    <w:abstractNumId w:val="31"/>
  </w:num>
  <w:num w:numId="22">
    <w:abstractNumId w:val="4"/>
  </w:num>
  <w:num w:numId="23">
    <w:abstractNumId w:val="15"/>
  </w:num>
  <w:num w:numId="24">
    <w:abstractNumId w:val="36"/>
  </w:num>
  <w:num w:numId="25">
    <w:abstractNumId w:val="34"/>
  </w:num>
  <w:num w:numId="26">
    <w:abstractNumId w:val="6"/>
  </w:num>
  <w:num w:numId="27">
    <w:abstractNumId w:val="7"/>
  </w:num>
  <w:num w:numId="28">
    <w:abstractNumId w:val="29"/>
  </w:num>
  <w:num w:numId="29">
    <w:abstractNumId w:val="3"/>
  </w:num>
  <w:num w:numId="30">
    <w:abstractNumId w:val="12"/>
  </w:num>
  <w:num w:numId="31">
    <w:abstractNumId w:val="8"/>
  </w:num>
  <w:num w:numId="32">
    <w:abstractNumId w:val="22"/>
  </w:num>
  <w:num w:numId="33">
    <w:abstractNumId w:val="32"/>
  </w:num>
  <w:num w:numId="34">
    <w:abstractNumId w:val="13"/>
  </w:num>
  <w:num w:numId="35">
    <w:abstractNumId w:val="16"/>
  </w:num>
  <w:num w:numId="36">
    <w:abstractNumId w:val="26"/>
  </w:num>
  <w:num w:numId="37">
    <w:abstractNumId w:val="10"/>
  </w:num>
  <w:num w:numId="38">
    <w:abstractNumId w:val="24"/>
  </w:num>
  <w:num w:numId="39">
    <w:abstractNumId w:val="33"/>
  </w:num>
  <w:num w:numId="40">
    <w:abstractNumId w:val="17"/>
  </w:num>
  <w:num w:numId="4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97E"/>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6FB0"/>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43C1A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Word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Word.docx"/><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6317-9714-4904-8E84-09AD5D1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1958</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44</cp:revision>
  <cp:lastPrinted>2018-08-16T22:42:00Z</cp:lastPrinted>
  <dcterms:created xsi:type="dcterms:W3CDTF">2018-05-02T21:37:00Z</dcterms:created>
  <dcterms:modified xsi:type="dcterms:W3CDTF">2018-08-17T20:01:00Z</dcterms:modified>
</cp:coreProperties>
</file>