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EA1D8F">
        <w:rPr>
          <w:rFonts w:ascii="Arial" w:hAnsi="Arial" w:cs="Arial"/>
          <w:b/>
          <w:bCs/>
          <w:iCs/>
          <w:sz w:val="26"/>
          <w:szCs w:val="22"/>
          <w:lang w:val="es-CR"/>
        </w:rPr>
        <w:t>620</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EA1D8F"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F52439">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EA1D8F" w:rsidRDefault="00EA1D8F" w:rsidP="00EA1D8F">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Ingrid Herrera Jiménez, President</w:t>
            </w:r>
            <w:r w:rsidR="00ED688A">
              <w:rPr>
                <w:rFonts w:ascii="Arial" w:eastAsia="Cambria" w:hAnsi="Arial" w:cs="Arial"/>
                <w:sz w:val="22"/>
                <w:szCs w:val="22"/>
                <w:lang w:val="es-ES_tradnl" w:eastAsia="en-US"/>
              </w:rPr>
              <w:t>e</w:t>
            </w:r>
            <w:r>
              <w:rPr>
                <w:rFonts w:ascii="Arial" w:eastAsia="Cambria" w:hAnsi="Arial" w:cs="Arial"/>
                <w:sz w:val="22"/>
                <w:szCs w:val="22"/>
                <w:lang w:val="es-ES_tradnl" w:eastAsia="en-US"/>
              </w:rPr>
              <w:t xml:space="preserve"> Tribunal Institucional Representativa</w:t>
            </w:r>
          </w:p>
          <w:p w:rsidR="00EA1D8F" w:rsidRDefault="00EA1D8F" w:rsidP="00EA1D8F">
            <w:pPr>
              <w:ind w:left="96" w:hanging="96"/>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Ing. Sofía García Romero, President</w:t>
            </w:r>
            <w:r w:rsidR="00ED688A">
              <w:rPr>
                <w:rFonts w:ascii="Arial" w:eastAsia="Cambria" w:hAnsi="Arial" w:cs="Arial"/>
                <w:sz w:val="22"/>
                <w:szCs w:val="22"/>
                <w:lang w:val="es-ES_tradnl" w:eastAsia="en-US"/>
              </w:rPr>
              <w:t>e</w:t>
            </w:r>
            <w:r>
              <w:rPr>
                <w:rFonts w:ascii="Arial" w:eastAsia="Cambria" w:hAnsi="Arial" w:cs="Arial"/>
                <w:sz w:val="22"/>
                <w:szCs w:val="22"/>
                <w:lang w:val="es-ES_tradnl" w:eastAsia="en-US"/>
              </w:rPr>
              <w:t xml:space="preserve"> de la Asamblea Institucional   Representativa</w:t>
            </w:r>
          </w:p>
          <w:p w:rsidR="00EA1D8F" w:rsidRPr="00AC372A"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EA1D8F" w:rsidRPr="00AC372A" w:rsidRDefault="00EA1D8F" w:rsidP="00EA1D8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EA1D8F" w:rsidRPr="00AC372A"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EA1D8F" w:rsidRPr="00AC372A"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EA1D8F" w:rsidRPr="00AC372A" w:rsidRDefault="00EA1D8F" w:rsidP="00EA1D8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Sede Regional San Carlos</w:t>
            </w:r>
          </w:p>
          <w:p w:rsidR="00EA1D8F" w:rsidRPr="00AC372A"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Ronald Bonilla Rodríguez, Director Centro Académico de San José</w:t>
            </w:r>
          </w:p>
          <w:p w:rsidR="00EA1D8F" w:rsidRPr="00AC372A"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EA1D8F" w:rsidRDefault="00EA1D8F" w:rsidP="00EA1D8F">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Máster Roxana Jiménez Rodríguez, Directora Centro Académico de Limón</w:t>
            </w:r>
          </w:p>
          <w:p w:rsidR="00EA1D8F" w:rsidRDefault="00EA1D8F" w:rsidP="00EA1D8F">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xml:space="preserve">. Grettel Ortiz Álvarez, Directora Oficina Asesoría Legal </w:t>
            </w:r>
          </w:p>
          <w:p w:rsidR="001A7DF9" w:rsidRPr="008E0D8C" w:rsidRDefault="001A7DF9" w:rsidP="007E4FE8">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7E4FE8"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22</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sidR="008E6D05">
              <w:rPr>
                <w:rFonts w:ascii="Arial" w:eastAsia="Cambria" w:hAnsi="Arial" w:cs="Arial"/>
                <w:b/>
                <w:sz w:val="22"/>
                <w:szCs w:val="22"/>
                <w:lang w:val="es-ES_tradnl" w:eastAsia="en-US"/>
              </w:rPr>
              <w:t>agosto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EA1D8F">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7E4FE8">
              <w:rPr>
                <w:rFonts w:ascii="Arial" w:eastAsia="Calibri" w:hAnsi="Arial" w:cs="Arial"/>
                <w:b/>
                <w:sz w:val="22"/>
                <w:szCs w:val="22"/>
              </w:rPr>
              <w:t>4</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0C55F1">
              <w:rPr>
                <w:rFonts w:ascii="Arial" w:eastAsia="Calibri" w:hAnsi="Arial" w:cs="Arial"/>
                <w:b/>
                <w:sz w:val="22"/>
                <w:szCs w:val="22"/>
              </w:rPr>
              <w:t>1</w:t>
            </w:r>
            <w:r w:rsidR="00EA1D8F">
              <w:rPr>
                <w:rFonts w:ascii="Arial" w:eastAsia="Calibri" w:hAnsi="Arial" w:cs="Arial"/>
                <w:b/>
                <w:sz w:val="22"/>
                <w:szCs w:val="22"/>
              </w:rPr>
              <w:t>3</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7E4FE8">
              <w:rPr>
                <w:rFonts w:ascii="Arial" w:eastAsia="Calibri" w:hAnsi="Arial" w:cs="Arial"/>
                <w:b/>
                <w:sz w:val="22"/>
                <w:szCs w:val="22"/>
              </w:rPr>
              <w:t>22</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w:t>
            </w:r>
            <w:r w:rsidR="008E6D05">
              <w:rPr>
                <w:rFonts w:ascii="Arial" w:eastAsia="Calibri" w:hAnsi="Arial" w:cs="Arial"/>
                <w:b/>
                <w:sz w:val="22"/>
                <w:szCs w:val="22"/>
              </w:rPr>
              <w:t>agosto</w:t>
            </w:r>
            <w:r w:rsidR="000A0FF7">
              <w:rPr>
                <w:rFonts w:ascii="Arial" w:eastAsia="Calibri" w:hAnsi="Arial" w:cs="Arial"/>
                <w:b/>
                <w:sz w:val="22"/>
                <w:szCs w:val="22"/>
              </w:rPr>
              <w:t xml:space="preserv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7E4FE8" w:rsidRPr="007E4FE8">
              <w:rPr>
                <w:rFonts w:ascii="Arial" w:eastAsia="Cambria" w:hAnsi="Arial" w:cs="Arial"/>
                <w:b/>
                <w:bCs/>
                <w:sz w:val="22"/>
                <w:szCs w:val="22"/>
                <w:lang w:val="es-CR" w:eastAsia="en-US"/>
              </w:rPr>
              <w:t xml:space="preserve">Interpretación del inciso b, del Artículo 64 del Estatuto Orgánico.  </w:t>
            </w:r>
            <w:r w:rsidR="007E4FE8" w:rsidRPr="00BA4CE6">
              <w:rPr>
                <w:rFonts w:ascii="Arial" w:eastAsia="Cambria" w:hAnsi="Arial" w:cs="Arial"/>
                <w:b/>
                <w:bCs/>
                <w:sz w:val="22"/>
                <w:szCs w:val="22"/>
                <w:u w:val="single"/>
                <w:lang w:val="es-CR" w:eastAsia="en-US"/>
              </w:rPr>
              <w:t>Primera votación</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BA0548" w:rsidRDefault="00BA0548" w:rsidP="007742A1">
      <w:pPr>
        <w:jc w:val="both"/>
        <w:rPr>
          <w:rFonts w:ascii="Arial" w:eastAsia="Cambria" w:hAnsi="Arial" w:cs="Arial"/>
          <w:lang w:val="es-ES_tradnl" w:eastAsia="en-US"/>
        </w:rPr>
      </w:pPr>
    </w:p>
    <w:p w:rsidR="00EA1D8F" w:rsidRPr="00EA1D8F" w:rsidRDefault="00EA1D8F" w:rsidP="00EA1D8F">
      <w:pPr>
        <w:rPr>
          <w:rFonts w:ascii="Arial" w:eastAsia="Calibri" w:hAnsi="Arial" w:cs="Arial"/>
          <w:b/>
          <w:bCs/>
          <w:lang w:val="es-CR" w:eastAsia="en-US"/>
        </w:rPr>
      </w:pPr>
      <w:r w:rsidRPr="00EA1D8F">
        <w:rPr>
          <w:rFonts w:ascii="Arial" w:eastAsia="Calibri" w:hAnsi="Arial" w:cs="Arial"/>
          <w:b/>
          <w:bCs/>
          <w:lang w:val="es-CR" w:eastAsia="en-US"/>
        </w:rPr>
        <w:t>RESULTANDO QUE:</w:t>
      </w:r>
    </w:p>
    <w:p w:rsidR="00EA1D8F" w:rsidRPr="00EA1D8F" w:rsidRDefault="00EA1D8F" w:rsidP="00EA1D8F">
      <w:pPr>
        <w:rPr>
          <w:rFonts w:ascii="Arial" w:eastAsia="Calibri" w:hAnsi="Arial" w:cs="Arial"/>
          <w:b/>
          <w:bCs/>
          <w:lang w:val="es-CR" w:eastAsia="en-US"/>
        </w:rPr>
      </w:pPr>
    </w:p>
    <w:p w:rsidR="00EA1D8F" w:rsidRPr="00EA1D8F" w:rsidRDefault="00EA1D8F" w:rsidP="00EA1D8F">
      <w:pPr>
        <w:numPr>
          <w:ilvl w:val="0"/>
          <w:numId w:val="25"/>
        </w:numPr>
        <w:spacing w:after="160" w:line="252" w:lineRule="auto"/>
        <w:ind w:left="426" w:hanging="426"/>
        <w:contextualSpacing/>
        <w:jc w:val="both"/>
        <w:rPr>
          <w:rFonts w:ascii="Arial" w:eastAsia="Calibri" w:hAnsi="Arial" w:cs="Arial"/>
          <w:lang w:eastAsia="es-CR"/>
        </w:rPr>
      </w:pPr>
      <w:r w:rsidRPr="00EA1D8F">
        <w:rPr>
          <w:rFonts w:ascii="Arial" w:eastAsia="Calibri" w:hAnsi="Arial" w:cs="Arial"/>
          <w:lang w:eastAsia="es-CR"/>
        </w:rPr>
        <w:t>El Artículo 64 del Estatuto Orgánico del ITCR, establece lo siguiente:</w:t>
      </w:r>
    </w:p>
    <w:p w:rsidR="00EA1D8F" w:rsidRPr="00EA1D8F" w:rsidRDefault="00EA1D8F" w:rsidP="00EA1D8F">
      <w:pPr>
        <w:spacing w:after="160" w:line="252" w:lineRule="auto"/>
        <w:contextualSpacing/>
        <w:jc w:val="both"/>
        <w:rPr>
          <w:rFonts w:ascii="Arial" w:eastAsia="Calibri" w:hAnsi="Arial" w:cs="Arial"/>
          <w:sz w:val="22"/>
          <w:szCs w:val="22"/>
          <w:lang w:eastAsia="es-CR"/>
        </w:rPr>
      </w:pPr>
    </w:p>
    <w:p w:rsidR="00EA1D8F" w:rsidRPr="00EA1D8F" w:rsidRDefault="00EA1D8F" w:rsidP="00EA1D8F">
      <w:pPr>
        <w:ind w:left="567" w:right="616"/>
        <w:jc w:val="both"/>
        <w:rPr>
          <w:rFonts w:ascii="Arial" w:eastAsia="Calibri" w:hAnsi="Arial" w:cs="Arial"/>
          <w:i/>
          <w:sz w:val="22"/>
          <w:szCs w:val="22"/>
          <w:lang w:val="es-CR" w:eastAsia="en-US"/>
        </w:rPr>
      </w:pPr>
      <w:r w:rsidRPr="00EA1D8F">
        <w:rPr>
          <w:rFonts w:ascii="Arial" w:eastAsia="Calibri" w:hAnsi="Arial" w:cs="Arial"/>
          <w:sz w:val="22"/>
          <w:szCs w:val="22"/>
          <w:lang w:val="es-CR" w:eastAsia="en-US"/>
        </w:rPr>
        <w:t>“</w:t>
      </w:r>
      <w:r w:rsidRPr="00EA1D8F">
        <w:rPr>
          <w:rFonts w:ascii="Arial" w:eastAsia="Calibri" w:hAnsi="Arial" w:cs="Arial"/>
          <w:i/>
          <w:sz w:val="22"/>
          <w:szCs w:val="22"/>
          <w:lang w:val="es-CR" w:eastAsia="en-US"/>
        </w:rPr>
        <w:t>Artículo 64</w:t>
      </w:r>
    </w:p>
    <w:p w:rsidR="00EA1D8F" w:rsidRPr="00EA1D8F" w:rsidRDefault="00EA1D8F" w:rsidP="00EA1D8F">
      <w:pPr>
        <w:ind w:left="567" w:right="616"/>
        <w:jc w:val="both"/>
        <w:rPr>
          <w:rFonts w:ascii="Arial" w:eastAsia="Calibri" w:hAnsi="Arial" w:cs="Arial"/>
          <w:i/>
          <w:sz w:val="22"/>
          <w:szCs w:val="22"/>
          <w:lang w:val="es-CR" w:eastAsia="en-US"/>
        </w:rPr>
      </w:pPr>
      <w:r w:rsidRPr="00EA1D8F">
        <w:rPr>
          <w:rFonts w:ascii="Arial" w:eastAsia="Calibri" w:hAnsi="Arial" w:cs="Arial"/>
          <w:i/>
          <w:sz w:val="22"/>
          <w:szCs w:val="22"/>
          <w:lang w:val="es-CR" w:eastAsia="en-US"/>
        </w:rPr>
        <w:t>Los departamentos de apoyo académico contarán con un Consejo de Departamento, el cual estará integrado de la siguiente manera:</w:t>
      </w:r>
    </w:p>
    <w:p w:rsidR="00EA1D8F" w:rsidRPr="00EA1D8F" w:rsidRDefault="00EA1D8F" w:rsidP="00EA1D8F">
      <w:pPr>
        <w:ind w:left="567" w:right="616"/>
        <w:jc w:val="both"/>
        <w:rPr>
          <w:rFonts w:ascii="Arial" w:eastAsia="Calibri" w:hAnsi="Arial" w:cs="Arial"/>
          <w:i/>
          <w:sz w:val="22"/>
          <w:szCs w:val="22"/>
          <w:lang w:val="es-CR" w:eastAsia="en-US"/>
        </w:rPr>
      </w:pPr>
    </w:p>
    <w:p w:rsidR="00EA1D8F" w:rsidRPr="00EA1D8F" w:rsidRDefault="00EA1D8F" w:rsidP="00EA1D8F">
      <w:pPr>
        <w:ind w:left="851" w:right="616" w:hanging="284"/>
        <w:jc w:val="both"/>
        <w:rPr>
          <w:rFonts w:ascii="Arial" w:eastAsia="Calibri" w:hAnsi="Arial" w:cs="Arial"/>
          <w:i/>
          <w:sz w:val="22"/>
          <w:szCs w:val="22"/>
          <w:lang w:val="es-CR" w:eastAsia="en-US"/>
        </w:rPr>
      </w:pPr>
      <w:r w:rsidRPr="00EA1D8F">
        <w:rPr>
          <w:rFonts w:ascii="Arial" w:eastAsia="Calibri" w:hAnsi="Arial" w:cs="Arial"/>
          <w:i/>
          <w:sz w:val="22"/>
          <w:szCs w:val="22"/>
          <w:lang w:val="es-CR" w:eastAsia="en-US"/>
        </w:rPr>
        <w:t>a. El Director de Departamento quien lo preside</w:t>
      </w:r>
    </w:p>
    <w:p w:rsidR="00EA1D8F" w:rsidRPr="00EA1D8F" w:rsidRDefault="00EA1D8F" w:rsidP="00EA1D8F">
      <w:pPr>
        <w:ind w:left="851" w:right="616" w:hanging="284"/>
        <w:jc w:val="both"/>
        <w:rPr>
          <w:rFonts w:ascii="Arial" w:eastAsia="Calibri" w:hAnsi="Arial" w:cs="Arial"/>
          <w:i/>
          <w:sz w:val="22"/>
          <w:szCs w:val="22"/>
          <w:lang w:val="es-CR" w:eastAsia="en-US"/>
        </w:rPr>
      </w:pPr>
      <w:r w:rsidRPr="00EA1D8F">
        <w:rPr>
          <w:rFonts w:ascii="Arial" w:eastAsia="Calibri" w:hAnsi="Arial" w:cs="Arial"/>
          <w:i/>
          <w:sz w:val="22"/>
          <w:szCs w:val="22"/>
          <w:lang w:val="es-CR" w:eastAsia="en-US"/>
        </w:rPr>
        <w:t>b. Un máximo de diez funcionarios, además del Director, quienes serán electos por un período de dos años, según el mecanismo que establezca el departamento</w:t>
      </w:r>
    </w:p>
    <w:p w:rsidR="00EA1D8F" w:rsidRPr="00EA1D8F" w:rsidRDefault="00EA1D8F" w:rsidP="00EA1D8F">
      <w:pPr>
        <w:ind w:left="851" w:right="616" w:hanging="284"/>
        <w:jc w:val="both"/>
        <w:rPr>
          <w:rFonts w:ascii="Arial" w:eastAsia="Calibri" w:hAnsi="Arial" w:cs="Arial"/>
          <w:i/>
          <w:sz w:val="22"/>
          <w:szCs w:val="22"/>
          <w:lang w:val="es-CR" w:eastAsia="en-US"/>
        </w:rPr>
      </w:pPr>
      <w:r w:rsidRPr="00EA1D8F">
        <w:rPr>
          <w:rFonts w:ascii="Arial" w:eastAsia="Calibri" w:hAnsi="Arial" w:cs="Arial"/>
          <w:i/>
          <w:sz w:val="22"/>
          <w:szCs w:val="22"/>
          <w:lang w:val="es-CR" w:eastAsia="en-US"/>
        </w:rPr>
        <w:t>c. Una representación estudiantil correspondiente al 25% del total de los miembros del Consejo de Departamento, según lo establezca el Estatuto de la Federación de Estudiantes del Instituto Tecnológico de Costa Rica. En todo caso, deberá participar al menos un estudiante”.</w:t>
      </w:r>
    </w:p>
    <w:p w:rsidR="00EA1D8F" w:rsidRPr="00EA1D8F" w:rsidRDefault="00EA1D8F" w:rsidP="00EA1D8F">
      <w:pPr>
        <w:ind w:left="851" w:right="616" w:hanging="284"/>
        <w:jc w:val="both"/>
        <w:rPr>
          <w:rFonts w:ascii="Arial" w:eastAsia="Calibri" w:hAnsi="Arial" w:cs="Arial"/>
          <w:i/>
          <w:sz w:val="22"/>
          <w:szCs w:val="22"/>
          <w:lang w:val="es-CR" w:eastAsia="en-US"/>
        </w:rPr>
      </w:pPr>
    </w:p>
    <w:p w:rsidR="00EA1D8F" w:rsidRPr="00EA1D8F" w:rsidRDefault="00EA1D8F" w:rsidP="00EA1D8F">
      <w:pPr>
        <w:numPr>
          <w:ilvl w:val="0"/>
          <w:numId w:val="25"/>
        </w:numPr>
        <w:spacing w:after="160" w:line="252" w:lineRule="auto"/>
        <w:ind w:left="426" w:hanging="426"/>
        <w:contextualSpacing/>
        <w:jc w:val="both"/>
        <w:rPr>
          <w:rFonts w:ascii="Arial" w:eastAsia="Calibri" w:hAnsi="Arial" w:cs="Arial"/>
          <w:lang w:val="es-CR" w:eastAsia="es-CR"/>
        </w:rPr>
      </w:pPr>
      <w:r w:rsidRPr="00EA1D8F">
        <w:rPr>
          <w:rFonts w:ascii="Arial" w:eastAsia="Calibri" w:hAnsi="Arial" w:cs="Arial"/>
          <w:lang w:val="es-CR" w:eastAsia="es-CR"/>
        </w:rPr>
        <w:t>El Artículo 142 del Estatuto Orgánico del ITCR, indica lo siguiente:</w:t>
      </w:r>
    </w:p>
    <w:p w:rsidR="00EA1D8F" w:rsidRPr="00EA1D8F" w:rsidRDefault="00EA1D8F" w:rsidP="00EA1D8F">
      <w:pPr>
        <w:spacing w:after="160" w:line="252" w:lineRule="auto"/>
        <w:contextualSpacing/>
        <w:jc w:val="both"/>
        <w:rPr>
          <w:rFonts w:ascii="Arial" w:eastAsia="Calibri" w:hAnsi="Arial" w:cs="Arial"/>
          <w:sz w:val="22"/>
          <w:szCs w:val="22"/>
          <w:lang w:val="es-CR" w:eastAsia="es-CR"/>
        </w:rPr>
      </w:pPr>
    </w:p>
    <w:p w:rsidR="00EA1D8F" w:rsidRPr="00EA1D8F" w:rsidRDefault="00EA1D8F" w:rsidP="00EA1D8F">
      <w:pPr>
        <w:ind w:left="567" w:right="284"/>
        <w:jc w:val="both"/>
        <w:rPr>
          <w:rFonts w:ascii="Arial" w:eastAsia="Calibri" w:hAnsi="Arial" w:cs="Arial"/>
          <w:i/>
          <w:iCs/>
          <w:sz w:val="22"/>
          <w:szCs w:val="22"/>
          <w:lang w:val="es-CR" w:eastAsia="en-US"/>
        </w:rPr>
      </w:pPr>
      <w:r w:rsidRPr="00EA1D8F">
        <w:rPr>
          <w:rFonts w:ascii="Arial" w:eastAsia="Calibri" w:hAnsi="Arial" w:cs="Arial"/>
          <w:i/>
          <w:iCs/>
          <w:sz w:val="22"/>
          <w:szCs w:val="22"/>
          <w:lang w:val="es-CR" w:eastAsia="en-US"/>
        </w:rPr>
        <w:t>“Artículo 142</w:t>
      </w:r>
    </w:p>
    <w:p w:rsidR="00EA1D8F" w:rsidRPr="00EA1D8F" w:rsidRDefault="00EA1D8F" w:rsidP="00EA1D8F">
      <w:pPr>
        <w:ind w:left="567" w:right="284"/>
        <w:jc w:val="both"/>
        <w:rPr>
          <w:rFonts w:ascii="Arial" w:eastAsia="Calibri" w:hAnsi="Arial" w:cs="Arial"/>
          <w:i/>
          <w:iCs/>
          <w:sz w:val="22"/>
          <w:szCs w:val="22"/>
          <w:lang w:val="es-CR" w:eastAsia="en-US"/>
        </w:rPr>
      </w:pPr>
      <w:r w:rsidRPr="00EA1D8F">
        <w:rPr>
          <w:rFonts w:ascii="Arial" w:eastAsia="Calibri" w:hAnsi="Arial" w:cs="Arial"/>
          <w:i/>
          <w:iCs/>
          <w:sz w:val="22"/>
          <w:szCs w:val="22"/>
          <w:lang w:val="es-CR" w:eastAsia="en-US"/>
        </w:rPr>
        <w:t>Las iniciativas de reforma e interpretación al Estatuto Orgánico tramitadas por el Consejo Institucional, cuyo alcance se encuentre dentro de su ámbito de competencia, serán estudiadas por una comisión permanente de este último.</w:t>
      </w:r>
    </w:p>
    <w:p w:rsidR="00EA1D8F" w:rsidRPr="00EA1D8F" w:rsidRDefault="00EA1D8F" w:rsidP="00EA1D8F">
      <w:pPr>
        <w:ind w:left="567" w:right="284"/>
        <w:jc w:val="both"/>
        <w:rPr>
          <w:rFonts w:ascii="Arial" w:eastAsia="Calibri" w:hAnsi="Arial" w:cs="Arial"/>
          <w:i/>
          <w:iCs/>
          <w:sz w:val="22"/>
          <w:szCs w:val="22"/>
          <w:lang w:val="es-CR" w:eastAsia="en-US"/>
        </w:rPr>
      </w:pPr>
      <w:r w:rsidRPr="00EA1D8F">
        <w:rPr>
          <w:rFonts w:ascii="Arial" w:eastAsia="Calibri" w:hAnsi="Arial" w:cs="Arial"/>
          <w:i/>
          <w:iCs/>
          <w:sz w:val="22"/>
          <w:szCs w:val="22"/>
          <w:lang w:val="es-CR" w:eastAsia="en-US"/>
        </w:rPr>
        <w:lastRenderedPageBreak/>
        <w:t>El dictamen de la Comisión Permanente de Estatuto Orgánico del Consejo Institucional deberá comunicarse a la comunidad del Instituto por lo menos veinte días hábiles antes de que se inicie su discusión en el Consejo Institucional, para que los interesados puedan analizarlo y enviar las observaciones que estimen pertinentes.</w:t>
      </w:r>
    </w:p>
    <w:p w:rsidR="00EA1D8F" w:rsidRPr="00EA1D8F" w:rsidRDefault="00EA1D8F" w:rsidP="00EA1D8F">
      <w:pPr>
        <w:ind w:left="567" w:right="284"/>
        <w:jc w:val="both"/>
        <w:rPr>
          <w:rFonts w:ascii="Arial" w:eastAsia="Calibri" w:hAnsi="Arial" w:cs="Arial"/>
          <w:i/>
          <w:iCs/>
          <w:sz w:val="22"/>
          <w:szCs w:val="22"/>
          <w:lang w:val="es-CR" w:eastAsia="en-US"/>
        </w:rPr>
      </w:pPr>
      <w:r w:rsidRPr="00EA1D8F">
        <w:rPr>
          <w:rFonts w:ascii="Arial" w:eastAsia="Calibri" w:hAnsi="Arial" w:cs="Arial"/>
          <w:i/>
          <w:iCs/>
          <w:sz w:val="22"/>
          <w:szCs w:val="22"/>
          <w:lang w:val="es-CR" w:eastAsia="en-US"/>
        </w:rPr>
        <w:t>Este tipo de reformas e interpretaciones al Estatuto Orgánico deberá ser aprobada por el Consejo Institucional en dos sesiones ordinarias y con al menos el voto afirmativo de las dos terceras partes de sus miembros.</w:t>
      </w:r>
    </w:p>
    <w:p w:rsidR="00EA1D8F" w:rsidRPr="00EA1D8F" w:rsidRDefault="00EA1D8F" w:rsidP="00EA1D8F">
      <w:pPr>
        <w:ind w:left="567" w:right="284"/>
        <w:jc w:val="both"/>
        <w:rPr>
          <w:rFonts w:ascii="Arial" w:eastAsia="Calibri" w:hAnsi="Arial" w:cs="Arial"/>
          <w:i/>
          <w:iCs/>
          <w:sz w:val="22"/>
          <w:szCs w:val="22"/>
          <w:lang w:val="es-CR" w:eastAsia="en-US"/>
        </w:rPr>
      </w:pPr>
      <w:r w:rsidRPr="00EA1D8F">
        <w:rPr>
          <w:rFonts w:ascii="Arial" w:eastAsia="Calibri" w:hAnsi="Arial" w:cs="Arial"/>
          <w:i/>
          <w:iCs/>
          <w:sz w:val="22"/>
          <w:szCs w:val="22"/>
          <w:lang w:val="es-CR" w:eastAsia="en-US"/>
        </w:rPr>
        <w:t>El Consejo Institucional, aún dentro del ámbito de su competencia, no podrá realizar modificaciones ni interpretaciones a las reformas al Estatuto Orgánico aprobadas por la Asamblea Institucional Representativa, antes de que transcurran dos años de su entrada en vigencia”.</w:t>
      </w:r>
    </w:p>
    <w:p w:rsidR="00EA1D8F" w:rsidRPr="00EA1D8F" w:rsidRDefault="00EA1D8F" w:rsidP="00EA1D8F">
      <w:pPr>
        <w:jc w:val="both"/>
        <w:rPr>
          <w:rFonts w:ascii="Arial" w:eastAsia="Calibri" w:hAnsi="Arial" w:cs="Arial"/>
          <w:b/>
          <w:bCs/>
          <w:sz w:val="22"/>
          <w:szCs w:val="22"/>
          <w:lang w:val="es-CR" w:eastAsia="en-US"/>
        </w:rPr>
      </w:pPr>
    </w:p>
    <w:p w:rsidR="00EA1D8F" w:rsidRPr="00EA1D8F" w:rsidRDefault="00EA1D8F" w:rsidP="00EA1D8F">
      <w:pPr>
        <w:numPr>
          <w:ilvl w:val="0"/>
          <w:numId w:val="25"/>
        </w:numPr>
        <w:spacing w:after="160" w:line="252" w:lineRule="auto"/>
        <w:ind w:left="426" w:hanging="426"/>
        <w:contextualSpacing/>
        <w:jc w:val="both"/>
        <w:rPr>
          <w:rFonts w:ascii="Arial" w:eastAsia="Calibri" w:hAnsi="Arial" w:cs="Arial"/>
          <w:bCs/>
          <w:lang w:val="es-CR" w:eastAsia="en-US"/>
        </w:rPr>
      </w:pPr>
      <w:r w:rsidRPr="00EA1D8F">
        <w:rPr>
          <w:rFonts w:ascii="Arial" w:eastAsia="Calibri" w:hAnsi="Arial" w:cs="Arial"/>
          <w:bCs/>
          <w:lang w:val="es-CR" w:eastAsia="en-US"/>
        </w:rPr>
        <w:t xml:space="preserve">Por acuerdo de la Sesión Ordinaria No. 3078, artículo 9, del 27 de junio de 2018, en cumplimiento de lo dispuesto en el Artículo 142 del Estatuto Orgánico, se sometió a consulta de la Comunidad Institucional, la </w:t>
      </w:r>
      <w:r w:rsidRPr="00EA1D8F">
        <w:rPr>
          <w:rFonts w:ascii="Arial" w:eastAsia="Calibri" w:hAnsi="Arial" w:cs="Arial"/>
          <w:lang w:val="es-CR" w:eastAsia="en-US"/>
        </w:rPr>
        <w:t>siguiente interpretación del inciso b, del Artículo 64 del Estatuto Orgánico del ITCR:</w:t>
      </w:r>
    </w:p>
    <w:p w:rsidR="00EA1D8F" w:rsidRPr="00EA1D8F" w:rsidRDefault="00EA1D8F" w:rsidP="00EA1D8F">
      <w:pPr>
        <w:jc w:val="both"/>
        <w:rPr>
          <w:rFonts w:ascii="Arial" w:eastAsia="Calibri" w:hAnsi="Arial" w:cs="Arial"/>
          <w:sz w:val="22"/>
          <w:szCs w:val="22"/>
          <w:lang w:val="es-CR" w:eastAsia="en-US"/>
        </w:rPr>
      </w:pPr>
    </w:p>
    <w:p w:rsidR="00EA1D8F" w:rsidRPr="00EA1D8F" w:rsidRDefault="00EA1D8F" w:rsidP="00EA1D8F">
      <w:pPr>
        <w:ind w:left="709" w:right="333"/>
        <w:jc w:val="both"/>
        <w:rPr>
          <w:i/>
          <w:lang w:val="es-CR"/>
        </w:rPr>
      </w:pPr>
      <w:r w:rsidRPr="00EA1D8F">
        <w:rPr>
          <w:rFonts w:ascii="Arial" w:eastAsia="Calibri" w:hAnsi="Arial" w:cs="Arial"/>
          <w:i/>
          <w:sz w:val="22"/>
          <w:szCs w:val="22"/>
          <w:lang w:eastAsia="en-US"/>
        </w:rPr>
        <w:t>“El mecanismo que debe establecer cada Departamento de Apoyo Académico para la designación de los integrantes del Consejo de Departamento, no puede establecer ningún requisito adicional al que indica el Estatuto Orgánico.</w:t>
      </w:r>
      <w:r w:rsidRPr="00EA1D8F">
        <w:rPr>
          <w:rFonts w:ascii="Arial" w:eastAsia="Calibri" w:hAnsi="Arial" w:cs="Arial"/>
          <w:i/>
          <w:sz w:val="22"/>
          <w:szCs w:val="22"/>
          <w:lang w:eastAsia="es-CR"/>
        </w:rPr>
        <w:t xml:space="preserve">  </w:t>
      </w:r>
      <w:r w:rsidRPr="00EA1D8F">
        <w:rPr>
          <w:rFonts w:ascii="Arial" w:eastAsia="Calibri" w:hAnsi="Arial" w:cs="Arial"/>
          <w:i/>
          <w:sz w:val="22"/>
          <w:szCs w:val="22"/>
          <w:lang w:eastAsia="en-US"/>
        </w:rPr>
        <w:t>El único requisito para integrar el Consejo de Departamento de Apoyo Académico, que se desprende del texto del inciso b del Artículo 64 del Estatuto Orgánico, consiste en ser funcionario del Departamento”.</w:t>
      </w:r>
    </w:p>
    <w:p w:rsidR="00EA1D8F" w:rsidRPr="00EA1D8F" w:rsidRDefault="00EA1D8F" w:rsidP="00EA1D8F">
      <w:pPr>
        <w:spacing w:after="160" w:line="252" w:lineRule="auto"/>
        <w:contextualSpacing/>
        <w:jc w:val="both"/>
        <w:rPr>
          <w:rFonts w:ascii="Arial" w:eastAsia="Calibri" w:hAnsi="Arial" w:cs="Arial"/>
          <w:bCs/>
          <w:sz w:val="22"/>
          <w:szCs w:val="22"/>
          <w:lang w:val="es-CR" w:eastAsia="en-US"/>
        </w:rPr>
      </w:pPr>
    </w:p>
    <w:p w:rsidR="00EA1D8F" w:rsidRPr="00EA1D8F" w:rsidRDefault="00EA1D8F" w:rsidP="00EA1D8F">
      <w:pPr>
        <w:jc w:val="both"/>
        <w:rPr>
          <w:rFonts w:ascii="Arial" w:eastAsia="Calibri" w:hAnsi="Arial" w:cs="Arial"/>
          <w:b/>
          <w:bCs/>
          <w:lang w:val="es-CR" w:eastAsia="en-US"/>
        </w:rPr>
      </w:pPr>
      <w:r w:rsidRPr="00EA1D8F">
        <w:rPr>
          <w:rFonts w:ascii="Arial" w:eastAsia="Calibri" w:hAnsi="Arial" w:cs="Arial"/>
          <w:b/>
          <w:bCs/>
          <w:lang w:val="es-CR" w:eastAsia="en-US"/>
        </w:rPr>
        <w:t>CONSIDERANDO QUE:</w:t>
      </w:r>
    </w:p>
    <w:p w:rsidR="00EA1D8F" w:rsidRPr="00EA1D8F" w:rsidRDefault="00EA1D8F" w:rsidP="00EA1D8F">
      <w:pPr>
        <w:jc w:val="both"/>
        <w:rPr>
          <w:rFonts w:ascii="Arial" w:eastAsia="Calibri" w:hAnsi="Arial" w:cs="Arial"/>
          <w:b/>
          <w:bCs/>
          <w:sz w:val="22"/>
          <w:szCs w:val="22"/>
          <w:lang w:val="es-CR" w:eastAsia="en-US"/>
        </w:rPr>
      </w:pPr>
    </w:p>
    <w:p w:rsidR="00EA1D8F" w:rsidRPr="00EA1D8F" w:rsidRDefault="00EA1D8F" w:rsidP="00EA1D8F">
      <w:pPr>
        <w:numPr>
          <w:ilvl w:val="0"/>
          <w:numId w:val="27"/>
        </w:numPr>
        <w:spacing w:after="160" w:line="252" w:lineRule="auto"/>
        <w:ind w:left="426" w:hanging="426"/>
        <w:contextualSpacing/>
        <w:jc w:val="both"/>
        <w:rPr>
          <w:rFonts w:ascii="Arial" w:eastAsia="Calibri" w:hAnsi="Arial" w:cs="Arial"/>
          <w:lang w:eastAsia="es-CR"/>
        </w:rPr>
      </w:pPr>
      <w:r w:rsidRPr="00EA1D8F">
        <w:rPr>
          <w:rFonts w:ascii="Arial" w:eastAsia="Calibri" w:hAnsi="Arial" w:cs="Arial"/>
          <w:lang w:eastAsia="es-CR"/>
        </w:rPr>
        <w:t>La Comisión de Estatuto Orgánico, en la reunión No. 284-2018, realizada el martes 12 de junio de 2018, realizó una revisión de los reglamentos de funcionamiento de los Consejos de los Departamentos de apoyo académico, encontrando que los mecanismos de selección de los integrantes del Consejo de Departamento, exigen requisitos como tener nombramiento indefinido o jornada laboral de al menos medio tiempo,</w:t>
      </w:r>
      <w:r w:rsidRPr="00EA1D8F">
        <w:rPr>
          <w:rFonts w:ascii="Arial" w:eastAsia="Calibri" w:hAnsi="Arial" w:cs="Arial"/>
          <w:lang w:val="es-CR" w:eastAsia="es-CR"/>
        </w:rPr>
        <w:t xml:space="preserve"> que no son exigidos por el inciso b, del Artículo 64 del Estatuto Orgánico del ITCR.</w:t>
      </w:r>
    </w:p>
    <w:p w:rsidR="00EA1D8F" w:rsidRPr="00EA1D8F" w:rsidRDefault="00EA1D8F" w:rsidP="00EA1D8F">
      <w:pPr>
        <w:spacing w:after="160" w:line="252" w:lineRule="auto"/>
        <w:contextualSpacing/>
        <w:jc w:val="both"/>
        <w:rPr>
          <w:rFonts w:ascii="Arial" w:eastAsia="Calibri" w:hAnsi="Arial" w:cs="Arial"/>
          <w:lang w:eastAsia="es-CR"/>
        </w:rPr>
      </w:pPr>
    </w:p>
    <w:p w:rsidR="00EA1D8F" w:rsidRPr="00EA1D8F" w:rsidRDefault="00EA1D8F" w:rsidP="00EA1D8F">
      <w:pPr>
        <w:numPr>
          <w:ilvl w:val="0"/>
          <w:numId w:val="27"/>
        </w:numPr>
        <w:spacing w:after="160" w:line="252" w:lineRule="auto"/>
        <w:ind w:left="426" w:hanging="426"/>
        <w:contextualSpacing/>
        <w:jc w:val="both"/>
        <w:rPr>
          <w:rFonts w:ascii="Arial" w:eastAsia="Calibri" w:hAnsi="Arial" w:cs="Arial"/>
          <w:lang w:eastAsia="es-CR"/>
        </w:rPr>
      </w:pPr>
      <w:r w:rsidRPr="00EA1D8F">
        <w:rPr>
          <w:rFonts w:ascii="Arial" w:eastAsia="Calibri" w:hAnsi="Arial" w:cs="Arial"/>
          <w:lang w:val="es-CR" w:eastAsia="es-CR"/>
        </w:rPr>
        <w:t xml:space="preserve">Dado que no es lícito limitar donde la norma no limita, los mecanismos establecidos por los Departamentos de apoyo académico para el nombramiento de los integrantes del Consejo de Departamento, no pueden establecerse requisitos adicionales a los que expresamente indique el Estatuto Orgánico, que limiten la participación de los funcionarios del Departamento. </w:t>
      </w:r>
    </w:p>
    <w:p w:rsidR="00EA1D8F" w:rsidRPr="00EA1D8F" w:rsidRDefault="00EA1D8F" w:rsidP="00EA1D8F">
      <w:pPr>
        <w:spacing w:after="160" w:line="252" w:lineRule="auto"/>
        <w:contextualSpacing/>
        <w:jc w:val="both"/>
        <w:rPr>
          <w:rFonts w:ascii="Arial" w:eastAsia="Calibri" w:hAnsi="Arial" w:cs="Arial"/>
          <w:lang w:eastAsia="es-CR"/>
        </w:rPr>
      </w:pPr>
    </w:p>
    <w:p w:rsidR="00EA1D8F" w:rsidRPr="00EA1D8F" w:rsidRDefault="00EA1D8F" w:rsidP="00EA1D8F">
      <w:pPr>
        <w:numPr>
          <w:ilvl w:val="0"/>
          <w:numId w:val="27"/>
        </w:numPr>
        <w:spacing w:after="160" w:line="252" w:lineRule="auto"/>
        <w:ind w:left="426" w:hanging="426"/>
        <w:contextualSpacing/>
        <w:jc w:val="both"/>
        <w:rPr>
          <w:rFonts w:ascii="Arial" w:eastAsia="Calibri" w:hAnsi="Arial" w:cs="Arial"/>
          <w:lang w:eastAsia="es-CR"/>
        </w:rPr>
      </w:pPr>
      <w:r w:rsidRPr="00EA1D8F">
        <w:rPr>
          <w:rFonts w:ascii="Arial" w:eastAsia="Calibri" w:hAnsi="Arial" w:cs="Arial"/>
          <w:lang w:eastAsia="es-CR"/>
        </w:rPr>
        <w:t xml:space="preserve">En el plazo establecido en el acuerdo de la Sesión Ordinaria </w:t>
      </w:r>
      <w:r w:rsidRPr="00EA1D8F">
        <w:rPr>
          <w:rFonts w:ascii="Arial" w:eastAsia="Calibri" w:hAnsi="Arial" w:cs="Arial"/>
          <w:bCs/>
          <w:lang w:val="es-CR" w:eastAsia="en-US"/>
        </w:rPr>
        <w:t>No. 3078, artículo 9, del 27 de junio de 2018, no se recibieron observaciones de parte de la Comunidad Institucional.</w:t>
      </w:r>
    </w:p>
    <w:p w:rsidR="00EA1D8F" w:rsidRPr="00EA1D8F" w:rsidRDefault="00EA1D8F" w:rsidP="00EA1D8F">
      <w:pPr>
        <w:jc w:val="both"/>
        <w:rPr>
          <w:rFonts w:ascii="Arial" w:eastAsia="Calibri" w:hAnsi="Arial" w:cs="Arial"/>
          <w:b/>
          <w:bCs/>
          <w:lang w:eastAsia="en-US"/>
        </w:rPr>
      </w:pPr>
    </w:p>
    <w:p w:rsidR="00EA1D8F" w:rsidRPr="00EA1D8F" w:rsidRDefault="00EA1D8F" w:rsidP="00EA1D8F">
      <w:pPr>
        <w:jc w:val="both"/>
        <w:rPr>
          <w:rFonts w:ascii="Arial" w:eastAsia="Calibri" w:hAnsi="Arial" w:cs="Arial"/>
          <w:b/>
          <w:bCs/>
          <w:lang w:val="es-CR" w:eastAsia="en-US"/>
        </w:rPr>
      </w:pPr>
      <w:r w:rsidRPr="00EA1D8F">
        <w:rPr>
          <w:rFonts w:ascii="Arial" w:eastAsia="Calibri" w:hAnsi="Arial" w:cs="Arial"/>
          <w:b/>
          <w:bCs/>
          <w:lang w:val="es-CR" w:eastAsia="en-US"/>
        </w:rPr>
        <w:t>SE</w:t>
      </w:r>
      <w:r>
        <w:rPr>
          <w:rFonts w:ascii="Arial" w:eastAsia="Calibri" w:hAnsi="Arial" w:cs="Arial"/>
          <w:b/>
          <w:bCs/>
          <w:lang w:val="es-CR" w:eastAsia="en-US"/>
        </w:rPr>
        <w:t xml:space="preserve"> ACUERDA</w:t>
      </w:r>
      <w:r w:rsidRPr="00EA1D8F">
        <w:rPr>
          <w:rFonts w:ascii="Arial" w:eastAsia="Calibri" w:hAnsi="Arial" w:cs="Arial"/>
          <w:b/>
          <w:bCs/>
          <w:lang w:val="es-CR" w:eastAsia="en-US"/>
        </w:rPr>
        <w:t>:</w:t>
      </w:r>
    </w:p>
    <w:p w:rsidR="00EA1D8F" w:rsidRPr="00EA1D8F" w:rsidRDefault="00EA1D8F" w:rsidP="00EA1D8F">
      <w:pPr>
        <w:jc w:val="both"/>
        <w:rPr>
          <w:rFonts w:ascii="Arial" w:eastAsia="Calibri" w:hAnsi="Arial" w:cs="Arial"/>
          <w:b/>
          <w:bCs/>
          <w:lang w:val="es-CR" w:eastAsia="en-US"/>
        </w:rPr>
      </w:pPr>
    </w:p>
    <w:p w:rsidR="00EA1D8F" w:rsidRPr="00EA1D8F" w:rsidRDefault="00EA1D8F" w:rsidP="00EA1D8F">
      <w:pPr>
        <w:numPr>
          <w:ilvl w:val="0"/>
          <w:numId w:val="26"/>
        </w:numPr>
        <w:spacing w:after="160" w:line="252" w:lineRule="auto"/>
        <w:contextualSpacing/>
        <w:jc w:val="both"/>
        <w:rPr>
          <w:rFonts w:ascii="Arial" w:eastAsia="Calibri" w:hAnsi="Arial" w:cs="Arial"/>
          <w:lang w:val="es-CR" w:eastAsia="en-US"/>
        </w:rPr>
      </w:pPr>
      <w:r w:rsidRPr="00EA1D8F">
        <w:rPr>
          <w:rFonts w:ascii="Arial" w:eastAsia="Calibri" w:hAnsi="Arial" w:cs="Arial"/>
          <w:lang w:val="es-CR" w:eastAsia="en-US"/>
        </w:rPr>
        <w:t>Aprobar como interpretación del inciso b, del Artículo 64 del Estatuto Orgánico del ITCR, la siguiente:</w:t>
      </w:r>
    </w:p>
    <w:p w:rsidR="00EA1D8F" w:rsidRPr="00EA1D8F" w:rsidRDefault="00EA1D8F" w:rsidP="00EA1D8F">
      <w:pPr>
        <w:jc w:val="both"/>
        <w:rPr>
          <w:rFonts w:ascii="Arial" w:eastAsia="Calibri" w:hAnsi="Arial" w:cs="Arial"/>
          <w:lang w:val="es-CR" w:eastAsia="en-US"/>
        </w:rPr>
      </w:pPr>
    </w:p>
    <w:p w:rsidR="00EA1D8F" w:rsidRPr="00EA1D8F" w:rsidRDefault="00EA1D8F" w:rsidP="00EA1D8F">
      <w:pPr>
        <w:ind w:left="567" w:right="333"/>
        <w:jc w:val="both"/>
        <w:rPr>
          <w:rFonts w:ascii="Arial" w:eastAsia="Calibri" w:hAnsi="Arial" w:cs="Arial"/>
          <w:lang w:eastAsia="en-US"/>
        </w:rPr>
      </w:pPr>
      <w:r w:rsidRPr="00EA1D8F">
        <w:rPr>
          <w:rFonts w:ascii="Arial" w:eastAsia="Calibri" w:hAnsi="Arial" w:cs="Arial"/>
          <w:lang w:eastAsia="en-US"/>
        </w:rPr>
        <w:lastRenderedPageBreak/>
        <w:t>El mecanismo que debe establecer cada Departamento de Apoyo Académico para la designación de los integrantes del Consejo de Departamento no puede establecer ningún requisito adicional al que indica el Estatuto Orgánico.</w:t>
      </w:r>
      <w:r w:rsidRPr="00EA1D8F">
        <w:rPr>
          <w:rFonts w:ascii="Arial" w:eastAsia="Calibri" w:hAnsi="Arial" w:cs="Arial"/>
          <w:lang w:eastAsia="es-CR"/>
        </w:rPr>
        <w:t xml:space="preserve">  </w:t>
      </w:r>
      <w:r w:rsidRPr="00EA1D8F">
        <w:rPr>
          <w:rFonts w:ascii="Arial" w:eastAsia="Calibri" w:hAnsi="Arial" w:cs="Arial"/>
          <w:lang w:eastAsia="en-US"/>
        </w:rPr>
        <w:t>El único requisito para integrar el Consejo de Departamento de Apoyo Académico, que se desprende del texto del inciso b del Artículo 64 del Estatuto Orgánico, consiste en ser funcionario del Departamento.</w:t>
      </w:r>
    </w:p>
    <w:p w:rsidR="00ED1939" w:rsidRPr="00EA1D8F" w:rsidRDefault="00ED1939" w:rsidP="007742A1">
      <w:pPr>
        <w:jc w:val="both"/>
        <w:rPr>
          <w:rFonts w:ascii="Arial" w:eastAsia="Cambria" w:hAnsi="Arial" w:cs="Arial"/>
          <w:lang w:eastAsia="en-US"/>
        </w:rPr>
      </w:pPr>
    </w:p>
    <w:p w:rsidR="0091464A" w:rsidRDefault="0091464A" w:rsidP="0091464A">
      <w:pPr>
        <w:ind w:right="-2"/>
        <w:jc w:val="both"/>
        <w:rPr>
          <w:rFonts w:ascii="Arial" w:hAnsi="Arial" w:cs="Arial"/>
        </w:rPr>
      </w:pPr>
      <w:bookmarkStart w:id="0" w:name="_GoBack"/>
      <w:bookmarkEnd w:id="0"/>
    </w:p>
    <w:p w:rsidR="0091464A" w:rsidRDefault="0091464A" w:rsidP="0091464A">
      <w:pPr>
        <w:ind w:right="333"/>
        <w:jc w:val="both"/>
        <w:rPr>
          <w:rFonts w:ascii="Arial" w:eastAsia="Calibri" w:hAnsi="Arial" w:cs="Arial"/>
          <w:b/>
          <w:sz w:val="22"/>
          <w:szCs w:val="22"/>
          <w:lang w:eastAsia="en-US"/>
        </w:rPr>
      </w:pPr>
    </w:p>
    <w:p w:rsidR="0091464A" w:rsidRPr="00EA1D8F" w:rsidRDefault="0091464A" w:rsidP="0091464A">
      <w:pPr>
        <w:ind w:right="333"/>
        <w:jc w:val="both"/>
        <w:rPr>
          <w:rFonts w:ascii="Arial" w:eastAsia="Calibri" w:hAnsi="Arial" w:cs="Arial"/>
          <w:b/>
          <w:sz w:val="22"/>
          <w:szCs w:val="22"/>
          <w:lang w:eastAsia="en-US"/>
        </w:rPr>
      </w:pPr>
      <w:r w:rsidRPr="00EA1D8F">
        <w:rPr>
          <w:rFonts w:ascii="Arial" w:eastAsia="Calibri" w:hAnsi="Arial" w:cs="Arial"/>
          <w:b/>
          <w:sz w:val="22"/>
          <w:szCs w:val="22"/>
          <w:lang w:eastAsia="en-US"/>
        </w:rPr>
        <w:t xml:space="preserve">PALABRAS CLAVE:  Interpretación – inciso b – Artículo 64 – Estatuto Orgánico </w:t>
      </w:r>
    </w:p>
    <w:p w:rsidR="00ED1939" w:rsidRPr="00B17C67" w:rsidRDefault="00ED1939" w:rsidP="0091464A">
      <w:pPr>
        <w:ind w:right="-91"/>
        <w:jc w:val="both"/>
        <w:rPr>
          <w:rFonts w:ascii="Arial" w:hAnsi="Arial" w:cs="Arial"/>
        </w:rPr>
      </w:pPr>
    </w:p>
    <w:p w:rsidR="00BB6A5E" w:rsidRPr="00455473" w:rsidRDefault="00BB6A5E" w:rsidP="00455473">
      <w:pPr>
        <w:jc w:val="both"/>
        <w:rPr>
          <w:rFonts w:ascii="Arial" w:eastAsia="Calibri" w:hAnsi="Arial" w:cs="Arial"/>
          <w:b/>
          <w:sz w:val="22"/>
          <w:szCs w:val="22"/>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C0D34" w:rsidRDefault="002C0D34"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60" w:rsidRDefault="00424F60">
      <w:r>
        <w:separator/>
      </w:r>
    </w:p>
  </w:endnote>
  <w:endnote w:type="continuationSeparator" w:id="0">
    <w:p w:rsidR="00424F60" w:rsidRDefault="0042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60" w:rsidRDefault="00424F60">
      <w:r>
        <w:separator/>
      </w:r>
    </w:p>
  </w:footnote>
  <w:footnote w:type="continuationSeparator" w:id="0">
    <w:p w:rsidR="00424F60" w:rsidRDefault="0042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91464A">
      <w:rPr>
        <w:rFonts w:ascii="Arial" w:eastAsia="Cambria" w:hAnsi="Arial" w:cs="Arial"/>
        <w:i/>
        <w:sz w:val="18"/>
        <w:szCs w:val="18"/>
        <w:lang w:val="es-ES_tradnl" w:eastAsia="x-none"/>
      </w:rPr>
      <w:t>4</w:t>
    </w:r>
    <w:r w:rsidRPr="00D958BC">
      <w:rPr>
        <w:rFonts w:ascii="Arial" w:eastAsia="Cambria" w:hAnsi="Arial" w:cs="Arial"/>
        <w:i/>
        <w:sz w:val="18"/>
        <w:szCs w:val="18"/>
        <w:lang w:val="es-ES_tradnl" w:eastAsia="x-none"/>
      </w:rPr>
      <w:t xml:space="preserve">, Artículo </w:t>
    </w:r>
    <w:r w:rsidR="00ED1939">
      <w:rPr>
        <w:rFonts w:ascii="Arial" w:eastAsia="Cambria" w:hAnsi="Arial" w:cs="Arial"/>
        <w:i/>
        <w:sz w:val="18"/>
        <w:szCs w:val="18"/>
        <w:lang w:val="es-ES_tradnl" w:eastAsia="x-none"/>
      </w:rPr>
      <w:t>1</w:t>
    </w:r>
    <w:r w:rsidR="00EA1D8F">
      <w:rPr>
        <w:rFonts w:ascii="Arial" w:eastAsia="Cambria" w:hAnsi="Arial" w:cs="Arial"/>
        <w:i/>
        <w:sz w:val="18"/>
        <w:szCs w:val="18"/>
        <w:lang w:val="es-ES_tradnl" w:eastAsia="x-none"/>
      </w:rPr>
      <w:t>3</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EA1D8F">
      <w:rPr>
        <w:rFonts w:ascii="Arial" w:eastAsia="Cambria" w:hAnsi="Arial" w:cs="Arial"/>
        <w:i/>
        <w:sz w:val="18"/>
        <w:szCs w:val="18"/>
        <w:lang w:val="es-ES_tradnl" w:eastAsia="x-none"/>
      </w:rPr>
      <w:t>22</w:t>
    </w:r>
    <w:r w:rsidR="00A7233E">
      <w:rPr>
        <w:rFonts w:ascii="Arial" w:eastAsia="Cambria" w:hAnsi="Arial" w:cs="Arial"/>
        <w:i/>
        <w:sz w:val="18"/>
        <w:szCs w:val="18"/>
        <w:lang w:val="es-ES_tradnl" w:eastAsia="x-none"/>
      </w:rPr>
      <w:t xml:space="preserve"> de agosto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80BA0">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723"/>
    <w:multiLevelType w:val="hybridMultilevel"/>
    <w:tmpl w:val="5F7692E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C47EF"/>
    <w:multiLevelType w:val="hybridMultilevel"/>
    <w:tmpl w:val="54628B28"/>
    <w:lvl w:ilvl="0" w:tplc="E4B0EA54">
      <w:start w:val="1"/>
      <w:numFmt w:val="decimal"/>
      <w:lvlText w:val="%1."/>
      <w:lvlJc w:val="left"/>
      <w:pPr>
        <w:ind w:left="1287" w:hanging="360"/>
      </w:pPr>
      <w:rPr>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 w15:restartNumberingAfterBreak="0">
    <w:nsid w:val="0AE05988"/>
    <w:multiLevelType w:val="multilevel"/>
    <w:tmpl w:val="9A6EDC96"/>
    <w:lvl w:ilvl="0">
      <w:start w:val="1"/>
      <w:numFmt w:val="decimal"/>
      <w:lvlText w:val="%1."/>
      <w:lvlJc w:val="left"/>
      <w:pPr>
        <w:ind w:left="720" w:firstLine="36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5" w15:restartNumberingAfterBreak="0">
    <w:nsid w:val="192B3831"/>
    <w:multiLevelType w:val="hybridMultilevel"/>
    <w:tmpl w:val="AD0E75C8"/>
    <w:lvl w:ilvl="0" w:tplc="D3CA9C98">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DA2001F"/>
    <w:multiLevelType w:val="hybridMultilevel"/>
    <w:tmpl w:val="058886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6275BB8"/>
    <w:multiLevelType w:val="hybridMultilevel"/>
    <w:tmpl w:val="E4DC54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5814EE"/>
    <w:multiLevelType w:val="hybridMultilevel"/>
    <w:tmpl w:val="D5B41434"/>
    <w:lvl w:ilvl="0" w:tplc="5F28020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E9F4300"/>
    <w:multiLevelType w:val="hybridMultilevel"/>
    <w:tmpl w:val="B914CD14"/>
    <w:lvl w:ilvl="0" w:tplc="08F621C0">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38BE7ED4"/>
    <w:multiLevelType w:val="hybridMultilevel"/>
    <w:tmpl w:val="172A20AE"/>
    <w:lvl w:ilvl="0" w:tplc="0F8CB148">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332ACF"/>
    <w:multiLevelType w:val="hybridMultilevel"/>
    <w:tmpl w:val="1D80247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435E2504"/>
    <w:multiLevelType w:val="hybridMultilevel"/>
    <w:tmpl w:val="4DA047B4"/>
    <w:lvl w:ilvl="0" w:tplc="13A28F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4E195BF6"/>
    <w:multiLevelType w:val="hybridMultilevel"/>
    <w:tmpl w:val="A4D04B62"/>
    <w:lvl w:ilvl="0" w:tplc="140A0017">
      <w:start w:val="1"/>
      <w:numFmt w:val="lowerLetter"/>
      <w:lvlText w:val="%1)"/>
      <w:lvlJc w:val="left"/>
      <w:pPr>
        <w:ind w:left="720" w:hanging="360"/>
      </w:pPr>
    </w:lvl>
    <w:lvl w:ilvl="1" w:tplc="8006C776">
      <w:start w:val="1"/>
      <w:numFmt w:val="lowerLetter"/>
      <w:lvlText w:val="%2."/>
      <w:lvlJc w:val="left"/>
      <w:pPr>
        <w:ind w:left="1155" w:hanging="7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094582F"/>
    <w:multiLevelType w:val="hybridMultilevel"/>
    <w:tmpl w:val="A6D24310"/>
    <w:lvl w:ilvl="0" w:tplc="140A000F">
      <w:start w:val="1"/>
      <w:numFmt w:val="decimal"/>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8" w15:restartNumberingAfterBreak="0">
    <w:nsid w:val="61F3008E"/>
    <w:multiLevelType w:val="hybridMultilevel"/>
    <w:tmpl w:val="A9965894"/>
    <w:lvl w:ilvl="0" w:tplc="BAE2E2EC">
      <w:start w:val="1"/>
      <w:numFmt w:val="decimal"/>
      <w:lvlText w:val="%1."/>
      <w:lvlJc w:val="left"/>
      <w:pPr>
        <w:ind w:left="752" w:hanging="360"/>
      </w:pPr>
      <w:rPr>
        <w:b/>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19" w15:restartNumberingAfterBreak="0">
    <w:nsid w:val="687D414B"/>
    <w:multiLevelType w:val="hybridMultilevel"/>
    <w:tmpl w:val="25E413E8"/>
    <w:lvl w:ilvl="0" w:tplc="0ED41F5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CEC5D64"/>
    <w:multiLevelType w:val="hybridMultilevel"/>
    <w:tmpl w:val="8D28D280"/>
    <w:lvl w:ilvl="0" w:tplc="F6BC3682">
      <w:start w:val="1"/>
      <w:numFmt w:val="lowerLetter"/>
      <w:lvlText w:val="%1."/>
      <w:lvlJc w:val="left"/>
      <w:pPr>
        <w:ind w:left="6040" w:hanging="360"/>
      </w:pPr>
      <w:rPr>
        <w:b w:val="0"/>
        <w:strike w:val="0"/>
        <w:sz w:val="24"/>
        <w:szCs w:val="24"/>
      </w:rPr>
    </w:lvl>
    <w:lvl w:ilvl="1" w:tplc="140A0019">
      <w:start w:val="1"/>
      <w:numFmt w:val="lowerLetter"/>
      <w:lvlText w:val="%2."/>
      <w:lvlJc w:val="left"/>
      <w:pPr>
        <w:ind w:left="6760" w:hanging="360"/>
      </w:pPr>
    </w:lvl>
    <w:lvl w:ilvl="2" w:tplc="140A001B" w:tentative="1">
      <w:start w:val="1"/>
      <w:numFmt w:val="lowerRoman"/>
      <w:lvlText w:val="%3."/>
      <w:lvlJc w:val="right"/>
      <w:pPr>
        <w:ind w:left="7480" w:hanging="180"/>
      </w:pPr>
    </w:lvl>
    <w:lvl w:ilvl="3" w:tplc="140A000F" w:tentative="1">
      <w:start w:val="1"/>
      <w:numFmt w:val="decimal"/>
      <w:lvlText w:val="%4."/>
      <w:lvlJc w:val="left"/>
      <w:pPr>
        <w:ind w:left="8200" w:hanging="360"/>
      </w:pPr>
    </w:lvl>
    <w:lvl w:ilvl="4" w:tplc="140A0019" w:tentative="1">
      <w:start w:val="1"/>
      <w:numFmt w:val="lowerLetter"/>
      <w:lvlText w:val="%5."/>
      <w:lvlJc w:val="left"/>
      <w:pPr>
        <w:ind w:left="8920" w:hanging="360"/>
      </w:pPr>
    </w:lvl>
    <w:lvl w:ilvl="5" w:tplc="140A001B" w:tentative="1">
      <w:start w:val="1"/>
      <w:numFmt w:val="lowerRoman"/>
      <w:lvlText w:val="%6."/>
      <w:lvlJc w:val="right"/>
      <w:pPr>
        <w:ind w:left="9640" w:hanging="180"/>
      </w:pPr>
    </w:lvl>
    <w:lvl w:ilvl="6" w:tplc="140A000F" w:tentative="1">
      <w:start w:val="1"/>
      <w:numFmt w:val="decimal"/>
      <w:lvlText w:val="%7."/>
      <w:lvlJc w:val="left"/>
      <w:pPr>
        <w:ind w:left="10360" w:hanging="360"/>
      </w:pPr>
    </w:lvl>
    <w:lvl w:ilvl="7" w:tplc="140A0019" w:tentative="1">
      <w:start w:val="1"/>
      <w:numFmt w:val="lowerLetter"/>
      <w:lvlText w:val="%8."/>
      <w:lvlJc w:val="left"/>
      <w:pPr>
        <w:ind w:left="11080" w:hanging="360"/>
      </w:pPr>
    </w:lvl>
    <w:lvl w:ilvl="8" w:tplc="140A001B" w:tentative="1">
      <w:start w:val="1"/>
      <w:numFmt w:val="lowerRoman"/>
      <w:lvlText w:val="%9."/>
      <w:lvlJc w:val="right"/>
      <w:pPr>
        <w:ind w:left="11800" w:hanging="180"/>
      </w:pPr>
    </w:lvl>
  </w:abstractNum>
  <w:abstractNum w:abstractNumId="21"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22" w15:restartNumberingAfterBreak="0">
    <w:nsid w:val="7713603E"/>
    <w:multiLevelType w:val="hybridMultilevel"/>
    <w:tmpl w:val="B810DCA6"/>
    <w:lvl w:ilvl="0" w:tplc="532AE9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AF73062"/>
    <w:multiLevelType w:val="hybridMultilevel"/>
    <w:tmpl w:val="CD9429B6"/>
    <w:lvl w:ilvl="0" w:tplc="60B21C56">
      <w:start w:val="1"/>
      <w:numFmt w:val="lowerLetter"/>
      <w:lvlText w:val="%1."/>
      <w:lvlJc w:val="left"/>
      <w:pPr>
        <w:ind w:left="360" w:hanging="360"/>
      </w:pPr>
      <w:rPr>
        <w:b/>
        <w:i w:val="0"/>
        <w:strike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B802659"/>
    <w:multiLevelType w:val="hybridMultilevel"/>
    <w:tmpl w:val="B9545FB8"/>
    <w:lvl w:ilvl="0" w:tplc="B0B6E75A">
      <w:start w:val="2"/>
      <w:numFmt w:val="lowerLetter"/>
      <w:lvlText w:val="%1."/>
      <w:lvlJc w:val="left"/>
      <w:pPr>
        <w:ind w:left="144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ECE0380"/>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4"/>
  </w:num>
  <w:num w:numId="3">
    <w:abstractNumId w:val="11"/>
  </w:num>
  <w:num w:numId="4">
    <w:abstractNumId w:val="17"/>
  </w:num>
  <w:num w:numId="5">
    <w:abstractNumId w:val="0"/>
  </w:num>
  <w:num w:numId="6">
    <w:abstractNumId w:val="13"/>
  </w:num>
  <w:num w:numId="7">
    <w:abstractNumId w:val="26"/>
  </w:num>
  <w:num w:numId="8">
    <w:abstractNumId w:val="25"/>
  </w:num>
  <w:num w:numId="9">
    <w:abstractNumId w:val="14"/>
  </w:num>
  <w:num w:numId="10">
    <w:abstractNumId w:val="8"/>
  </w:num>
  <w:num w:numId="11">
    <w:abstractNumId w:val="22"/>
  </w:num>
  <w:num w:numId="12">
    <w:abstractNumId w:val="23"/>
  </w:num>
  <w:num w:numId="13">
    <w:abstractNumId w:val="2"/>
  </w:num>
  <w:num w:numId="14">
    <w:abstractNumId w:val="7"/>
  </w:num>
  <w:num w:numId="15">
    <w:abstractNumId w:val="6"/>
  </w:num>
  <w:num w:numId="16">
    <w:abstractNumId w:val="16"/>
  </w:num>
  <w:num w:numId="17">
    <w:abstractNumId w:val="15"/>
  </w:num>
  <w:num w:numId="18">
    <w:abstractNumId w:val="19"/>
  </w:num>
  <w:num w:numId="19">
    <w:abstractNumId w:val="18"/>
  </w:num>
  <w:num w:numId="20">
    <w:abstractNumId w:val="9"/>
  </w:num>
  <w:num w:numId="21">
    <w:abstractNumId w:val="3"/>
  </w:num>
  <w:num w:numId="22">
    <w:abstractNumId w:val="21"/>
  </w:num>
  <w:num w:numId="23">
    <w:abstractNumId w:val="10"/>
  </w:num>
  <w:num w:numId="24">
    <w:abstractNumId w:val="2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27BB"/>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4F60"/>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84614"/>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4FE8"/>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70DE"/>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6D05"/>
    <w:rsid w:val="008E75AE"/>
    <w:rsid w:val="008F0CC4"/>
    <w:rsid w:val="008F3D1E"/>
    <w:rsid w:val="008F4B86"/>
    <w:rsid w:val="009006A5"/>
    <w:rsid w:val="00900ABC"/>
    <w:rsid w:val="00902B37"/>
    <w:rsid w:val="0090700F"/>
    <w:rsid w:val="00911F5C"/>
    <w:rsid w:val="00911F70"/>
    <w:rsid w:val="009120EB"/>
    <w:rsid w:val="00914473"/>
    <w:rsid w:val="0091464A"/>
    <w:rsid w:val="00914F38"/>
    <w:rsid w:val="00917F97"/>
    <w:rsid w:val="00924AA2"/>
    <w:rsid w:val="009258C6"/>
    <w:rsid w:val="00925985"/>
    <w:rsid w:val="00930A02"/>
    <w:rsid w:val="00931FBC"/>
    <w:rsid w:val="009401C7"/>
    <w:rsid w:val="00945C56"/>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3790C"/>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33E"/>
    <w:rsid w:val="00A72D3C"/>
    <w:rsid w:val="00A772EF"/>
    <w:rsid w:val="00A77F8A"/>
    <w:rsid w:val="00A80881"/>
    <w:rsid w:val="00A81CBE"/>
    <w:rsid w:val="00A82FEA"/>
    <w:rsid w:val="00A8408D"/>
    <w:rsid w:val="00A9472C"/>
    <w:rsid w:val="00AA0A77"/>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0548"/>
    <w:rsid w:val="00BA14F1"/>
    <w:rsid w:val="00BA1AB4"/>
    <w:rsid w:val="00BA29A4"/>
    <w:rsid w:val="00BA2DD4"/>
    <w:rsid w:val="00BA4CDF"/>
    <w:rsid w:val="00BA4CE6"/>
    <w:rsid w:val="00BA51C3"/>
    <w:rsid w:val="00BB2E58"/>
    <w:rsid w:val="00BB52F5"/>
    <w:rsid w:val="00BB6A5E"/>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0BA0"/>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6350"/>
    <w:rsid w:val="00D9781D"/>
    <w:rsid w:val="00DA005F"/>
    <w:rsid w:val="00DA0942"/>
    <w:rsid w:val="00DA0D04"/>
    <w:rsid w:val="00DA6C4C"/>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1D8F"/>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D688A"/>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49CB"/>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BA05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A64A1-954E-4331-9224-CD212601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870</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41</cp:revision>
  <cp:lastPrinted>2018-08-09T22:15:00Z</cp:lastPrinted>
  <dcterms:created xsi:type="dcterms:W3CDTF">2018-05-02T21:37:00Z</dcterms:created>
  <dcterms:modified xsi:type="dcterms:W3CDTF">2018-08-23T16:41:00Z</dcterms:modified>
</cp:coreProperties>
</file>