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D7EEB">
        <w:rPr>
          <w:rFonts w:ascii="Arial" w:hAnsi="Arial" w:cs="Arial"/>
          <w:b/>
          <w:bCs/>
          <w:iCs/>
          <w:sz w:val="26"/>
          <w:szCs w:val="22"/>
          <w:lang w:val="es-CR"/>
        </w:rPr>
        <w:t>665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098" w:type="dxa"/>
        <w:tblInd w:w="108" w:type="dxa"/>
        <w:tblLayout w:type="fixed"/>
        <w:tblLook w:val="01E0" w:firstRow="1" w:lastRow="1" w:firstColumn="1" w:lastColumn="1" w:noHBand="0" w:noVBand="0"/>
      </w:tblPr>
      <w:tblGrid>
        <w:gridCol w:w="1338"/>
        <w:gridCol w:w="7760"/>
      </w:tblGrid>
      <w:tr w:rsidR="00947688" w:rsidRPr="009561A9" w:rsidTr="00CA40A4">
        <w:trPr>
          <w:trHeight w:val="607"/>
        </w:trPr>
        <w:tc>
          <w:tcPr>
            <w:tcW w:w="1338" w:type="dxa"/>
          </w:tcPr>
          <w:p w:rsidR="00947688" w:rsidRPr="00D958BC" w:rsidRDefault="00947688" w:rsidP="00947688">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760" w:type="dxa"/>
          </w:tcPr>
          <w:p w:rsidR="00947688" w:rsidRDefault="00947688" w:rsidP="0094768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Pr="008E0D8C">
              <w:rPr>
                <w:rFonts w:ascii="Arial" w:eastAsia="Cambria" w:hAnsi="Arial" w:cs="Arial"/>
                <w:sz w:val="22"/>
                <w:szCs w:val="22"/>
                <w:lang w:val="es-ES_tradnl" w:eastAsia="en-US"/>
              </w:rPr>
              <w:t xml:space="preserve">, Rector </w:t>
            </w:r>
          </w:p>
          <w:p w:rsidR="00947688" w:rsidRDefault="00947688" w:rsidP="00947688">
            <w:pPr>
              <w:ind w:left="148" w:hanging="141"/>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Presidente Tribunal Institucional   Representativa</w:t>
            </w:r>
          </w:p>
          <w:p w:rsidR="00947688" w:rsidRDefault="00947688" w:rsidP="00947688">
            <w:pPr>
              <w:ind w:left="96" w:hanging="96"/>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Sofía García Romero, Presidente de la Asamblea Institucional   Representativa</w:t>
            </w:r>
          </w:p>
          <w:p w:rsidR="00947688" w:rsidRPr="00AC372A" w:rsidRDefault="00947688" w:rsidP="009476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947688" w:rsidRPr="00AC372A" w:rsidRDefault="00947688" w:rsidP="009476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947688" w:rsidRPr="00AC372A" w:rsidRDefault="00947688" w:rsidP="009476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947688" w:rsidRPr="00AC372A" w:rsidRDefault="00947688" w:rsidP="009476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947688" w:rsidRPr="00AC372A" w:rsidRDefault="00947688" w:rsidP="009476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947688" w:rsidRPr="00AC372A" w:rsidRDefault="00947688" w:rsidP="009476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947688" w:rsidRPr="00AC372A" w:rsidRDefault="00947688" w:rsidP="009476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947688" w:rsidRDefault="00947688" w:rsidP="009476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947688" w:rsidRDefault="00947688" w:rsidP="00947688">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Grettel Ortiz Álvarez, Directora Oficina Asesoría Legal </w:t>
            </w:r>
          </w:p>
          <w:p w:rsidR="00947688" w:rsidRPr="008E0D8C" w:rsidRDefault="00947688" w:rsidP="00947688">
            <w:pPr>
              <w:jc w:val="both"/>
              <w:rPr>
                <w:rFonts w:ascii="Arial" w:eastAsia="Cambria" w:hAnsi="Arial" w:cs="Arial"/>
                <w:sz w:val="22"/>
                <w:szCs w:val="22"/>
                <w:lang w:val="es-ES_tradnl" w:eastAsia="en-US"/>
              </w:rPr>
            </w:pPr>
          </w:p>
        </w:tc>
      </w:tr>
      <w:tr w:rsidR="00947688" w:rsidRPr="00D958BC" w:rsidTr="00CA40A4">
        <w:trPr>
          <w:trHeight w:val="597"/>
        </w:trPr>
        <w:tc>
          <w:tcPr>
            <w:tcW w:w="1338" w:type="dxa"/>
          </w:tcPr>
          <w:p w:rsidR="00947688" w:rsidRPr="00D958BC" w:rsidRDefault="00947688" w:rsidP="00947688">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760" w:type="dxa"/>
          </w:tcPr>
          <w:p w:rsidR="00947688" w:rsidRPr="008E0D8C" w:rsidRDefault="00947688" w:rsidP="009476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947688" w:rsidRPr="008E0D8C" w:rsidRDefault="00947688" w:rsidP="00947688">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947688" w:rsidRPr="00D958BC" w:rsidTr="00CA40A4">
        <w:trPr>
          <w:trHeight w:val="259"/>
        </w:trPr>
        <w:tc>
          <w:tcPr>
            <w:tcW w:w="1338" w:type="dxa"/>
          </w:tcPr>
          <w:p w:rsidR="00947688" w:rsidRPr="00D958BC" w:rsidRDefault="00947688" w:rsidP="00947688">
            <w:pPr>
              <w:rPr>
                <w:rFonts w:ascii="Arial" w:eastAsia="SimSun" w:hAnsi="Arial" w:cs="Arial"/>
                <w:b/>
                <w:lang w:val="es-ES_tradnl" w:eastAsia="en-US"/>
              </w:rPr>
            </w:pPr>
          </w:p>
          <w:p w:rsidR="00947688" w:rsidRPr="00D958BC" w:rsidRDefault="00947688" w:rsidP="00947688">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760" w:type="dxa"/>
          </w:tcPr>
          <w:p w:rsidR="00947688" w:rsidRPr="008E0D8C" w:rsidRDefault="00947688" w:rsidP="00947688">
            <w:pPr>
              <w:tabs>
                <w:tab w:val="right" w:pos="2410"/>
                <w:tab w:val="left" w:pos="2694"/>
              </w:tabs>
              <w:rPr>
                <w:rFonts w:ascii="Arial" w:eastAsia="Cambria" w:hAnsi="Arial" w:cs="Arial"/>
                <w:b/>
                <w:sz w:val="22"/>
                <w:szCs w:val="22"/>
                <w:lang w:eastAsia="en-US"/>
              </w:rPr>
            </w:pPr>
          </w:p>
          <w:p w:rsidR="00947688" w:rsidRPr="008E0D8C" w:rsidRDefault="00947688" w:rsidP="00947688">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29</w:t>
            </w:r>
            <w:r w:rsidRPr="008E0D8C">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agosto</w:t>
            </w:r>
            <w:r w:rsidRPr="008E0D8C">
              <w:rPr>
                <w:rFonts w:ascii="Arial" w:eastAsia="Cambria" w:hAnsi="Arial" w:cs="Arial"/>
                <w:b/>
                <w:sz w:val="22"/>
                <w:szCs w:val="22"/>
                <w:lang w:val="es-ES_tradnl" w:eastAsia="en-US"/>
              </w:rPr>
              <w:t xml:space="preserve"> de 2018</w:t>
            </w:r>
          </w:p>
          <w:p w:rsidR="00947688" w:rsidRPr="008E0D8C" w:rsidRDefault="00947688" w:rsidP="00947688">
            <w:pPr>
              <w:jc w:val="both"/>
              <w:rPr>
                <w:rFonts w:ascii="Arial" w:eastAsia="Cambria" w:hAnsi="Arial" w:cs="Arial"/>
                <w:b/>
                <w:sz w:val="22"/>
                <w:szCs w:val="22"/>
                <w:lang w:val="es-ES_tradnl" w:eastAsia="en-US"/>
              </w:rPr>
            </w:pPr>
          </w:p>
        </w:tc>
      </w:tr>
      <w:tr w:rsidR="00947688" w:rsidRPr="00A2484D" w:rsidTr="00CA40A4">
        <w:trPr>
          <w:trHeight w:val="259"/>
        </w:trPr>
        <w:tc>
          <w:tcPr>
            <w:tcW w:w="1338" w:type="dxa"/>
          </w:tcPr>
          <w:p w:rsidR="00947688" w:rsidRPr="00D958BC" w:rsidRDefault="00947688" w:rsidP="00947688">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760" w:type="dxa"/>
          </w:tcPr>
          <w:p w:rsidR="00947688" w:rsidRPr="00995F34" w:rsidRDefault="00947688" w:rsidP="000308CC">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Pr="00FF209C">
              <w:rPr>
                <w:rFonts w:ascii="Arial" w:eastAsia="Calibri" w:hAnsi="Arial" w:cs="Arial"/>
                <w:b/>
                <w:sz w:val="22"/>
                <w:szCs w:val="22"/>
              </w:rPr>
              <w:t>esión Ordinaria No. 30</w:t>
            </w:r>
            <w:r>
              <w:rPr>
                <w:rFonts w:ascii="Arial" w:eastAsia="Calibri" w:hAnsi="Arial" w:cs="Arial"/>
                <w:b/>
                <w:sz w:val="22"/>
                <w:szCs w:val="22"/>
              </w:rPr>
              <w:t>85</w:t>
            </w:r>
            <w:r w:rsidRPr="00FF209C">
              <w:rPr>
                <w:rFonts w:ascii="Arial" w:eastAsia="Calibri" w:hAnsi="Arial" w:cs="Arial"/>
                <w:b/>
                <w:sz w:val="22"/>
                <w:szCs w:val="22"/>
              </w:rPr>
              <w:t>, Artículo</w:t>
            </w:r>
            <w:r>
              <w:rPr>
                <w:rFonts w:ascii="Arial" w:eastAsia="Calibri" w:hAnsi="Arial" w:cs="Arial"/>
                <w:b/>
                <w:sz w:val="22"/>
                <w:szCs w:val="22"/>
              </w:rPr>
              <w:t xml:space="preserve"> </w:t>
            </w:r>
            <w:r w:rsidR="000308CC">
              <w:rPr>
                <w:rFonts w:ascii="Arial" w:eastAsia="Calibri" w:hAnsi="Arial" w:cs="Arial"/>
                <w:b/>
                <w:sz w:val="22"/>
                <w:szCs w:val="22"/>
              </w:rPr>
              <w:t>7</w:t>
            </w:r>
            <w:r w:rsidRPr="00FF209C">
              <w:rPr>
                <w:rFonts w:ascii="Arial" w:eastAsia="Calibri" w:hAnsi="Arial" w:cs="Arial"/>
                <w:b/>
                <w:sz w:val="22"/>
                <w:szCs w:val="22"/>
              </w:rPr>
              <w:t xml:space="preserve">, del </w:t>
            </w:r>
            <w:r>
              <w:rPr>
                <w:rFonts w:ascii="Arial" w:eastAsia="Calibri" w:hAnsi="Arial" w:cs="Arial"/>
                <w:b/>
                <w:sz w:val="22"/>
                <w:szCs w:val="22"/>
              </w:rPr>
              <w:t xml:space="preserve">29 de agosto </w:t>
            </w:r>
            <w:r w:rsidRPr="00FF209C">
              <w:rPr>
                <w:rFonts w:ascii="Arial" w:eastAsia="Calibri" w:hAnsi="Arial" w:cs="Arial"/>
                <w:b/>
                <w:sz w:val="22"/>
                <w:szCs w:val="22"/>
              </w:rPr>
              <w:t xml:space="preserve">de 2018.  </w:t>
            </w:r>
            <w:r w:rsidRPr="007470BC">
              <w:rPr>
                <w:rFonts w:ascii="Arial" w:eastAsia="Cambria" w:hAnsi="Arial" w:cs="Arial"/>
                <w:b/>
                <w:bCs/>
                <w:sz w:val="22"/>
                <w:szCs w:val="22"/>
                <w:lang w:val="es-CR" w:eastAsia="en-US"/>
              </w:rPr>
              <w:t xml:space="preserve">Interpretación del inciso b, del Artículo 64 del Estatuto Orgánico.  </w:t>
            </w:r>
            <w:r w:rsidRPr="007470BC">
              <w:rPr>
                <w:rFonts w:ascii="Arial" w:eastAsia="Cambria" w:hAnsi="Arial" w:cs="Arial"/>
                <w:b/>
                <w:bCs/>
                <w:sz w:val="22"/>
                <w:szCs w:val="22"/>
                <w:u w:val="single"/>
                <w:lang w:val="es-CR" w:eastAsia="en-US"/>
              </w:rPr>
              <w:t>Segunda votación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47688" w:rsidRDefault="00947688" w:rsidP="007742A1">
      <w:pPr>
        <w:jc w:val="both"/>
        <w:rPr>
          <w:rFonts w:ascii="Arial" w:eastAsia="Cambria" w:hAnsi="Arial" w:cs="Arial"/>
          <w:lang w:val="es-ES_tradnl" w:eastAsia="en-US"/>
        </w:rPr>
      </w:pPr>
    </w:p>
    <w:p w:rsidR="00947688" w:rsidRPr="00EA1D8F" w:rsidRDefault="00947688" w:rsidP="00947688">
      <w:pPr>
        <w:rPr>
          <w:rFonts w:ascii="Arial" w:eastAsia="Calibri" w:hAnsi="Arial" w:cs="Arial"/>
          <w:b/>
          <w:bCs/>
          <w:lang w:val="es-CR" w:eastAsia="en-US"/>
        </w:rPr>
      </w:pPr>
      <w:r w:rsidRPr="00EA1D8F">
        <w:rPr>
          <w:rFonts w:ascii="Arial" w:eastAsia="Calibri" w:hAnsi="Arial" w:cs="Arial"/>
          <w:b/>
          <w:bCs/>
          <w:lang w:val="es-CR" w:eastAsia="en-US"/>
        </w:rPr>
        <w:t>RESULTANDO QUE:</w:t>
      </w:r>
    </w:p>
    <w:p w:rsidR="00947688" w:rsidRPr="00EA1D8F" w:rsidRDefault="00947688" w:rsidP="00947688">
      <w:pPr>
        <w:rPr>
          <w:rFonts w:ascii="Arial" w:eastAsia="Calibri" w:hAnsi="Arial" w:cs="Arial"/>
          <w:b/>
          <w:bCs/>
          <w:lang w:val="es-CR" w:eastAsia="en-US"/>
        </w:rPr>
      </w:pPr>
    </w:p>
    <w:p w:rsidR="00947688" w:rsidRPr="00EA1D8F" w:rsidRDefault="00947688" w:rsidP="00947688">
      <w:pPr>
        <w:numPr>
          <w:ilvl w:val="0"/>
          <w:numId w:val="38"/>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eastAsia="es-CR"/>
        </w:rPr>
        <w:t>El Artículo 64 del Estatuto Orgánico del ITCR, establece lo siguiente:</w:t>
      </w:r>
    </w:p>
    <w:p w:rsidR="00947688" w:rsidRPr="00EA1D8F" w:rsidRDefault="00947688" w:rsidP="00947688">
      <w:pPr>
        <w:spacing w:after="160" w:line="252" w:lineRule="auto"/>
        <w:contextualSpacing/>
        <w:jc w:val="both"/>
        <w:rPr>
          <w:rFonts w:ascii="Arial" w:eastAsia="Calibri" w:hAnsi="Arial" w:cs="Arial"/>
          <w:sz w:val="22"/>
          <w:szCs w:val="22"/>
          <w:lang w:eastAsia="es-CR"/>
        </w:rPr>
      </w:pPr>
    </w:p>
    <w:p w:rsidR="00947688" w:rsidRPr="00EA1D8F" w:rsidRDefault="00947688" w:rsidP="00947688">
      <w:pPr>
        <w:ind w:left="567" w:right="616"/>
        <w:jc w:val="both"/>
        <w:rPr>
          <w:rFonts w:ascii="Arial" w:eastAsia="Calibri" w:hAnsi="Arial" w:cs="Arial"/>
          <w:i/>
          <w:sz w:val="22"/>
          <w:szCs w:val="22"/>
          <w:lang w:val="es-CR" w:eastAsia="en-US"/>
        </w:rPr>
      </w:pPr>
      <w:r w:rsidRPr="00EA1D8F">
        <w:rPr>
          <w:rFonts w:ascii="Arial" w:eastAsia="Calibri" w:hAnsi="Arial" w:cs="Arial"/>
          <w:sz w:val="22"/>
          <w:szCs w:val="22"/>
          <w:lang w:val="es-CR" w:eastAsia="en-US"/>
        </w:rPr>
        <w:t>“</w:t>
      </w:r>
      <w:r w:rsidRPr="00EA1D8F">
        <w:rPr>
          <w:rFonts w:ascii="Arial" w:eastAsia="Calibri" w:hAnsi="Arial" w:cs="Arial"/>
          <w:i/>
          <w:sz w:val="22"/>
          <w:szCs w:val="22"/>
          <w:lang w:val="es-CR" w:eastAsia="en-US"/>
        </w:rPr>
        <w:t>Artículo 64</w:t>
      </w:r>
    </w:p>
    <w:p w:rsidR="00947688" w:rsidRPr="00EA1D8F" w:rsidRDefault="00947688" w:rsidP="00947688">
      <w:pPr>
        <w:ind w:left="567" w:right="616"/>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Los departamentos de apoyo académico contarán con un Consejo de Departamento, el cual estará integrado de la siguiente manera:</w:t>
      </w:r>
    </w:p>
    <w:p w:rsidR="00947688" w:rsidRPr="00EA1D8F" w:rsidRDefault="00947688" w:rsidP="00947688">
      <w:pPr>
        <w:ind w:left="567" w:right="616"/>
        <w:jc w:val="both"/>
        <w:rPr>
          <w:rFonts w:ascii="Arial" w:eastAsia="Calibri" w:hAnsi="Arial" w:cs="Arial"/>
          <w:i/>
          <w:sz w:val="22"/>
          <w:szCs w:val="22"/>
          <w:lang w:val="es-CR" w:eastAsia="en-US"/>
        </w:rPr>
      </w:pPr>
    </w:p>
    <w:p w:rsidR="00947688" w:rsidRPr="00EA1D8F" w:rsidRDefault="00947688" w:rsidP="00947688">
      <w:pPr>
        <w:ind w:left="851" w:right="616" w:hanging="284"/>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a. El Director de Departamento quien lo preside</w:t>
      </w:r>
    </w:p>
    <w:p w:rsidR="00947688" w:rsidRPr="00EA1D8F" w:rsidRDefault="00947688" w:rsidP="00947688">
      <w:pPr>
        <w:ind w:left="851" w:right="616" w:hanging="284"/>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b. Un máximo de diez funcionarios, además del Director, quienes serán electos por un período de dos años, según el mecanismo que establezca el departamento</w:t>
      </w:r>
    </w:p>
    <w:p w:rsidR="00947688" w:rsidRPr="00EA1D8F" w:rsidRDefault="00947688" w:rsidP="00947688">
      <w:pPr>
        <w:ind w:left="851" w:right="616" w:hanging="284"/>
        <w:jc w:val="both"/>
        <w:rPr>
          <w:rFonts w:ascii="Arial" w:eastAsia="Calibri" w:hAnsi="Arial" w:cs="Arial"/>
          <w:i/>
          <w:sz w:val="22"/>
          <w:szCs w:val="22"/>
          <w:lang w:val="es-CR" w:eastAsia="en-US"/>
        </w:rPr>
      </w:pPr>
      <w:r w:rsidRPr="00EA1D8F">
        <w:rPr>
          <w:rFonts w:ascii="Arial" w:eastAsia="Calibri" w:hAnsi="Arial" w:cs="Arial"/>
          <w:i/>
          <w:sz w:val="22"/>
          <w:szCs w:val="22"/>
          <w:lang w:val="es-CR" w:eastAsia="en-US"/>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947688" w:rsidRPr="00EA1D8F" w:rsidRDefault="00947688" w:rsidP="00947688">
      <w:pPr>
        <w:ind w:left="851" w:right="616" w:hanging="284"/>
        <w:jc w:val="both"/>
        <w:rPr>
          <w:rFonts w:ascii="Arial" w:eastAsia="Calibri" w:hAnsi="Arial" w:cs="Arial"/>
          <w:i/>
          <w:sz w:val="22"/>
          <w:szCs w:val="22"/>
          <w:lang w:val="es-CR" w:eastAsia="en-US"/>
        </w:rPr>
      </w:pPr>
    </w:p>
    <w:p w:rsidR="00947688" w:rsidRPr="00EA1D8F" w:rsidRDefault="00947688" w:rsidP="00947688">
      <w:pPr>
        <w:numPr>
          <w:ilvl w:val="0"/>
          <w:numId w:val="38"/>
        </w:numPr>
        <w:spacing w:after="160" w:line="252" w:lineRule="auto"/>
        <w:ind w:left="426" w:hanging="426"/>
        <w:contextualSpacing/>
        <w:jc w:val="both"/>
        <w:rPr>
          <w:rFonts w:ascii="Arial" w:eastAsia="Calibri" w:hAnsi="Arial" w:cs="Arial"/>
          <w:lang w:val="es-CR" w:eastAsia="es-CR"/>
        </w:rPr>
      </w:pPr>
      <w:r w:rsidRPr="00EA1D8F">
        <w:rPr>
          <w:rFonts w:ascii="Arial" w:eastAsia="Calibri" w:hAnsi="Arial" w:cs="Arial"/>
          <w:lang w:val="es-CR" w:eastAsia="es-CR"/>
        </w:rPr>
        <w:t>El Artículo 142 del Estatuto Orgánico del ITCR, indica lo siguiente:</w:t>
      </w:r>
    </w:p>
    <w:p w:rsidR="00947688" w:rsidRPr="00EA1D8F" w:rsidRDefault="00947688" w:rsidP="00947688">
      <w:pPr>
        <w:spacing w:after="160" w:line="252" w:lineRule="auto"/>
        <w:contextualSpacing/>
        <w:jc w:val="both"/>
        <w:rPr>
          <w:rFonts w:ascii="Arial" w:eastAsia="Calibri" w:hAnsi="Arial" w:cs="Arial"/>
          <w:sz w:val="22"/>
          <w:szCs w:val="22"/>
          <w:lang w:val="es-CR" w:eastAsia="es-CR"/>
        </w:rPr>
      </w:pPr>
    </w:p>
    <w:p w:rsidR="00947688" w:rsidRPr="00EA1D8F" w:rsidRDefault="00947688" w:rsidP="00947688">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“Artículo 142</w:t>
      </w:r>
    </w:p>
    <w:p w:rsidR="00947688" w:rsidRPr="00EA1D8F" w:rsidRDefault="00947688" w:rsidP="00947688">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rsidR="00947688" w:rsidRPr="00EA1D8F" w:rsidRDefault="00947688" w:rsidP="00947688">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947688" w:rsidRPr="00EA1D8F" w:rsidRDefault="00947688" w:rsidP="00947688">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rsidR="00947688" w:rsidRPr="00EA1D8F" w:rsidRDefault="00947688" w:rsidP="00947688">
      <w:pPr>
        <w:ind w:left="567" w:right="284"/>
        <w:jc w:val="both"/>
        <w:rPr>
          <w:rFonts w:ascii="Arial" w:eastAsia="Calibri" w:hAnsi="Arial" w:cs="Arial"/>
          <w:i/>
          <w:iCs/>
          <w:sz w:val="22"/>
          <w:szCs w:val="22"/>
          <w:lang w:val="es-CR" w:eastAsia="en-US"/>
        </w:rPr>
      </w:pPr>
      <w:r w:rsidRPr="00EA1D8F">
        <w:rPr>
          <w:rFonts w:ascii="Arial" w:eastAsia="Calibri" w:hAnsi="Arial" w:cs="Arial"/>
          <w:i/>
          <w:iCs/>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947688" w:rsidRPr="00EA1D8F" w:rsidRDefault="00947688" w:rsidP="00947688">
      <w:pPr>
        <w:jc w:val="both"/>
        <w:rPr>
          <w:rFonts w:ascii="Arial" w:eastAsia="Calibri" w:hAnsi="Arial" w:cs="Arial"/>
          <w:b/>
          <w:bCs/>
          <w:sz w:val="22"/>
          <w:szCs w:val="22"/>
          <w:lang w:val="es-CR" w:eastAsia="en-US"/>
        </w:rPr>
      </w:pPr>
    </w:p>
    <w:p w:rsidR="00947688" w:rsidRPr="00EA1D8F" w:rsidRDefault="00947688" w:rsidP="00947688">
      <w:pPr>
        <w:numPr>
          <w:ilvl w:val="0"/>
          <w:numId w:val="38"/>
        </w:numPr>
        <w:spacing w:after="160" w:line="252" w:lineRule="auto"/>
        <w:ind w:left="426" w:hanging="426"/>
        <w:contextualSpacing/>
        <w:jc w:val="both"/>
        <w:rPr>
          <w:rFonts w:ascii="Arial" w:eastAsia="Calibri" w:hAnsi="Arial" w:cs="Arial"/>
          <w:bCs/>
          <w:lang w:val="es-CR" w:eastAsia="en-US"/>
        </w:rPr>
      </w:pPr>
      <w:r w:rsidRPr="00EA1D8F">
        <w:rPr>
          <w:rFonts w:ascii="Arial" w:eastAsia="Calibri" w:hAnsi="Arial" w:cs="Arial"/>
          <w:bCs/>
          <w:lang w:val="es-CR" w:eastAsia="en-US"/>
        </w:rPr>
        <w:t xml:space="preserve">Por acuerdo de la Sesión Ordinaria No. 3078, artículo 9, del 27 de junio de 2018, en cumplimiento de lo dispuesto en el Artículo 142 del Estatuto Orgánico, se sometió a consulta de la Comunidad Institucional, la </w:t>
      </w:r>
      <w:r w:rsidRPr="00EA1D8F">
        <w:rPr>
          <w:rFonts w:ascii="Arial" w:eastAsia="Calibri" w:hAnsi="Arial" w:cs="Arial"/>
          <w:lang w:val="es-CR" w:eastAsia="en-US"/>
        </w:rPr>
        <w:t>siguiente interpretación del inciso b, del Artículo 64 del Estatuto Orgánico del ITCR:</w:t>
      </w:r>
    </w:p>
    <w:p w:rsidR="00947688" w:rsidRPr="00EA1D8F" w:rsidRDefault="00947688" w:rsidP="00947688">
      <w:pPr>
        <w:jc w:val="both"/>
        <w:rPr>
          <w:rFonts w:ascii="Arial" w:eastAsia="Calibri" w:hAnsi="Arial" w:cs="Arial"/>
          <w:sz w:val="22"/>
          <w:szCs w:val="22"/>
          <w:lang w:val="es-CR" w:eastAsia="en-US"/>
        </w:rPr>
      </w:pPr>
    </w:p>
    <w:p w:rsidR="00947688" w:rsidRPr="00EA1D8F" w:rsidRDefault="00947688" w:rsidP="00947688">
      <w:pPr>
        <w:ind w:left="709" w:right="333"/>
        <w:jc w:val="both"/>
        <w:rPr>
          <w:i/>
          <w:lang w:val="es-CR"/>
        </w:rPr>
      </w:pPr>
      <w:r w:rsidRPr="00EA1D8F">
        <w:rPr>
          <w:rFonts w:ascii="Arial" w:eastAsia="Calibri" w:hAnsi="Arial" w:cs="Arial"/>
          <w:i/>
          <w:sz w:val="22"/>
          <w:szCs w:val="22"/>
          <w:lang w:eastAsia="en-US"/>
        </w:rPr>
        <w:t>“El mecanismo que debe establecer cada Departamento de Apoyo Académico para la designación de los integrantes del Consejo de Departamento, no puede establecer ningún requisito adicional al que indica el Estatuto Orgánico.</w:t>
      </w:r>
      <w:r w:rsidRPr="00EA1D8F">
        <w:rPr>
          <w:rFonts w:ascii="Arial" w:eastAsia="Calibri" w:hAnsi="Arial" w:cs="Arial"/>
          <w:i/>
          <w:sz w:val="22"/>
          <w:szCs w:val="22"/>
          <w:lang w:eastAsia="es-CR"/>
        </w:rPr>
        <w:t xml:space="preserve">  </w:t>
      </w:r>
      <w:r w:rsidRPr="00EA1D8F">
        <w:rPr>
          <w:rFonts w:ascii="Arial" w:eastAsia="Calibri" w:hAnsi="Arial" w:cs="Arial"/>
          <w:i/>
          <w:sz w:val="22"/>
          <w:szCs w:val="22"/>
          <w:lang w:eastAsia="en-US"/>
        </w:rPr>
        <w:t>El único requisito para integrar el Consejo de Departamento de Apoyo Académico, que se desprende del texto del inciso b del Artículo 64 del Estatuto Orgánico, consiste en ser funcionario del Departamento”.</w:t>
      </w:r>
    </w:p>
    <w:p w:rsidR="00947688" w:rsidRPr="00EA1D8F" w:rsidRDefault="00947688" w:rsidP="00947688">
      <w:pPr>
        <w:spacing w:after="160" w:line="252" w:lineRule="auto"/>
        <w:contextualSpacing/>
        <w:jc w:val="both"/>
        <w:rPr>
          <w:rFonts w:ascii="Arial" w:eastAsia="Calibri" w:hAnsi="Arial" w:cs="Arial"/>
          <w:bCs/>
          <w:sz w:val="22"/>
          <w:szCs w:val="22"/>
          <w:lang w:val="es-CR" w:eastAsia="en-US"/>
        </w:rPr>
      </w:pPr>
    </w:p>
    <w:p w:rsidR="00947688" w:rsidRPr="00EA1D8F" w:rsidRDefault="00947688" w:rsidP="00947688">
      <w:pPr>
        <w:jc w:val="both"/>
        <w:rPr>
          <w:rFonts w:ascii="Arial" w:eastAsia="Calibri" w:hAnsi="Arial" w:cs="Arial"/>
          <w:b/>
          <w:bCs/>
          <w:lang w:val="es-CR" w:eastAsia="en-US"/>
        </w:rPr>
      </w:pPr>
      <w:r w:rsidRPr="00EA1D8F">
        <w:rPr>
          <w:rFonts w:ascii="Arial" w:eastAsia="Calibri" w:hAnsi="Arial" w:cs="Arial"/>
          <w:b/>
          <w:bCs/>
          <w:lang w:val="es-CR" w:eastAsia="en-US"/>
        </w:rPr>
        <w:t>CONSIDERANDO QUE:</w:t>
      </w:r>
    </w:p>
    <w:p w:rsidR="00947688" w:rsidRPr="00EA1D8F" w:rsidRDefault="00947688" w:rsidP="00947688">
      <w:pPr>
        <w:jc w:val="both"/>
        <w:rPr>
          <w:rFonts w:ascii="Arial" w:eastAsia="Calibri" w:hAnsi="Arial" w:cs="Arial"/>
          <w:b/>
          <w:bCs/>
          <w:sz w:val="22"/>
          <w:szCs w:val="22"/>
          <w:lang w:val="es-CR" w:eastAsia="en-US"/>
        </w:rPr>
      </w:pPr>
    </w:p>
    <w:p w:rsidR="00947688" w:rsidRPr="00EA1D8F" w:rsidRDefault="00947688" w:rsidP="00947688">
      <w:pPr>
        <w:numPr>
          <w:ilvl w:val="0"/>
          <w:numId w:val="40"/>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eastAsia="es-CR"/>
        </w:rPr>
        <w:t>La Comisión de Estatuto Orgánico, en la reunión No. 284-2018, realizada el martes 12 de junio de 2018, realizó una revisión de los reglamentos de funcionamiento de los Consejos de los Departamentos de apoyo académico, encontrando que los mecanismos de selección de los integrantes del Consejo de Departamento, exigen requisitos como tener nombramiento indefinido o jornada laboral de al menos medio tiempo,</w:t>
      </w:r>
      <w:r w:rsidRPr="00EA1D8F">
        <w:rPr>
          <w:rFonts w:ascii="Arial" w:eastAsia="Calibri" w:hAnsi="Arial" w:cs="Arial"/>
          <w:lang w:val="es-CR" w:eastAsia="es-CR"/>
        </w:rPr>
        <w:t xml:space="preserve"> que no son exigidos por el inciso b, del Artículo 64 del Estatuto Orgánico del ITCR.</w:t>
      </w:r>
    </w:p>
    <w:p w:rsidR="00947688" w:rsidRPr="00EA1D8F" w:rsidRDefault="00947688" w:rsidP="00947688">
      <w:pPr>
        <w:spacing w:after="160" w:line="252" w:lineRule="auto"/>
        <w:contextualSpacing/>
        <w:jc w:val="both"/>
        <w:rPr>
          <w:rFonts w:ascii="Arial" w:eastAsia="Calibri" w:hAnsi="Arial" w:cs="Arial"/>
          <w:lang w:eastAsia="es-CR"/>
        </w:rPr>
      </w:pPr>
    </w:p>
    <w:p w:rsidR="00947688" w:rsidRPr="00EA1D8F" w:rsidRDefault="00947688" w:rsidP="00947688">
      <w:pPr>
        <w:numPr>
          <w:ilvl w:val="0"/>
          <w:numId w:val="40"/>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val="es-CR" w:eastAsia="es-CR"/>
        </w:rPr>
        <w:t xml:space="preserve">Dado que no es lícito limitar donde la norma no limita, los mecanismos establecidos por los Departamentos de apoyo académico para el nombramiento de los integrantes del Consejo de Departamento, no pueden establecerse requisitos adicionales a los que expresamente indique el Estatuto Orgánico, que limiten la participación de los funcionarios del Departamento. </w:t>
      </w:r>
    </w:p>
    <w:p w:rsidR="00947688" w:rsidRPr="00EA1D8F" w:rsidRDefault="00947688" w:rsidP="00947688">
      <w:pPr>
        <w:spacing w:after="160" w:line="252" w:lineRule="auto"/>
        <w:contextualSpacing/>
        <w:jc w:val="both"/>
        <w:rPr>
          <w:rFonts w:ascii="Arial" w:eastAsia="Calibri" w:hAnsi="Arial" w:cs="Arial"/>
          <w:lang w:eastAsia="es-CR"/>
        </w:rPr>
      </w:pPr>
    </w:p>
    <w:p w:rsidR="00947688" w:rsidRPr="00947688" w:rsidRDefault="00947688" w:rsidP="00947688">
      <w:pPr>
        <w:numPr>
          <w:ilvl w:val="0"/>
          <w:numId w:val="40"/>
        </w:numPr>
        <w:spacing w:after="160" w:line="252" w:lineRule="auto"/>
        <w:ind w:left="426" w:hanging="426"/>
        <w:contextualSpacing/>
        <w:jc w:val="both"/>
        <w:rPr>
          <w:rFonts w:ascii="Arial" w:eastAsia="Calibri" w:hAnsi="Arial" w:cs="Arial"/>
          <w:lang w:eastAsia="es-CR"/>
        </w:rPr>
      </w:pPr>
      <w:r w:rsidRPr="00EA1D8F">
        <w:rPr>
          <w:rFonts w:ascii="Arial" w:eastAsia="Calibri" w:hAnsi="Arial" w:cs="Arial"/>
          <w:lang w:eastAsia="es-CR"/>
        </w:rPr>
        <w:t xml:space="preserve">En el plazo establecido en el acuerdo de la Sesión Ordinaria </w:t>
      </w:r>
      <w:r w:rsidRPr="00EA1D8F">
        <w:rPr>
          <w:rFonts w:ascii="Arial" w:eastAsia="Calibri" w:hAnsi="Arial" w:cs="Arial"/>
          <w:bCs/>
          <w:lang w:val="es-CR" w:eastAsia="en-US"/>
        </w:rPr>
        <w:t>No. 3078, artículo 9, del 27 de junio de 2018, no se recibieron observaciones de parte de la Comunidad Institucional.</w:t>
      </w:r>
    </w:p>
    <w:p w:rsidR="00947688" w:rsidRDefault="00947688" w:rsidP="00947688">
      <w:pPr>
        <w:pStyle w:val="Prrafodelista"/>
        <w:rPr>
          <w:rFonts w:ascii="Arial" w:eastAsia="Calibri" w:hAnsi="Arial" w:cs="Arial"/>
          <w:lang w:eastAsia="es-CR"/>
        </w:rPr>
      </w:pPr>
    </w:p>
    <w:p w:rsidR="00947688" w:rsidRPr="00EA1D8F" w:rsidRDefault="00947688" w:rsidP="00947688">
      <w:pPr>
        <w:spacing w:after="160" w:line="252" w:lineRule="auto"/>
        <w:contextualSpacing/>
        <w:jc w:val="both"/>
        <w:rPr>
          <w:rFonts w:ascii="Arial" w:eastAsia="Calibri" w:hAnsi="Arial" w:cs="Arial"/>
          <w:lang w:eastAsia="es-CR"/>
        </w:rPr>
      </w:pPr>
    </w:p>
    <w:p w:rsidR="00947688" w:rsidRPr="00EA1D8F" w:rsidRDefault="00947688" w:rsidP="00947688">
      <w:pPr>
        <w:jc w:val="both"/>
        <w:rPr>
          <w:rFonts w:ascii="Arial" w:eastAsia="Calibri" w:hAnsi="Arial" w:cs="Arial"/>
          <w:b/>
          <w:bCs/>
          <w:lang w:eastAsia="en-US"/>
        </w:rPr>
      </w:pPr>
    </w:p>
    <w:p w:rsidR="00947688" w:rsidRPr="00EA1D8F" w:rsidRDefault="00947688" w:rsidP="00947688">
      <w:pPr>
        <w:jc w:val="both"/>
        <w:rPr>
          <w:rFonts w:ascii="Arial" w:eastAsia="Calibri" w:hAnsi="Arial" w:cs="Arial"/>
          <w:b/>
          <w:bCs/>
          <w:lang w:val="es-CR" w:eastAsia="en-US"/>
        </w:rPr>
      </w:pPr>
      <w:r w:rsidRPr="00EA1D8F">
        <w:rPr>
          <w:rFonts w:ascii="Arial" w:eastAsia="Calibri" w:hAnsi="Arial" w:cs="Arial"/>
          <w:b/>
          <w:bCs/>
          <w:lang w:val="es-CR" w:eastAsia="en-US"/>
        </w:rPr>
        <w:t>SE</w:t>
      </w:r>
      <w:r>
        <w:rPr>
          <w:rFonts w:ascii="Arial" w:eastAsia="Calibri" w:hAnsi="Arial" w:cs="Arial"/>
          <w:b/>
          <w:bCs/>
          <w:lang w:val="es-CR" w:eastAsia="en-US"/>
        </w:rPr>
        <w:t xml:space="preserve"> ACUERDA</w:t>
      </w:r>
      <w:r w:rsidRPr="00EA1D8F">
        <w:rPr>
          <w:rFonts w:ascii="Arial" w:eastAsia="Calibri" w:hAnsi="Arial" w:cs="Arial"/>
          <w:b/>
          <w:bCs/>
          <w:lang w:val="es-CR" w:eastAsia="en-US"/>
        </w:rPr>
        <w:t>:</w:t>
      </w:r>
    </w:p>
    <w:p w:rsidR="00947688" w:rsidRPr="00EA1D8F" w:rsidRDefault="00947688" w:rsidP="00947688">
      <w:pPr>
        <w:jc w:val="both"/>
        <w:rPr>
          <w:rFonts w:ascii="Arial" w:eastAsia="Calibri" w:hAnsi="Arial" w:cs="Arial"/>
          <w:b/>
          <w:bCs/>
          <w:lang w:val="es-CR" w:eastAsia="en-US"/>
        </w:rPr>
      </w:pPr>
    </w:p>
    <w:p w:rsidR="00947688" w:rsidRPr="00EA1D8F" w:rsidRDefault="00947688" w:rsidP="00947688">
      <w:pPr>
        <w:numPr>
          <w:ilvl w:val="0"/>
          <w:numId w:val="39"/>
        </w:numPr>
        <w:spacing w:after="160" w:line="252" w:lineRule="auto"/>
        <w:contextualSpacing/>
        <w:jc w:val="both"/>
        <w:rPr>
          <w:rFonts w:ascii="Arial" w:eastAsia="Calibri" w:hAnsi="Arial" w:cs="Arial"/>
          <w:lang w:val="es-CR" w:eastAsia="en-US"/>
        </w:rPr>
      </w:pPr>
      <w:r w:rsidRPr="00EA1D8F">
        <w:rPr>
          <w:rFonts w:ascii="Arial" w:eastAsia="Calibri" w:hAnsi="Arial" w:cs="Arial"/>
          <w:lang w:val="es-CR" w:eastAsia="en-US"/>
        </w:rPr>
        <w:t>Aprobar como interpretación del inciso b, del Artículo 64 del Estatuto Orgánico del ITCR, la siguiente:</w:t>
      </w:r>
    </w:p>
    <w:p w:rsidR="00947688" w:rsidRPr="00EA1D8F" w:rsidRDefault="00947688" w:rsidP="00947688">
      <w:pPr>
        <w:jc w:val="both"/>
        <w:rPr>
          <w:rFonts w:ascii="Arial" w:eastAsia="Calibri" w:hAnsi="Arial" w:cs="Arial"/>
          <w:lang w:val="es-CR" w:eastAsia="en-US"/>
        </w:rPr>
      </w:pPr>
    </w:p>
    <w:p w:rsidR="00947688" w:rsidRPr="00EA1D8F" w:rsidRDefault="00947688" w:rsidP="00947688">
      <w:pPr>
        <w:ind w:left="567" w:right="333"/>
        <w:jc w:val="both"/>
        <w:rPr>
          <w:rFonts w:ascii="Arial" w:eastAsia="Calibri" w:hAnsi="Arial" w:cs="Arial"/>
          <w:lang w:eastAsia="en-US"/>
        </w:rPr>
      </w:pPr>
      <w:r w:rsidRPr="00EA1D8F">
        <w:rPr>
          <w:rFonts w:ascii="Arial" w:eastAsia="Calibri" w:hAnsi="Arial" w:cs="Arial"/>
          <w:lang w:eastAsia="en-US"/>
        </w:rPr>
        <w:t>El mecanismo que debe establecer cada Departamento de Apoyo Académico para la designación de los integrantes del Consejo de Departamento no puede establecer ningún requisito adicional al que indica el Estatuto Orgánico.</w:t>
      </w:r>
      <w:r w:rsidRPr="00EA1D8F">
        <w:rPr>
          <w:rFonts w:ascii="Arial" w:eastAsia="Calibri" w:hAnsi="Arial" w:cs="Arial"/>
          <w:lang w:eastAsia="es-CR"/>
        </w:rPr>
        <w:t xml:space="preserve">  </w:t>
      </w:r>
      <w:r w:rsidRPr="00EA1D8F">
        <w:rPr>
          <w:rFonts w:ascii="Arial" w:eastAsia="Calibri" w:hAnsi="Arial" w:cs="Arial"/>
          <w:lang w:eastAsia="en-US"/>
        </w:rPr>
        <w:t>El único requisito para integrar el Consejo de Departamento de Apoyo Académico, que se desprende del texto del inciso b del Artículo 64 del Estatuto Orgánico, consiste en ser funcionario del Departamento.</w:t>
      </w:r>
    </w:p>
    <w:p w:rsidR="00AB738B" w:rsidRDefault="00AB738B" w:rsidP="007742A1">
      <w:pPr>
        <w:jc w:val="both"/>
        <w:rPr>
          <w:rFonts w:ascii="Arial" w:eastAsia="Cambria" w:hAnsi="Arial" w:cs="Arial"/>
          <w:lang w:val="es-ES_tradnl" w:eastAsia="en-US"/>
        </w:rPr>
      </w:pPr>
    </w:p>
    <w:p w:rsidR="00BB6A5E" w:rsidRPr="002A1CA8" w:rsidRDefault="00BB6A5E" w:rsidP="00947688">
      <w:pPr>
        <w:numPr>
          <w:ilvl w:val="0"/>
          <w:numId w:val="39"/>
        </w:numPr>
        <w:spacing w:after="160" w:line="252" w:lineRule="auto"/>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A1CA8" w:rsidRDefault="002A1CA8" w:rsidP="002A1CA8">
      <w:pPr>
        <w:autoSpaceDE w:val="0"/>
        <w:autoSpaceDN w:val="0"/>
        <w:adjustRightInd w:val="0"/>
        <w:jc w:val="both"/>
        <w:rPr>
          <w:rFonts w:ascii="Arial" w:hAnsi="Arial" w:cs="Arial"/>
          <w:b/>
          <w:lang w:val="es-CR"/>
        </w:rPr>
      </w:pPr>
    </w:p>
    <w:p w:rsidR="002A1CA8" w:rsidRPr="00ED1939" w:rsidRDefault="002A1CA8" w:rsidP="002A1CA8">
      <w:pPr>
        <w:autoSpaceDE w:val="0"/>
        <w:autoSpaceDN w:val="0"/>
        <w:adjustRightInd w:val="0"/>
        <w:jc w:val="both"/>
        <w:rPr>
          <w:rFonts w:ascii="Arial" w:hAnsi="Arial" w:cs="Arial"/>
        </w:rPr>
      </w:pPr>
    </w:p>
    <w:p w:rsidR="00947688" w:rsidRPr="00EA1D8F" w:rsidRDefault="00947688" w:rsidP="00947688">
      <w:pPr>
        <w:ind w:right="333"/>
        <w:jc w:val="both"/>
        <w:rPr>
          <w:rFonts w:ascii="Arial" w:eastAsia="Calibri" w:hAnsi="Arial" w:cs="Arial"/>
          <w:b/>
          <w:sz w:val="22"/>
          <w:szCs w:val="22"/>
          <w:lang w:eastAsia="en-US"/>
        </w:rPr>
      </w:pPr>
      <w:r w:rsidRPr="00EA1D8F">
        <w:rPr>
          <w:rFonts w:ascii="Arial" w:eastAsia="Calibri" w:hAnsi="Arial" w:cs="Arial"/>
          <w:b/>
          <w:sz w:val="22"/>
          <w:szCs w:val="22"/>
          <w:lang w:eastAsia="en-US"/>
        </w:rPr>
        <w:t xml:space="preserve">PALABRAS CLAVE:  Interpretación – inciso b – Artículo 64 – Estatuto Orgánico </w:t>
      </w:r>
    </w:p>
    <w:p w:rsidR="00ED1939" w:rsidRPr="00B17C67" w:rsidRDefault="00ED1939" w:rsidP="00ED1939">
      <w:pPr>
        <w:ind w:left="392" w:right="-91"/>
        <w:jc w:val="both"/>
        <w:rPr>
          <w:rFonts w:ascii="Arial" w:hAnsi="Arial" w:cs="Arial"/>
        </w:rPr>
      </w:pP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D3" w:rsidRDefault="007377D3">
      <w:r>
        <w:separator/>
      </w:r>
    </w:p>
  </w:endnote>
  <w:endnote w:type="continuationSeparator" w:id="0">
    <w:p w:rsidR="007377D3" w:rsidRDefault="0073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D3" w:rsidRDefault="007377D3">
      <w:r>
        <w:separator/>
      </w:r>
    </w:p>
  </w:footnote>
  <w:footnote w:type="continuationSeparator" w:id="0">
    <w:p w:rsidR="007377D3" w:rsidRDefault="0073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7470BC">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Artículo</w:t>
    </w:r>
    <w:r w:rsidR="000308CC">
      <w:rPr>
        <w:rFonts w:ascii="Arial" w:eastAsia="Cambria" w:hAnsi="Arial" w:cs="Arial"/>
        <w:i/>
        <w:sz w:val="18"/>
        <w:szCs w:val="18"/>
        <w:lang w:val="es-ES_tradnl" w:eastAsia="x-none"/>
      </w:rPr>
      <w:t xml:space="preserve"> 7</w:t>
    </w:r>
    <w:r w:rsidR="0033441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470BC">
      <w:rPr>
        <w:rFonts w:ascii="Arial" w:eastAsia="Cambria" w:hAnsi="Arial" w:cs="Arial"/>
        <w:i/>
        <w:sz w:val="18"/>
        <w:szCs w:val="18"/>
        <w:lang w:val="es-ES_tradnl" w:eastAsia="x-none"/>
      </w:rPr>
      <w:t>29</w:t>
    </w:r>
    <w:r w:rsidR="00C55D84">
      <w:rPr>
        <w:rFonts w:ascii="Arial" w:eastAsia="Cambria" w:hAnsi="Arial" w:cs="Arial"/>
        <w:i/>
        <w:sz w:val="18"/>
        <w:szCs w:val="18"/>
        <w:lang w:val="es-ES_tradnl" w:eastAsia="x-none"/>
      </w:rPr>
      <w:t xml:space="preserve"> de </w:t>
    </w:r>
    <w:r w:rsidR="0033441F">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6214B">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8F850F6"/>
    <w:multiLevelType w:val="hybridMultilevel"/>
    <w:tmpl w:val="71AC5846"/>
    <w:lvl w:ilvl="0" w:tplc="E37C98C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F21CEC"/>
    <w:multiLevelType w:val="hybridMultilevel"/>
    <w:tmpl w:val="3244B730"/>
    <w:lvl w:ilvl="0" w:tplc="2C169C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E0A4E3D"/>
    <w:multiLevelType w:val="multilevel"/>
    <w:tmpl w:val="966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 w15:restartNumberingAfterBreak="0">
    <w:nsid w:val="147E5325"/>
    <w:multiLevelType w:val="multilevel"/>
    <w:tmpl w:val="8264CDAE"/>
    <w:lvl w:ilvl="0">
      <w:start w:val="1"/>
      <w:numFmt w:val="lowerLetter"/>
      <w:lvlText w:val="%1."/>
      <w:lvlJc w:val="left"/>
      <w:pPr>
        <w:tabs>
          <w:tab w:val="num" w:pos="360"/>
        </w:tabs>
        <w:ind w:left="360" w:hanging="360"/>
      </w:pPr>
      <w:rPr>
        <w:i w:val="0"/>
      </w:rPr>
    </w:lvl>
    <w:lvl w:ilvl="1">
      <w:start w:val="1"/>
      <w:numFmt w:val="lowerLetter"/>
      <w:lvlText w:val="%2."/>
      <w:lvlJc w:val="left"/>
      <w:pPr>
        <w:ind w:left="1080" w:hanging="360"/>
      </w:pPr>
      <w:rPr>
        <w:rFonts w:hint="default"/>
      </w:rPr>
    </w:lvl>
    <w:lvl w:ilvl="2">
      <w:start w:val="5"/>
      <w:numFmt w:val="lowerLetter"/>
      <w:lvlText w:val="%3)"/>
      <w:lvlJc w:val="left"/>
      <w:pPr>
        <w:ind w:left="1800" w:hanging="360"/>
      </w:pPr>
      <w:rPr>
        <w:rFonts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9DA6AA8"/>
    <w:multiLevelType w:val="multilevel"/>
    <w:tmpl w:val="DB8045B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F10320"/>
    <w:multiLevelType w:val="hybridMultilevel"/>
    <w:tmpl w:val="488A6838"/>
    <w:lvl w:ilvl="0" w:tplc="1B0E504A">
      <w:start w:val="1"/>
      <w:numFmt w:val="lowerLetter"/>
      <w:lvlText w:val="%1."/>
      <w:lvlJc w:val="left"/>
      <w:pPr>
        <w:ind w:left="360" w:hanging="360"/>
      </w:pPr>
      <w:rPr>
        <w:rFonts w:hint="default"/>
        <w:b w:val="0"/>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9E165C"/>
    <w:multiLevelType w:val="hybridMultilevel"/>
    <w:tmpl w:val="DCF41716"/>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483485"/>
    <w:multiLevelType w:val="multilevel"/>
    <w:tmpl w:val="22C8D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3E6FA6"/>
    <w:multiLevelType w:val="hybridMultilevel"/>
    <w:tmpl w:val="7B4445A6"/>
    <w:lvl w:ilvl="0" w:tplc="1B0E504A">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2E9F4300"/>
    <w:multiLevelType w:val="hybridMultilevel"/>
    <w:tmpl w:val="E0F012E8"/>
    <w:lvl w:ilvl="0" w:tplc="AA54C35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716750D"/>
    <w:multiLevelType w:val="hybridMultilevel"/>
    <w:tmpl w:val="48A4532A"/>
    <w:lvl w:ilvl="0" w:tplc="F45AE18C">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40803387"/>
    <w:multiLevelType w:val="hybridMultilevel"/>
    <w:tmpl w:val="6DBAE3CC"/>
    <w:lvl w:ilvl="0" w:tplc="982ECD08">
      <w:start w:val="1"/>
      <w:numFmt w:val="lowerLetter"/>
      <w:lvlText w:val="%1."/>
      <w:lvlJc w:val="left"/>
      <w:pPr>
        <w:ind w:left="360" w:hanging="360"/>
      </w:pPr>
      <w:rPr>
        <w:rFonts w:hint="default"/>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4" w15:restartNumberingAfterBreak="0">
    <w:nsid w:val="44385FC7"/>
    <w:multiLevelType w:val="hybridMultilevel"/>
    <w:tmpl w:val="7B4445A6"/>
    <w:lvl w:ilvl="0" w:tplc="1B0E504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F7F0DE4"/>
    <w:multiLevelType w:val="multilevel"/>
    <w:tmpl w:val="22C8D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3E3375"/>
    <w:multiLevelType w:val="multilevel"/>
    <w:tmpl w:val="BB90059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F742D84"/>
    <w:multiLevelType w:val="multilevel"/>
    <w:tmpl w:val="22C8D60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1"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32"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C9E4494"/>
    <w:multiLevelType w:val="multilevel"/>
    <w:tmpl w:val="966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F774AC3"/>
    <w:multiLevelType w:val="multilevel"/>
    <w:tmpl w:val="96605E3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
  </w:num>
  <w:num w:numId="2">
    <w:abstractNumId w:val="36"/>
  </w:num>
  <w:num w:numId="3">
    <w:abstractNumId w:val="19"/>
  </w:num>
  <w:num w:numId="4">
    <w:abstractNumId w:val="30"/>
  </w:num>
  <w:num w:numId="5">
    <w:abstractNumId w:val="0"/>
  </w:num>
  <w:num w:numId="6">
    <w:abstractNumId w:val="22"/>
  </w:num>
  <w:num w:numId="7">
    <w:abstractNumId w:val="38"/>
  </w:num>
  <w:num w:numId="8">
    <w:abstractNumId w:val="37"/>
  </w:num>
  <w:num w:numId="9">
    <w:abstractNumId w:val="23"/>
  </w:num>
  <w:num w:numId="10">
    <w:abstractNumId w:val="15"/>
  </w:num>
  <w:num w:numId="11">
    <w:abstractNumId w:val="34"/>
  </w:num>
  <w:num w:numId="12">
    <w:abstractNumId w:val="35"/>
  </w:num>
  <w:num w:numId="13">
    <w:abstractNumId w:val="2"/>
  </w:num>
  <w:num w:numId="14">
    <w:abstractNumId w:val="13"/>
  </w:num>
  <w:num w:numId="15">
    <w:abstractNumId w:val="11"/>
  </w:num>
  <w:num w:numId="16">
    <w:abstractNumId w:val="26"/>
  </w:num>
  <w:num w:numId="17">
    <w:abstractNumId w:val="25"/>
  </w:num>
  <w:num w:numId="18">
    <w:abstractNumId w:val="32"/>
  </w:num>
  <w:num w:numId="19">
    <w:abstractNumId w:val="31"/>
  </w:num>
  <w:num w:numId="20">
    <w:abstractNumId w:val="4"/>
  </w:num>
  <w:num w:numId="21">
    <w:abstractNumId w:val="3"/>
  </w:num>
  <w:num w:numId="22">
    <w:abstractNumId w:val="12"/>
  </w:num>
  <w:num w:numId="23">
    <w:abstractNumId w:val="17"/>
  </w:num>
  <w:num w:numId="24">
    <w:abstractNumId w:val="28"/>
  </w:num>
  <w:num w:numId="25">
    <w:abstractNumId w:val="9"/>
  </w:num>
  <w:num w:numId="26">
    <w:abstractNumId w:val="5"/>
  </w:num>
  <w:num w:numId="27">
    <w:abstractNumId w:val="14"/>
  </w:num>
  <w:num w:numId="28">
    <w:abstractNumId w:val="16"/>
  </w:num>
  <w:num w:numId="29">
    <w:abstractNumId w:val="33"/>
  </w:num>
  <w:num w:numId="30">
    <w:abstractNumId w:val="18"/>
  </w:num>
  <w:num w:numId="31">
    <w:abstractNumId w:val="24"/>
  </w:num>
  <w:num w:numId="32">
    <w:abstractNumId w:val="7"/>
  </w:num>
  <w:num w:numId="33">
    <w:abstractNumId w:val="39"/>
  </w:num>
  <w:num w:numId="34">
    <w:abstractNumId w:val="29"/>
  </w:num>
  <w:num w:numId="35">
    <w:abstractNumId w:val="10"/>
  </w:num>
  <w:num w:numId="36">
    <w:abstractNumId w:val="27"/>
  </w:num>
  <w:num w:numId="37">
    <w:abstractNumId w:val="2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08CC"/>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844"/>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4E2C"/>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1F73A0"/>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1CA8"/>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441F"/>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7721D"/>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5DC4"/>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167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4961"/>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7D3"/>
    <w:rsid w:val="00740752"/>
    <w:rsid w:val="0074284B"/>
    <w:rsid w:val="00744C74"/>
    <w:rsid w:val="007470BC"/>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86A19"/>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6B1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4439"/>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7688"/>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2691"/>
    <w:rsid w:val="00A54E67"/>
    <w:rsid w:val="00A559D5"/>
    <w:rsid w:val="00A57051"/>
    <w:rsid w:val="00A602B0"/>
    <w:rsid w:val="00A60666"/>
    <w:rsid w:val="00A60DB0"/>
    <w:rsid w:val="00A618D1"/>
    <w:rsid w:val="00A666DE"/>
    <w:rsid w:val="00A702FC"/>
    <w:rsid w:val="00A70CFC"/>
    <w:rsid w:val="00A7170F"/>
    <w:rsid w:val="00A71CCB"/>
    <w:rsid w:val="00A72D3C"/>
    <w:rsid w:val="00A73DFF"/>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B738B"/>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30D1"/>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420D"/>
    <w:rsid w:val="00C47C47"/>
    <w:rsid w:val="00C52DAB"/>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A40A4"/>
    <w:rsid w:val="00CB0CB0"/>
    <w:rsid w:val="00CB0ED4"/>
    <w:rsid w:val="00CB1EFF"/>
    <w:rsid w:val="00CB4C4E"/>
    <w:rsid w:val="00CB5DCD"/>
    <w:rsid w:val="00CB682F"/>
    <w:rsid w:val="00CB7A61"/>
    <w:rsid w:val="00CC1B49"/>
    <w:rsid w:val="00CC363D"/>
    <w:rsid w:val="00CC41FF"/>
    <w:rsid w:val="00CC64CA"/>
    <w:rsid w:val="00CC68BB"/>
    <w:rsid w:val="00CD4387"/>
    <w:rsid w:val="00CD7EEB"/>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214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47DF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table" w:customStyle="1" w:styleId="Tablaconcuadrcula10">
    <w:name w:val="Tabla con cuadrícula10"/>
    <w:basedOn w:val="Tablanormal"/>
    <w:next w:val="Tablaconcuadrcula"/>
    <w:uiPriority w:val="39"/>
    <w:rsid w:val="00AB738B"/>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EECE-1E44-4111-B40E-267124FC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Mildred Zuñiga Carvajal</cp:lastModifiedBy>
  <cp:revision>2</cp:revision>
  <cp:lastPrinted>2018-08-29T15:13:00Z</cp:lastPrinted>
  <dcterms:created xsi:type="dcterms:W3CDTF">2018-08-29T15:13:00Z</dcterms:created>
  <dcterms:modified xsi:type="dcterms:W3CDTF">2018-08-29T15:13:00Z</dcterms:modified>
</cp:coreProperties>
</file>