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86D14">
        <w:rPr>
          <w:rFonts w:ascii="Arial" w:hAnsi="Arial" w:cs="Arial"/>
          <w:b/>
          <w:bCs/>
          <w:iCs/>
          <w:sz w:val="26"/>
          <w:szCs w:val="22"/>
          <w:lang w:val="es-CR"/>
        </w:rPr>
        <w:t>683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FE4A23" w:rsidRDefault="00800337" w:rsidP="00FE4A2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FE4A23" w:rsidRPr="00AC372A"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FE4A23" w:rsidRPr="00AC372A" w:rsidRDefault="00FE4A23" w:rsidP="00FE4A2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FE4A23" w:rsidRPr="00AC372A"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FE4A23" w:rsidRPr="00AC372A"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FE4A23" w:rsidRPr="00AC372A" w:rsidRDefault="00FE4A23" w:rsidP="00FE4A2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FE4A23" w:rsidRPr="00AC372A"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FE4A23" w:rsidRPr="00AC372A"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FE4A23" w:rsidRDefault="00FE4A23" w:rsidP="00FE4A2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FE4A23" w:rsidRDefault="00FE4A23" w:rsidP="00FE4A2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Planificación Institucional</w:t>
            </w:r>
          </w:p>
          <w:p w:rsidR="00086D14" w:rsidRDefault="00086D14" w:rsidP="00FE4A2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FE4A23" w:rsidRDefault="00FE4A23" w:rsidP="00FE4A23">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C413F4" w:rsidRPr="00FE4A23" w:rsidRDefault="00C413F4" w:rsidP="00A31F19">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413F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41F61"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41F61"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31F1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05 de 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5338C5">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A31F19">
              <w:rPr>
                <w:rFonts w:ascii="Arial" w:eastAsia="Calibri" w:hAnsi="Arial" w:cs="Arial"/>
                <w:b/>
                <w:sz w:val="22"/>
                <w:szCs w:val="22"/>
              </w:rPr>
              <w:t>6</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5338C5">
              <w:rPr>
                <w:rFonts w:ascii="Arial" w:eastAsia="Calibri" w:hAnsi="Arial" w:cs="Arial"/>
                <w:b/>
                <w:sz w:val="22"/>
                <w:szCs w:val="22"/>
              </w:rPr>
              <w:t>9</w:t>
            </w:r>
            <w:bookmarkStart w:id="0" w:name="_GoBack"/>
            <w:bookmarkEnd w:id="0"/>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31F19">
              <w:rPr>
                <w:rFonts w:ascii="Arial" w:eastAsia="Calibri" w:hAnsi="Arial" w:cs="Arial"/>
                <w:b/>
                <w:sz w:val="22"/>
                <w:szCs w:val="22"/>
              </w:rPr>
              <w:t>05</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31F19">
              <w:rPr>
                <w:rFonts w:ascii="Arial" w:eastAsia="Calibri" w:hAnsi="Arial" w:cs="Arial"/>
                <w:b/>
                <w:sz w:val="22"/>
                <w:szCs w:val="22"/>
              </w:rPr>
              <w:t>setiembre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31F19" w:rsidRPr="00A31F19">
              <w:rPr>
                <w:rFonts w:ascii="Arial" w:eastAsia="Cambria" w:hAnsi="Arial" w:cs="Arial"/>
                <w:b/>
                <w:bCs/>
                <w:sz w:val="22"/>
                <w:szCs w:val="22"/>
                <w:lang w:val="es-CR" w:eastAsia="en-US"/>
              </w:rPr>
              <w:t>Modificación del artículo 19 del Reglamento de Licencia Sabática para profesores del Instituto Tecnológico de Costa Rica</w:t>
            </w:r>
            <w:r w:rsidR="00A31F19" w:rsidRPr="00A31F19">
              <w:rPr>
                <w:rFonts w:ascii="Arial" w:eastAsia="Cambria" w:hAnsi="Arial" w:cs="Arial"/>
                <w:bCs/>
                <w:i/>
                <w:sz w:val="22"/>
                <w:szCs w:val="22"/>
                <w:lang w:val="es-CR" w:eastAsia="en-US"/>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E4A23" w:rsidRDefault="00FE4A23" w:rsidP="007742A1">
      <w:pPr>
        <w:jc w:val="both"/>
        <w:rPr>
          <w:rFonts w:ascii="Arial" w:eastAsia="Cambria" w:hAnsi="Arial" w:cs="Arial"/>
          <w:lang w:val="es-ES_tradnl" w:eastAsia="en-US"/>
        </w:rPr>
      </w:pPr>
    </w:p>
    <w:p w:rsidR="00FE4A23" w:rsidRPr="00FE4A23" w:rsidRDefault="00FE4A23" w:rsidP="00FE4A23">
      <w:pPr>
        <w:tabs>
          <w:tab w:val="left" w:pos="3070"/>
        </w:tabs>
        <w:contextualSpacing/>
        <w:jc w:val="both"/>
        <w:outlineLvl w:val="0"/>
        <w:rPr>
          <w:rFonts w:ascii="Arial" w:hAnsi="Arial" w:cs="Arial"/>
          <w:b/>
          <w:lang w:val="es-CR"/>
        </w:rPr>
      </w:pPr>
      <w:r w:rsidRPr="00FE4A23">
        <w:rPr>
          <w:rFonts w:ascii="Arial" w:hAnsi="Arial" w:cs="Arial"/>
          <w:b/>
          <w:lang w:val="es-CR"/>
        </w:rPr>
        <w:t>RESULTANDO QUE:</w:t>
      </w:r>
    </w:p>
    <w:p w:rsidR="00FE4A23" w:rsidRPr="00FE4A23" w:rsidRDefault="00FE4A23" w:rsidP="00FE4A23">
      <w:pPr>
        <w:jc w:val="both"/>
        <w:rPr>
          <w:rFonts w:ascii="Arial" w:hAnsi="Arial" w:cs="Arial"/>
          <w:sz w:val="18"/>
          <w:szCs w:val="18"/>
          <w:lang w:val="es-CR"/>
        </w:rPr>
      </w:pPr>
    </w:p>
    <w:p w:rsidR="00FE4A23" w:rsidRPr="00FE4A23" w:rsidRDefault="00FE4A23" w:rsidP="00FE4A23">
      <w:pPr>
        <w:numPr>
          <w:ilvl w:val="0"/>
          <w:numId w:val="45"/>
        </w:numPr>
        <w:ind w:left="360"/>
        <w:jc w:val="both"/>
        <w:rPr>
          <w:rFonts w:ascii="Arial" w:hAnsi="Arial" w:cs="Arial"/>
          <w:lang w:val="es-CR"/>
        </w:rPr>
      </w:pPr>
      <w:r w:rsidRPr="00FE4A23">
        <w:rPr>
          <w:rFonts w:ascii="Arial" w:hAnsi="Arial" w:cs="Arial"/>
          <w:lang w:val="es-CR"/>
        </w:rPr>
        <w:t>El Estatuto Orgánico en su Artículo 18, inciso c,</w:t>
      </w:r>
      <w:r w:rsidR="00086D14">
        <w:rPr>
          <w:rFonts w:ascii="Arial" w:hAnsi="Arial" w:cs="Arial"/>
          <w:lang w:val="es-CR"/>
        </w:rPr>
        <w:t xml:space="preserve"> indica</w:t>
      </w:r>
      <w:r w:rsidRPr="00FE4A23">
        <w:rPr>
          <w:rFonts w:ascii="Arial" w:hAnsi="Arial" w:cs="Arial"/>
          <w:lang w:val="es-CR"/>
        </w:rPr>
        <w:t>:</w:t>
      </w:r>
    </w:p>
    <w:p w:rsidR="00FE4A23" w:rsidRPr="00FE4A23" w:rsidRDefault="00FE4A23" w:rsidP="00FE4A23">
      <w:pPr>
        <w:ind w:left="284"/>
        <w:jc w:val="both"/>
        <w:rPr>
          <w:rFonts w:ascii="Arial" w:hAnsi="Arial" w:cs="Arial"/>
          <w:i/>
          <w:sz w:val="22"/>
          <w:szCs w:val="22"/>
          <w:lang w:val="es-CR" w:eastAsia="es-CR"/>
        </w:rPr>
      </w:pPr>
    </w:p>
    <w:p w:rsidR="00FE4A23" w:rsidRPr="00FE4A23" w:rsidRDefault="00FE4A23" w:rsidP="00FE4A23">
      <w:pPr>
        <w:ind w:left="360"/>
        <w:jc w:val="both"/>
        <w:rPr>
          <w:rFonts w:ascii="Arial" w:eastAsia="Calibri" w:hAnsi="Arial" w:cs="Arial"/>
          <w:i/>
          <w:sz w:val="22"/>
          <w:szCs w:val="22"/>
          <w:lang w:val="es-CR"/>
        </w:rPr>
      </w:pPr>
      <w:r w:rsidRPr="00FE4A23">
        <w:rPr>
          <w:rFonts w:ascii="Arial" w:eastAsia="Calibri" w:hAnsi="Arial" w:cs="Arial"/>
          <w:sz w:val="20"/>
          <w:szCs w:val="20"/>
          <w:lang w:val="es-CR"/>
        </w:rPr>
        <w:t>“</w:t>
      </w:r>
      <w:r w:rsidRPr="00FE4A23">
        <w:rPr>
          <w:rFonts w:ascii="Arial" w:eastAsia="Calibri" w:hAnsi="Arial" w:cs="Arial"/>
          <w:i/>
          <w:sz w:val="22"/>
          <w:szCs w:val="22"/>
          <w:lang w:val="es-CR"/>
        </w:rPr>
        <w:t xml:space="preserve">Artículo 18 </w:t>
      </w:r>
    </w:p>
    <w:p w:rsidR="00FE4A23" w:rsidRPr="00FE4A23" w:rsidRDefault="00FE4A23" w:rsidP="00FE4A23">
      <w:pPr>
        <w:ind w:left="360"/>
        <w:jc w:val="both"/>
        <w:rPr>
          <w:rFonts w:ascii="Arial" w:eastAsia="Calibri" w:hAnsi="Arial" w:cs="Arial"/>
          <w:i/>
          <w:sz w:val="22"/>
          <w:szCs w:val="22"/>
          <w:lang w:val="es-CR"/>
        </w:rPr>
      </w:pPr>
    </w:p>
    <w:p w:rsidR="00FE4A23" w:rsidRPr="00FE4A23" w:rsidRDefault="00FE4A23" w:rsidP="00FE4A23">
      <w:pPr>
        <w:ind w:left="360"/>
        <w:rPr>
          <w:rFonts w:ascii="Arial" w:hAnsi="Arial" w:cs="Arial"/>
          <w:i/>
          <w:sz w:val="22"/>
          <w:szCs w:val="22"/>
          <w:lang w:val="es-CR" w:eastAsia="es-CR"/>
        </w:rPr>
      </w:pPr>
      <w:r w:rsidRPr="00FE4A23">
        <w:rPr>
          <w:rFonts w:ascii="Arial" w:hAnsi="Arial" w:cs="Arial"/>
          <w:i/>
          <w:sz w:val="22"/>
          <w:szCs w:val="22"/>
          <w:lang w:val="es-CR" w:eastAsia="es-CR"/>
        </w:rPr>
        <w:t xml:space="preserve">Son funciones del Consejo Institucional: </w:t>
      </w:r>
    </w:p>
    <w:p w:rsidR="00FE4A23" w:rsidRPr="00FE4A23" w:rsidRDefault="00FE4A23" w:rsidP="00FE4A23">
      <w:pPr>
        <w:ind w:left="360"/>
        <w:jc w:val="both"/>
        <w:rPr>
          <w:rFonts w:ascii="Arial" w:hAnsi="Arial" w:cs="Arial"/>
          <w:i/>
          <w:sz w:val="22"/>
          <w:szCs w:val="22"/>
          <w:lang w:val="es-CR" w:eastAsia="es-CR"/>
        </w:rPr>
      </w:pPr>
      <w:r w:rsidRPr="00FE4A23">
        <w:rPr>
          <w:rFonts w:ascii="Arial" w:hAnsi="Arial" w:cs="Arial"/>
          <w:i/>
          <w:sz w:val="22"/>
          <w:szCs w:val="22"/>
          <w:lang w:val="es-CR" w:eastAsia="es-CR"/>
        </w:rPr>
        <w:t>…..</w:t>
      </w:r>
    </w:p>
    <w:p w:rsidR="00FE4A23" w:rsidRPr="00FE4A23" w:rsidRDefault="00FE4A23" w:rsidP="00FE4A23">
      <w:pPr>
        <w:ind w:left="502" w:hanging="284"/>
        <w:jc w:val="both"/>
        <w:rPr>
          <w:rFonts w:ascii="Arial" w:eastAsia="Cambria" w:hAnsi="Arial" w:cs="Arial"/>
          <w:i/>
          <w:sz w:val="22"/>
          <w:szCs w:val="22"/>
          <w:lang w:val="es-ES_tradnl" w:eastAsia="en-US"/>
        </w:rPr>
      </w:pPr>
      <w:r w:rsidRPr="00FE4A23">
        <w:rPr>
          <w:rFonts w:ascii="Arial" w:eastAsia="Cambria" w:hAnsi="Arial" w:cs="Arial"/>
          <w:i/>
          <w:sz w:val="22"/>
          <w:szCs w:val="22"/>
          <w:lang w:val="es-ES_tradnl"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FE4A23" w:rsidRPr="00FE4A23" w:rsidRDefault="00FE4A23" w:rsidP="00FE4A23">
      <w:pPr>
        <w:ind w:left="284"/>
        <w:jc w:val="both"/>
        <w:rPr>
          <w:b/>
          <w:bCs/>
          <w:sz w:val="20"/>
          <w:szCs w:val="20"/>
          <w:lang w:val="es-CR" w:eastAsia="es-CR"/>
        </w:rPr>
      </w:pPr>
    </w:p>
    <w:p w:rsidR="00FE4A23" w:rsidRPr="00FE4A23" w:rsidRDefault="00FE4A23" w:rsidP="00FE4A23">
      <w:pPr>
        <w:numPr>
          <w:ilvl w:val="0"/>
          <w:numId w:val="45"/>
        </w:numPr>
        <w:ind w:left="357" w:hanging="357"/>
        <w:jc w:val="both"/>
        <w:rPr>
          <w:lang w:val="es-CR" w:eastAsia="es-CR"/>
        </w:rPr>
      </w:pPr>
      <w:r w:rsidRPr="00FE4A23">
        <w:rPr>
          <w:rFonts w:ascii="Arial" w:hAnsi="Arial" w:cs="Arial"/>
          <w:lang w:val="es-CR"/>
        </w:rPr>
        <w:t>El Reglamento de Normalización Institucional señala en el Capítulo 4 “Trámite de normalización” y en el Artículo 12 “Tramitación de Reglamentos Generales”,</w:t>
      </w:r>
      <w:r w:rsidR="00086D14">
        <w:rPr>
          <w:rFonts w:ascii="Arial" w:hAnsi="Arial" w:cs="Arial"/>
          <w:lang w:val="es-CR"/>
        </w:rPr>
        <w:t xml:space="preserve"> dice</w:t>
      </w:r>
      <w:r w:rsidRPr="00FE4A23">
        <w:rPr>
          <w:rFonts w:ascii="Arial" w:hAnsi="Arial" w:cs="Arial"/>
          <w:lang w:val="es-CR"/>
        </w:rPr>
        <w:t xml:space="preserve"> lo siguiente:</w:t>
      </w:r>
    </w:p>
    <w:p w:rsidR="00FE4A23" w:rsidRPr="00FE4A23" w:rsidRDefault="00FE4A23" w:rsidP="00FE4A23">
      <w:pPr>
        <w:spacing w:before="100" w:beforeAutospacing="1" w:after="100" w:afterAutospacing="1"/>
        <w:ind w:left="360"/>
        <w:jc w:val="both"/>
        <w:rPr>
          <w:rFonts w:ascii="Arial" w:hAnsi="Arial" w:cs="Arial"/>
          <w:i/>
          <w:lang w:val="es-CR" w:eastAsia="es-CR"/>
        </w:rPr>
      </w:pPr>
      <w:r w:rsidRPr="00FE4A23">
        <w:rPr>
          <w:rFonts w:ascii="Arial" w:hAnsi="Arial" w:cs="Arial"/>
          <w:i/>
          <w:lang w:val="es-CR" w:eastAsia="es-CR"/>
        </w:rPr>
        <w:t>“Cuando se trate de una solicitud de creación, modificación o derogatoria de un reglamento general se procederá de la siguiente manera:</w:t>
      </w:r>
    </w:p>
    <w:p w:rsidR="00FE4A23" w:rsidRPr="00FE4A23" w:rsidRDefault="00FE4A23" w:rsidP="00FE4A23">
      <w:pPr>
        <w:spacing w:before="100" w:beforeAutospacing="1" w:after="100" w:afterAutospacing="1"/>
        <w:ind w:left="720"/>
        <w:jc w:val="both"/>
        <w:rPr>
          <w:rFonts w:ascii="Arial" w:hAnsi="Arial" w:cs="Arial"/>
          <w:sz w:val="22"/>
          <w:szCs w:val="22"/>
          <w:lang w:val="es-CR" w:eastAsia="es-CR"/>
        </w:rPr>
      </w:pPr>
      <w:r w:rsidRPr="00FE4A23">
        <w:rPr>
          <w:rFonts w:ascii="Arial" w:hAnsi="Arial" w:cs="Arial"/>
          <w:i/>
          <w:sz w:val="22"/>
          <w:szCs w:val="22"/>
          <w:lang w:val="es-CR" w:eastAsia="es-CR"/>
        </w:rPr>
        <w:t>Cualquier miembro u Órgano Colegiado de la Comunidad, podrá proponer al Consejo Institucional la iniciativa de creación, modificación o derogatoria de un reglamento general.</w:t>
      </w:r>
    </w:p>
    <w:p w:rsidR="00FE4A23" w:rsidRPr="00FE4A23" w:rsidRDefault="00FE4A23" w:rsidP="00FE4A23">
      <w:pPr>
        <w:spacing w:before="100" w:beforeAutospacing="1" w:after="100" w:afterAutospacing="1"/>
        <w:ind w:left="1080"/>
        <w:jc w:val="both"/>
        <w:rPr>
          <w:rFonts w:ascii="Arial" w:hAnsi="Arial" w:cs="Arial"/>
          <w:lang w:val="es-CR" w:eastAsia="es-CR"/>
        </w:rPr>
      </w:pPr>
      <w:r w:rsidRPr="00FE4A23">
        <w:rPr>
          <w:rFonts w:ascii="Arial" w:hAnsi="Arial" w:cs="Arial"/>
          <w:i/>
          <w:lang w:val="es-CR" w:eastAsia="es-CR"/>
        </w:rPr>
        <w:lastRenderedPageBreak/>
        <w:t>….</w:t>
      </w:r>
    </w:p>
    <w:p w:rsidR="00FE4A23" w:rsidRPr="00FE4A23" w:rsidRDefault="00FE4A23" w:rsidP="00FE4A23">
      <w:pPr>
        <w:numPr>
          <w:ilvl w:val="0"/>
          <w:numId w:val="45"/>
        </w:numPr>
        <w:ind w:left="360"/>
        <w:jc w:val="both"/>
        <w:rPr>
          <w:rFonts w:ascii="Arial" w:hAnsi="Arial" w:cs="Arial"/>
          <w:lang w:val="es-CR"/>
        </w:rPr>
      </w:pPr>
      <w:r w:rsidRPr="00FE4A23">
        <w:rPr>
          <w:rFonts w:ascii="Arial" w:hAnsi="Arial" w:cs="Arial"/>
          <w:lang w:val="es-CR"/>
        </w:rPr>
        <w:t>El “Reglamento de Licencia Sabática para profesores del Instituto Tecnológico de Costa Rica”</w:t>
      </w:r>
      <w:r w:rsidR="00086D14">
        <w:rPr>
          <w:rFonts w:ascii="Arial" w:hAnsi="Arial" w:cs="Arial"/>
          <w:lang w:val="es-CR"/>
        </w:rPr>
        <w:t>,</w:t>
      </w:r>
      <w:r w:rsidRPr="00FE4A23">
        <w:rPr>
          <w:rFonts w:ascii="Arial" w:hAnsi="Arial" w:cs="Arial"/>
          <w:lang w:val="es-CR"/>
        </w:rPr>
        <w:t xml:space="preserve"> fue aprobado por el Consejo Institucional el 11 de junio del 2014 y publicado en la Gaceta No. 384; asimismo, según el Reglamento de Normalización Institucional</w:t>
      </w:r>
      <w:r w:rsidR="00086D14">
        <w:rPr>
          <w:rFonts w:ascii="Arial" w:hAnsi="Arial" w:cs="Arial"/>
          <w:lang w:val="es-CR"/>
        </w:rPr>
        <w:t>,</w:t>
      </w:r>
      <w:r w:rsidRPr="00FE4A23">
        <w:rPr>
          <w:rFonts w:ascii="Arial" w:hAnsi="Arial" w:cs="Arial"/>
          <w:lang w:val="es-CR"/>
        </w:rPr>
        <w:t xml:space="preserve"> fue establecido como reglamento general.</w:t>
      </w:r>
    </w:p>
    <w:p w:rsidR="00FE4A23" w:rsidRPr="00FE4A23" w:rsidRDefault="00FE4A23" w:rsidP="00FE4A23">
      <w:pPr>
        <w:jc w:val="both"/>
        <w:rPr>
          <w:rFonts w:ascii="Arial" w:hAnsi="Arial" w:cs="Arial"/>
          <w:lang w:val="es-CR"/>
        </w:rPr>
      </w:pPr>
    </w:p>
    <w:p w:rsidR="00FE4A23" w:rsidRPr="00FE4A23" w:rsidRDefault="00FE4A23" w:rsidP="00FE4A23">
      <w:pPr>
        <w:numPr>
          <w:ilvl w:val="0"/>
          <w:numId w:val="45"/>
        </w:numPr>
        <w:ind w:left="357" w:hanging="357"/>
        <w:jc w:val="both"/>
        <w:rPr>
          <w:rFonts w:ascii="Arial" w:hAnsi="Arial" w:cs="Arial"/>
          <w:lang w:val="es-CR"/>
        </w:rPr>
      </w:pPr>
      <w:r w:rsidRPr="00FE4A23">
        <w:rPr>
          <w:rFonts w:ascii="Arial" w:hAnsi="Arial" w:cs="Arial"/>
          <w:lang w:val="es-CR"/>
        </w:rPr>
        <w:t xml:space="preserve">El </w:t>
      </w:r>
      <w:r w:rsidR="00086D14">
        <w:rPr>
          <w:rFonts w:ascii="Arial" w:hAnsi="Arial" w:cs="Arial"/>
          <w:lang w:val="es-CR"/>
        </w:rPr>
        <w:t>A</w:t>
      </w:r>
      <w:r w:rsidRPr="00FE4A23">
        <w:rPr>
          <w:rFonts w:ascii="Arial" w:hAnsi="Arial" w:cs="Arial"/>
          <w:lang w:val="es-CR"/>
        </w:rPr>
        <w:t>rtículo 19 del “Reglamento de Licencia Sabática para profesores del Instituto Tecnológico de Costa Rica”</w:t>
      </w:r>
      <w:r w:rsidR="00086D14">
        <w:rPr>
          <w:rFonts w:ascii="Arial" w:hAnsi="Arial" w:cs="Arial"/>
          <w:lang w:val="es-CR"/>
        </w:rPr>
        <w:t>,</w:t>
      </w:r>
      <w:r w:rsidRPr="00FE4A23">
        <w:rPr>
          <w:rFonts w:ascii="Arial" w:hAnsi="Arial" w:cs="Arial"/>
          <w:lang w:val="es-CR"/>
        </w:rPr>
        <w:t xml:space="preserve"> establece lo siguiente:</w:t>
      </w:r>
    </w:p>
    <w:p w:rsidR="00FE4A23" w:rsidRPr="00FE4A23" w:rsidRDefault="00FE4A23" w:rsidP="00FE4A23">
      <w:pPr>
        <w:ind w:left="708"/>
        <w:rPr>
          <w:rFonts w:ascii="Arial" w:hAnsi="Arial" w:cs="Arial"/>
          <w:lang w:val="es-CR"/>
        </w:rPr>
      </w:pPr>
    </w:p>
    <w:p w:rsidR="00FE4A23" w:rsidRPr="00FE4A23" w:rsidRDefault="00086D14" w:rsidP="00FE4A23">
      <w:pPr>
        <w:ind w:left="567" w:right="335"/>
        <w:jc w:val="both"/>
        <w:rPr>
          <w:rFonts w:ascii="Roboto" w:hAnsi="Roboto" w:cs="Arial"/>
          <w:i/>
          <w:sz w:val="22"/>
          <w:szCs w:val="22"/>
          <w:lang w:eastAsia="es-CR"/>
        </w:rPr>
      </w:pPr>
      <w:r>
        <w:rPr>
          <w:rFonts w:ascii="Roboto" w:hAnsi="Roboto" w:cs="Arial"/>
          <w:i/>
          <w:sz w:val="22"/>
          <w:szCs w:val="22"/>
          <w:lang w:eastAsia="es-CR"/>
        </w:rPr>
        <w:t>“</w:t>
      </w:r>
      <w:r w:rsidR="00FE4A23" w:rsidRPr="00FE4A23">
        <w:rPr>
          <w:rFonts w:ascii="Roboto" w:hAnsi="Roboto" w:cs="Arial"/>
          <w:i/>
          <w:sz w:val="22"/>
          <w:szCs w:val="22"/>
          <w:lang w:eastAsia="es-CR"/>
        </w:rPr>
        <w:t>Artículo 19</w:t>
      </w:r>
    </w:p>
    <w:p w:rsidR="00FE4A23" w:rsidRPr="00FE4A23" w:rsidRDefault="00FE4A23" w:rsidP="00FE4A23">
      <w:pPr>
        <w:ind w:left="567" w:right="335"/>
        <w:jc w:val="both"/>
        <w:rPr>
          <w:rFonts w:ascii="Roboto" w:hAnsi="Roboto" w:cs="Arial"/>
          <w:i/>
          <w:sz w:val="22"/>
          <w:szCs w:val="22"/>
          <w:lang w:eastAsia="es-CR"/>
        </w:rPr>
      </w:pPr>
      <w:r w:rsidRPr="00FE4A23">
        <w:rPr>
          <w:rFonts w:ascii="Roboto" w:hAnsi="Roboto" w:cs="Arial"/>
          <w:i/>
          <w:sz w:val="22"/>
          <w:szCs w:val="22"/>
          <w:lang w:eastAsia="es-CR"/>
        </w:rPr>
        <w:t>En el presupuesto del ITCR se incluirá la partida con el monto necesario para cubrir el reemplazo de docentes, que se ausenten por disfrute de una licencia sabática y cuya Escuela solicite su sustitución. Dichos fondos se considerarán, para todos los efectos, como destinados a promover la superación académica de los profesores.</w:t>
      </w:r>
    </w:p>
    <w:p w:rsidR="00FE4A23" w:rsidRPr="00FE4A23" w:rsidRDefault="00FE4A23" w:rsidP="00FE4A23">
      <w:pPr>
        <w:ind w:left="567" w:right="335"/>
        <w:jc w:val="both"/>
        <w:rPr>
          <w:rFonts w:ascii="Roboto" w:hAnsi="Roboto" w:cs="Arial"/>
          <w:i/>
          <w:sz w:val="22"/>
          <w:szCs w:val="22"/>
          <w:lang w:eastAsia="es-CR"/>
        </w:rPr>
      </w:pPr>
      <w:r w:rsidRPr="00FE4A23">
        <w:rPr>
          <w:rFonts w:ascii="Roboto" w:hAnsi="Roboto" w:cs="Arial"/>
          <w:i/>
          <w:sz w:val="22"/>
          <w:szCs w:val="22"/>
          <w:lang w:eastAsia="es-CR"/>
        </w:rPr>
        <w:t>Todo financiamiento de sustituciones por licencia sabática estará supeditado a las prioridades presupuestarias institucionales, definidas al respecto</w:t>
      </w:r>
      <w:r w:rsidR="00086D14">
        <w:rPr>
          <w:rFonts w:ascii="Roboto" w:hAnsi="Roboto" w:cs="Arial"/>
          <w:i/>
          <w:sz w:val="22"/>
          <w:szCs w:val="22"/>
          <w:lang w:eastAsia="es-CR"/>
        </w:rPr>
        <w:t>”</w:t>
      </w:r>
      <w:r w:rsidRPr="00FE4A23">
        <w:rPr>
          <w:rFonts w:ascii="Roboto" w:hAnsi="Roboto" w:cs="Arial"/>
          <w:i/>
          <w:sz w:val="22"/>
          <w:szCs w:val="22"/>
          <w:lang w:eastAsia="es-CR"/>
        </w:rPr>
        <w:t>.</w:t>
      </w:r>
    </w:p>
    <w:p w:rsidR="00FE4A23" w:rsidRPr="00FE4A23" w:rsidRDefault="00FE4A23" w:rsidP="00FE4A23">
      <w:pPr>
        <w:jc w:val="both"/>
        <w:rPr>
          <w:rFonts w:ascii="Arial" w:hAnsi="Arial" w:cs="Arial"/>
          <w:lang w:val="es-CR"/>
        </w:rPr>
      </w:pPr>
    </w:p>
    <w:p w:rsidR="00FE4A23" w:rsidRPr="00FE4A23" w:rsidRDefault="00FE4A23" w:rsidP="00FE4A23">
      <w:pPr>
        <w:tabs>
          <w:tab w:val="left" w:pos="3070"/>
        </w:tabs>
        <w:contextualSpacing/>
        <w:jc w:val="both"/>
        <w:outlineLvl w:val="0"/>
        <w:rPr>
          <w:rFonts w:ascii="Arial" w:hAnsi="Arial" w:cs="Arial"/>
          <w:b/>
          <w:lang w:val="es-CR"/>
        </w:rPr>
      </w:pPr>
      <w:r w:rsidRPr="00FE4A23">
        <w:rPr>
          <w:rFonts w:ascii="Arial" w:hAnsi="Arial" w:cs="Arial"/>
          <w:b/>
          <w:lang w:val="es-CR"/>
        </w:rPr>
        <w:t>CONSIDERANDO QUE:</w:t>
      </w:r>
    </w:p>
    <w:p w:rsidR="00FE4A23" w:rsidRPr="00FE4A23" w:rsidRDefault="00FE4A23" w:rsidP="00FE4A23">
      <w:pPr>
        <w:jc w:val="both"/>
        <w:rPr>
          <w:rFonts w:ascii="Arial" w:hAnsi="Arial" w:cs="Arial"/>
          <w:lang w:val="es-CR"/>
        </w:rPr>
      </w:pPr>
    </w:p>
    <w:p w:rsidR="00FE4A23" w:rsidRPr="00FE4A23" w:rsidRDefault="00FE4A23" w:rsidP="00FE4A23">
      <w:pPr>
        <w:numPr>
          <w:ilvl w:val="0"/>
          <w:numId w:val="47"/>
        </w:numPr>
        <w:ind w:left="360"/>
        <w:jc w:val="both"/>
        <w:rPr>
          <w:rFonts w:ascii="Arial" w:hAnsi="Arial" w:cs="Arial"/>
          <w:lang w:val="es-CR"/>
        </w:rPr>
      </w:pPr>
      <w:r w:rsidRPr="00FE4A23">
        <w:rPr>
          <w:rFonts w:ascii="Arial" w:hAnsi="Arial" w:cs="Arial"/>
          <w:lang w:val="es-CR"/>
        </w:rPr>
        <w:t xml:space="preserve">La Comisión de Administración y Planificación, en la Reunión 779-2018 del jueves 30 de agosto del 2018, recibe al Dr. Humberto Villalta Solano, Vicerrector de Administración y a la MAU. Tatiana Fernández Martín, Directora de la Oficina de Planificación, quienes exponen las acciones que recomiendan implementar para cerrar el plan-presupuesto para el año 2019. </w:t>
      </w:r>
    </w:p>
    <w:p w:rsidR="00FE4A23" w:rsidRPr="00FE4A23" w:rsidRDefault="00FE4A23" w:rsidP="00FE4A23">
      <w:pPr>
        <w:jc w:val="both"/>
        <w:rPr>
          <w:rFonts w:ascii="Arial" w:hAnsi="Arial" w:cs="Arial"/>
          <w:lang w:val="es-CR"/>
        </w:rPr>
      </w:pPr>
    </w:p>
    <w:p w:rsidR="00FE4A23" w:rsidRPr="00FE4A23" w:rsidRDefault="00FE4A23" w:rsidP="00FE4A23">
      <w:pPr>
        <w:numPr>
          <w:ilvl w:val="0"/>
          <w:numId w:val="47"/>
        </w:numPr>
        <w:ind w:left="360"/>
        <w:jc w:val="both"/>
        <w:rPr>
          <w:rFonts w:ascii="Arial" w:hAnsi="Arial" w:cs="Arial"/>
          <w:lang w:val="es-CR"/>
        </w:rPr>
      </w:pPr>
      <w:r w:rsidRPr="00FE4A23">
        <w:rPr>
          <w:rFonts w:ascii="Arial" w:hAnsi="Arial" w:cs="Arial"/>
          <w:lang w:val="es-CR"/>
        </w:rPr>
        <w:t xml:space="preserve">Una de las acciones propuestas, para el año 2019, es no asignar contenido presupuestario a la </w:t>
      </w:r>
      <w:proofErr w:type="spellStart"/>
      <w:r w:rsidRPr="00FE4A23">
        <w:rPr>
          <w:rFonts w:ascii="Arial" w:hAnsi="Arial" w:cs="Arial"/>
          <w:lang w:val="es-CR"/>
        </w:rPr>
        <w:t>Subpartida</w:t>
      </w:r>
      <w:proofErr w:type="spellEnd"/>
      <w:r w:rsidRPr="00FE4A23">
        <w:rPr>
          <w:rFonts w:ascii="Arial" w:hAnsi="Arial" w:cs="Arial"/>
          <w:lang w:val="es-CR"/>
        </w:rPr>
        <w:t xml:space="preserve"> de Remuneraciones, denominada Licencia Sabática para profesores del Instituto Tecnológico de Costa Rica.</w:t>
      </w:r>
    </w:p>
    <w:p w:rsidR="00FE4A23" w:rsidRPr="00FE4A23" w:rsidRDefault="00FE4A23" w:rsidP="00FE4A23">
      <w:pPr>
        <w:ind w:left="360"/>
        <w:jc w:val="both"/>
        <w:rPr>
          <w:rFonts w:ascii="Arial" w:hAnsi="Arial" w:cs="Arial"/>
          <w:lang w:val="es-CR"/>
        </w:rPr>
      </w:pPr>
    </w:p>
    <w:p w:rsidR="00FE4A23" w:rsidRPr="00FE4A23" w:rsidRDefault="00FE4A23" w:rsidP="00FE4A23">
      <w:pPr>
        <w:numPr>
          <w:ilvl w:val="0"/>
          <w:numId w:val="47"/>
        </w:numPr>
        <w:ind w:left="360"/>
        <w:jc w:val="both"/>
        <w:rPr>
          <w:rFonts w:ascii="Arial" w:hAnsi="Arial" w:cs="Arial"/>
          <w:lang w:val="es-CR"/>
        </w:rPr>
      </w:pPr>
      <w:r w:rsidRPr="00FE4A23">
        <w:rPr>
          <w:rFonts w:ascii="Arial" w:hAnsi="Arial" w:cs="Arial"/>
          <w:lang w:val="es-CR"/>
        </w:rPr>
        <w:t>La Comisión de Administración y Planificación señala que, esa acción sólo se puede concretar si se suspende en forma temporal la aplicación del Reglamento de Licencia Sabática para profesores del Instituto Tecnológico de Costa Rica.  En este sentido, la Comisión de Administración y Planificación acuerda consultar a la Oficina de Asesoría Legal sobre el fundamento jurídico que pueda permitir dejar sin aplicación, en forma temporal, un Reglamento vigente. Dicha consulta se plantea mediante el oficio SCI-672-2018.</w:t>
      </w:r>
    </w:p>
    <w:p w:rsidR="00FE4A23" w:rsidRPr="00FE4A23" w:rsidRDefault="00FE4A23" w:rsidP="00FE4A23">
      <w:pPr>
        <w:ind w:left="708"/>
        <w:rPr>
          <w:rFonts w:ascii="Arial" w:hAnsi="Arial" w:cs="Arial"/>
          <w:lang w:val="es-CR"/>
        </w:rPr>
      </w:pPr>
    </w:p>
    <w:p w:rsidR="00FE4A23" w:rsidRPr="00FE4A23" w:rsidRDefault="00FE4A23" w:rsidP="00FE4A23">
      <w:pPr>
        <w:numPr>
          <w:ilvl w:val="0"/>
          <w:numId w:val="47"/>
        </w:numPr>
        <w:ind w:left="360"/>
        <w:jc w:val="both"/>
        <w:rPr>
          <w:rFonts w:ascii="Arial" w:hAnsi="Arial" w:cs="Arial"/>
          <w:lang w:val="es-CR"/>
        </w:rPr>
      </w:pPr>
      <w:r w:rsidRPr="00FE4A23">
        <w:rPr>
          <w:rFonts w:ascii="Arial" w:hAnsi="Arial" w:cs="Arial"/>
          <w:lang w:val="es-CR"/>
        </w:rPr>
        <w:t xml:space="preserve">La Comisión de Planificación y Administración recibe Oficio Asesoría Legal 451-2018 suscrito por la </w:t>
      </w:r>
      <w:proofErr w:type="spellStart"/>
      <w:r w:rsidRPr="00FE4A23">
        <w:rPr>
          <w:rFonts w:ascii="Arial" w:hAnsi="Arial" w:cs="Arial"/>
          <w:lang w:val="es-CR"/>
        </w:rPr>
        <w:t>M.Sc</w:t>
      </w:r>
      <w:proofErr w:type="spellEnd"/>
      <w:r w:rsidRPr="00FE4A23">
        <w:rPr>
          <w:rFonts w:ascii="Arial" w:hAnsi="Arial" w:cs="Arial"/>
          <w:lang w:val="es-CR"/>
        </w:rPr>
        <w:t>. Grettel Ortiz Álvarez, Directora de la Oficina de Asesoría Legal, mediante el cual responde la consulta mencionada en el apartado anterior e indica lo siguiente:</w:t>
      </w:r>
    </w:p>
    <w:p w:rsidR="00FE4A23" w:rsidRPr="00FE4A23" w:rsidRDefault="00FE4A23" w:rsidP="00FE4A23">
      <w:pPr>
        <w:ind w:left="567" w:right="335"/>
        <w:jc w:val="both"/>
        <w:rPr>
          <w:rFonts w:ascii="Arial" w:hAnsi="Arial" w:cs="Arial"/>
          <w:bCs/>
          <w:i/>
          <w:lang w:val="es-CR"/>
        </w:rPr>
      </w:pPr>
      <w:r w:rsidRPr="00FE4A23">
        <w:rPr>
          <w:rFonts w:ascii="Arial" w:hAnsi="Arial" w:cs="Arial"/>
          <w:bCs/>
          <w:i/>
          <w:lang w:val="es-CR"/>
        </w:rPr>
        <w:t>…</w:t>
      </w:r>
    </w:p>
    <w:p w:rsidR="00FE4A23" w:rsidRPr="00FE4A23" w:rsidRDefault="00FE4A23" w:rsidP="00FE4A23">
      <w:pPr>
        <w:ind w:left="567" w:right="335"/>
        <w:jc w:val="both"/>
        <w:rPr>
          <w:rFonts w:ascii="Arial" w:hAnsi="Arial" w:cs="Arial"/>
          <w:i/>
          <w:sz w:val="22"/>
          <w:szCs w:val="22"/>
        </w:rPr>
      </w:pPr>
      <w:r w:rsidRPr="00FE4A23">
        <w:rPr>
          <w:rFonts w:ascii="Arial" w:hAnsi="Arial" w:cs="Arial"/>
          <w:bCs/>
          <w:i/>
          <w:sz w:val="22"/>
          <w:szCs w:val="22"/>
        </w:rPr>
        <w:t>“Primero debe existir una iniciativa de parte de una persona interesada; en ella se indicarán los motivos por los cuales se considera debe modificarse o en este caso derogarse el Reglamento en cuestión, según consultante, por la necesidad de contener el gasto institucional.   Una vez conocido por el Consejo se despliega una serie de etapas de acuerdo todo en cumplimiento del artículo 12 de</w:t>
      </w:r>
      <w:r w:rsidRPr="00FE4A23">
        <w:rPr>
          <w:rFonts w:ascii="Arial" w:hAnsi="Arial" w:cs="Arial"/>
          <w:i/>
          <w:sz w:val="22"/>
          <w:szCs w:val="22"/>
        </w:rPr>
        <w:t xml:space="preserve">l Reglamento de Normalización Institucional. </w:t>
      </w:r>
    </w:p>
    <w:p w:rsidR="00FE4A23" w:rsidRPr="00FE4A23" w:rsidRDefault="00FE4A23" w:rsidP="00FE4A23">
      <w:pPr>
        <w:ind w:left="567" w:right="335"/>
        <w:jc w:val="both"/>
        <w:rPr>
          <w:rFonts w:ascii="Arial" w:hAnsi="Arial" w:cs="Arial"/>
          <w:i/>
          <w:sz w:val="22"/>
          <w:szCs w:val="22"/>
        </w:rPr>
      </w:pPr>
    </w:p>
    <w:p w:rsidR="00FE4A23" w:rsidRPr="00FE4A23" w:rsidRDefault="00FE4A23" w:rsidP="00FE4A23">
      <w:pPr>
        <w:ind w:left="567" w:right="335"/>
        <w:jc w:val="both"/>
        <w:rPr>
          <w:rFonts w:ascii="Arial" w:hAnsi="Arial" w:cs="Arial"/>
          <w:bCs/>
          <w:i/>
          <w:sz w:val="22"/>
          <w:szCs w:val="22"/>
        </w:rPr>
      </w:pPr>
      <w:r w:rsidRPr="00FE4A23">
        <w:rPr>
          <w:rFonts w:ascii="Arial" w:hAnsi="Arial" w:cs="Arial"/>
          <w:bCs/>
          <w:i/>
          <w:sz w:val="22"/>
          <w:szCs w:val="22"/>
        </w:rPr>
        <w:lastRenderedPageBreak/>
        <w:t>5. Finalmente, de acordar la derogatoria, se recomienda la toma de un acuerdo por parte del Consejo Institucional en el sentido, que las personas que se encuentren gozando de la licencia Sabática, a la fecha de la derogación del reglamento en cuestión, continuarán disfrutando de la misma, hasta la fecha estipulada de su finalización, ello con el objetivo de no violentar derechos ya existentes y evitar la nulidad del acto administrativo lesivo a los intereses de los administrados.</w:t>
      </w:r>
    </w:p>
    <w:p w:rsidR="00FE4A23" w:rsidRPr="00FE4A23" w:rsidRDefault="00FE4A23" w:rsidP="00FE4A23">
      <w:pPr>
        <w:ind w:left="567" w:right="335"/>
        <w:jc w:val="both"/>
        <w:rPr>
          <w:rFonts w:ascii="Arial" w:hAnsi="Arial" w:cs="Arial"/>
          <w:bCs/>
          <w:i/>
          <w:sz w:val="22"/>
          <w:szCs w:val="22"/>
        </w:rPr>
      </w:pPr>
    </w:p>
    <w:p w:rsidR="00FE4A23" w:rsidRPr="00FE4A23" w:rsidRDefault="00FE4A23" w:rsidP="00FE4A23">
      <w:pPr>
        <w:ind w:left="567" w:right="335"/>
        <w:jc w:val="both"/>
        <w:rPr>
          <w:rFonts w:ascii="Arial" w:hAnsi="Arial" w:cs="Arial"/>
          <w:bCs/>
          <w:i/>
          <w:sz w:val="22"/>
          <w:szCs w:val="22"/>
        </w:rPr>
      </w:pPr>
      <w:r w:rsidRPr="00FE4A23">
        <w:rPr>
          <w:rFonts w:ascii="Arial" w:hAnsi="Arial" w:cs="Arial"/>
          <w:bCs/>
          <w:i/>
          <w:sz w:val="22"/>
          <w:szCs w:val="22"/>
        </w:rPr>
        <w:t>Cabe hacer la recomendación  para que sea considerado a futuro por el Consejo Institucional,  es adoptar la costumbre  que utilizan algunas instituciones de derecho Público, a fin de evitar la rigidez reglamentaria para  salvar sus problemas, tomando previsiones cuando se da la redacción de las normas generales, e ir creando artículos que permitan la flexibilidad de su aplicación para supuestos concretos, o en casos apreciados y debidamente motivados por la Administración, como lo es la problemática financiera.</w:t>
      </w:r>
    </w:p>
    <w:p w:rsidR="00FE4A23" w:rsidRPr="00FE4A23" w:rsidRDefault="00FE4A23" w:rsidP="00FE4A23">
      <w:pPr>
        <w:ind w:left="567" w:right="335"/>
        <w:jc w:val="both"/>
        <w:rPr>
          <w:rFonts w:ascii="Arial" w:hAnsi="Arial" w:cs="Arial"/>
          <w:bCs/>
          <w:i/>
          <w:sz w:val="22"/>
          <w:szCs w:val="22"/>
        </w:rPr>
      </w:pPr>
      <w:r w:rsidRPr="00FE4A23">
        <w:rPr>
          <w:rFonts w:ascii="Arial" w:hAnsi="Arial" w:cs="Arial"/>
          <w:bCs/>
          <w:i/>
          <w:sz w:val="22"/>
          <w:szCs w:val="22"/>
        </w:rPr>
        <w:t>…”</w:t>
      </w:r>
    </w:p>
    <w:p w:rsidR="00FE4A23" w:rsidRPr="00FE4A23" w:rsidRDefault="00FE4A23" w:rsidP="00FE4A23">
      <w:pPr>
        <w:ind w:left="360"/>
        <w:jc w:val="both"/>
        <w:rPr>
          <w:rFonts w:ascii="Arial" w:hAnsi="Arial" w:cs="Arial"/>
          <w:lang w:val="es-CR"/>
        </w:rPr>
      </w:pPr>
    </w:p>
    <w:p w:rsidR="00FE4A23" w:rsidRPr="00FE4A23" w:rsidRDefault="00FE4A23" w:rsidP="00FE4A23">
      <w:pPr>
        <w:numPr>
          <w:ilvl w:val="0"/>
          <w:numId w:val="47"/>
        </w:numPr>
        <w:ind w:left="360"/>
        <w:jc w:val="both"/>
        <w:rPr>
          <w:rFonts w:ascii="Arial" w:hAnsi="Arial" w:cs="Arial"/>
          <w:b/>
          <w:lang w:val="es-CR"/>
        </w:rPr>
      </w:pPr>
      <w:r w:rsidRPr="00FE4A23">
        <w:rPr>
          <w:rFonts w:ascii="Arial" w:hAnsi="Arial" w:cs="Arial"/>
          <w:lang w:val="es-CR"/>
        </w:rPr>
        <w:t xml:space="preserve">Del oficio Asesoría Legal 451-2018 se desprende que una opción factible, para habilitar la medida propuesta por la Administración, de no presupuestar para el año 2019 la </w:t>
      </w:r>
      <w:proofErr w:type="spellStart"/>
      <w:r w:rsidRPr="00FE4A23">
        <w:rPr>
          <w:rFonts w:ascii="Arial" w:hAnsi="Arial" w:cs="Arial"/>
          <w:lang w:val="es-CR"/>
        </w:rPr>
        <w:t>Subpartida</w:t>
      </w:r>
      <w:proofErr w:type="spellEnd"/>
      <w:r w:rsidRPr="00FE4A23">
        <w:rPr>
          <w:rFonts w:ascii="Arial" w:hAnsi="Arial" w:cs="Arial"/>
          <w:lang w:val="es-CR"/>
        </w:rPr>
        <w:t xml:space="preserve"> de Licencia Sabática, consiste en modificar el artículo 19 del “Reglamento de Licencia Sabática para profesores del Instituto Tecnológico de Costa Rica”, sin que sea necesaria la derogatoria del Reglamento.</w:t>
      </w:r>
    </w:p>
    <w:p w:rsidR="00FE4A23" w:rsidRPr="00FE4A23" w:rsidRDefault="00FE4A23" w:rsidP="00FE4A23">
      <w:pPr>
        <w:jc w:val="both"/>
        <w:rPr>
          <w:rFonts w:ascii="Arial" w:hAnsi="Arial" w:cs="Arial"/>
          <w:lang w:val="es-CR"/>
        </w:rPr>
      </w:pPr>
    </w:p>
    <w:p w:rsidR="00FE4A23" w:rsidRPr="00FE4A23" w:rsidRDefault="00FE4A23" w:rsidP="00FE4A23">
      <w:pPr>
        <w:numPr>
          <w:ilvl w:val="0"/>
          <w:numId w:val="47"/>
        </w:numPr>
        <w:ind w:left="360"/>
        <w:jc w:val="both"/>
        <w:rPr>
          <w:rFonts w:ascii="Arial" w:hAnsi="Arial" w:cs="Arial"/>
          <w:lang w:val="es-CR"/>
        </w:rPr>
      </w:pPr>
      <w:r w:rsidRPr="00FE4A23">
        <w:rPr>
          <w:rFonts w:ascii="Arial" w:hAnsi="Arial" w:cs="Arial"/>
          <w:lang w:val="es-CR"/>
        </w:rPr>
        <w:t>Las Comisiones de Asuntos Académicos y Estudiantiles y de Planificación y Administración avalan la modificación del artículo 19 del “Reglamento de Licencia Sabática para profesores del Instituto Tecnológico de Costa Rica”, en los siguientes términos:</w:t>
      </w:r>
    </w:p>
    <w:p w:rsidR="00FE4A23" w:rsidRPr="00FE4A23" w:rsidRDefault="00FE4A23" w:rsidP="00FE4A23">
      <w:pPr>
        <w:ind w:left="708"/>
        <w:rPr>
          <w:rFonts w:ascii="Arial" w:hAnsi="Arial" w:cs="Arial"/>
          <w:lang w:val="es-CR"/>
        </w:rPr>
      </w:pPr>
    </w:p>
    <w:p w:rsidR="00FE4A23" w:rsidRPr="00FE4A23" w:rsidRDefault="00FE4A23" w:rsidP="00FE4A23">
      <w:pPr>
        <w:ind w:left="567" w:right="335"/>
        <w:jc w:val="both"/>
        <w:rPr>
          <w:rFonts w:ascii="Arial" w:hAnsi="Arial" w:cs="Arial"/>
          <w:i/>
          <w:sz w:val="22"/>
          <w:szCs w:val="22"/>
          <w:lang w:eastAsia="es-CR"/>
        </w:rPr>
      </w:pPr>
      <w:r w:rsidRPr="00FE4A23">
        <w:rPr>
          <w:rFonts w:ascii="Arial" w:hAnsi="Arial" w:cs="Arial"/>
          <w:i/>
          <w:sz w:val="22"/>
          <w:szCs w:val="22"/>
        </w:rPr>
        <w:t>Artículo 19</w:t>
      </w:r>
    </w:p>
    <w:p w:rsidR="00FE4A23" w:rsidRPr="00FE4A23" w:rsidRDefault="00FE4A23" w:rsidP="00086D14">
      <w:pPr>
        <w:ind w:left="567" w:right="335"/>
        <w:jc w:val="both"/>
        <w:rPr>
          <w:rFonts w:ascii="Arial" w:hAnsi="Arial" w:cs="Arial"/>
          <w:i/>
          <w:sz w:val="22"/>
          <w:szCs w:val="22"/>
        </w:rPr>
      </w:pPr>
      <w:r w:rsidRPr="00FE4A23">
        <w:rPr>
          <w:rFonts w:ascii="Arial" w:hAnsi="Arial" w:cs="Arial"/>
          <w:i/>
          <w:sz w:val="22"/>
          <w:szCs w:val="22"/>
        </w:rPr>
        <w:t>En el presupuesto del ITCR se incluirá la partida con el monto necesario para cubrir el reemplazo de docentes, que se ausenten por disfrute de una licencia sabática, y cuya Escuela solicite su sustitución. Dichos fondos se considerarán, para todos los efectos, como destinados a promover la superación académica de los profesores. Todo financiamiento de sustituciones por licencia sabática estará supeditado a las prioridades presupuestarias institucionales, definidas al respecto. No obstante, el Consejo Institucional podrá autorizar que no se presupueste esta partida, cuando la situación presupuestaria institucional así lo requiera.</w:t>
      </w:r>
    </w:p>
    <w:p w:rsidR="00FE4A23" w:rsidRPr="00FE4A23" w:rsidRDefault="00FE4A23" w:rsidP="00FE4A23">
      <w:pPr>
        <w:jc w:val="both"/>
        <w:rPr>
          <w:rFonts w:ascii="Arial" w:hAnsi="Arial" w:cs="Arial"/>
          <w:b/>
          <w:lang w:val="es-CR"/>
        </w:rPr>
      </w:pPr>
      <w:r w:rsidRPr="00FE4A23">
        <w:rPr>
          <w:rFonts w:ascii="Arial" w:hAnsi="Arial" w:cs="Arial"/>
          <w:b/>
          <w:lang w:val="es-CR"/>
        </w:rPr>
        <w:t xml:space="preserve"> </w:t>
      </w:r>
    </w:p>
    <w:p w:rsidR="00FE4A23" w:rsidRPr="00FE4A23" w:rsidRDefault="00FE4A23" w:rsidP="00FE4A23">
      <w:pPr>
        <w:jc w:val="both"/>
        <w:rPr>
          <w:rFonts w:ascii="Arial" w:hAnsi="Arial" w:cs="Arial"/>
          <w:b/>
          <w:lang w:val="es-CR"/>
        </w:rPr>
      </w:pPr>
      <w:r w:rsidRPr="00FE4A23">
        <w:rPr>
          <w:rFonts w:ascii="Arial" w:hAnsi="Arial" w:cs="Arial"/>
          <w:b/>
          <w:lang w:val="es-CR"/>
        </w:rPr>
        <w:t>SE</w:t>
      </w:r>
      <w:r w:rsidR="00086D14">
        <w:rPr>
          <w:rFonts w:ascii="Arial" w:hAnsi="Arial" w:cs="Arial"/>
          <w:b/>
          <w:lang w:val="es-CR"/>
        </w:rPr>
        <w:t xml:space="preserve"> ACUERDA</w:t>
      </w:r>
      <w:r w:rsidRPr="00FE4A23">
        <w:rPr>
          <w:rFonts w:ascii="Arial" w:hAnsi="Arial" w:cs="Arial"/>
          <w:b/>
          <w:lang w:val="es-CR"/>
        </w:rPr>
        <w:t>:</w:t>
      </w:r>
    </w:p>
    <w:p w:rsidR="00FE4A23" w:rsidRPr="00FE4A23" w:rsidRDefault="00FE4A23" w:rsidP="00FE4A23">
      <w:pPr>
        <w:jc w:val="both"/>
        <w:rPr>
          <w:rFonts w:ascii="Arial" w:hAnsi="Arial" w:cs="Arial"/>
          <w:b/>
          <w:lang w:val="es-CR"/>
        </w:rPr>
      </w:pPr>
    </w:p>
    <w:p w:rsidR="00FE4A23" w:rsidRPr="00FE4A23" w:rsidRDefault="00FE4A23" w:rsidP="00FE4A23">
      <w:pPr>
        <w:numPr>
          <w:ilvl w:val="0"/>
          <w:numId w:val="46"/>
        </w:numPr>
        <w:ind w:left="284" w:right="-91" w:hanging="284"/>
        <w:jc w:val="both"/>
        <w:rPr>
          <w:rFonts w:ascii="Arial" w:hAnsi="Arial" w:cs="Arial"/>
          <w:b/>
          <w:i/>
          <w:sz w:val="20"/>
          <w:szCs w:val="20"/>
        </w:rPr>
      </w:pPr>
      <w:r w:rsidRPr="00FE4A23">
        <w:rPr>
          <w:rFonts w:ascii="Arial" w:hAnsi="Arial" w:cs="Arial"/>
        </w:rPr>
        <w:t xml:space="preserve">Reformar el </w:t>
      </w:r>
      <w:r w:rsidRPr="00FE4A23">
        <w:rPr>
          <w:rFonts w:ascii="Arial" w:hAnsi="Arial" w:cs="Arial"/>
          <w:lang w:val="es-CR"/>
        </w:rPr>
        <w:t xml:space="preserve">artículo 19 del “Reglamento de Licencia Sabática para profesores del Instituto Tecnológico de Costa Rica”, para que se lea de la siguiente manera:  </w:t>
      </w:r>
    </w:p>
    <w:p w:rsidR="00FE4A23" w:rsidRPr="00FE4A23" w:rsidRDefault="00FE4A23" w:rsidP="00FE4A23">
      <w:pPr>
        <w:ind w:left="284" w:right="-91"/>
        <w:jc w:val="both"/>
        <w:rPr>
          <w:rFonts w:ascii="Arial" w:hAnsi="Arial" w:cs="Arial"/>
          <w:b/>
          <w:i/>
          <w:sz w:val="20"/>
          <w:szCs w:val="20"/>
        </w:rPr>
      </w:pPr>
    </w:p>
    <w:p w:rsidR="00FE4A23" w:rsidRPr="00FE4A23" w:rsidRDefault="00FE4A23" w:rsidP="00FE4A23">
      <w:pPr>
        <w:ind w:left="567" w:right="335"/>
        <w:jc w:val="both"/>
        <w:rPr>
          <w:rFonts w:ascii="Arial" w:hAnsi="Arial" w:cs="Arial"/>
          <w:sz w:val="22"/>
          <w:szCs w:val="22"/>
          <w:lang w:eastAsia="es-CR"/>
        </w:rPr>
      </w:pPr>
      <w:r w:rsidRPr="00FE4A23">
        <w:rPr>
          <w:rFonts w:ascii="Arial" w:hAnsi="Arial" w:cs="Arial"/>
          <w:sz w:val="22"/>
          <w:szCs w:val="22"/>
        </w:rPr>
        <w:t>Artículo 19</w:t>
      </w:r>
    </w:p>
    <w:p w:rsidR="00FE4A23" w:rsidRPr="00FE4A23" w:rsidRDefault="00FE4A23" w:rsidP="00FE4A23">
      <w:pPr>
        <w:ind w:left="567" w:right="335"/>
        <w:jc w:val="both"/>
        <w:rPr>
          <w:rFonts w:ascii="Arial" w:hAnsi="Arial" w:cs="Arial"/>
          <w:sz w:val="22"/>
          <w:szCs w:val="22"/>
        </w:rPr>
      </w:pPr>
      <w:r w:rsidRPr="00FE4A23">
        <w:rPr>
          <w:rFonts w:ascii="Arial" w:hAnsi="Arial" w:cs="Arial"/>
          <w:sz w:val="22"/>
          <w:szCs w:val="22"/>
        </w:rPr>
        <w:t>En el presupuesto del ITCR se incluirá la partida con el monto necesario para cubrir el reemplazo de docentes que se ausenten por disfrute de una licencia sabática y cuya Escuela solicite su sustitución. Dichos fondos se considerarán, para todos los efectos, como destinados a promover la superación académica de los profesores. Todo financiamiento de sustituciones por licencia sabática estará supeditado a las prioridades presupuestarias institucionales, definidas al respecto. No obstante, el Consejo Institucional podrá autorizar que no se presupueste esta partida, cuando la situación presupuestaria institucional así lo requiera.</w:t>
      </w:r>
    </w:p>
    <w:p w:rsidR="00FE4A23" w:rsidRPr="00FE4A23" w:rsidRDefault="00FE4A23" w:rsidP="00FE4A23">
      <w:pPr>
        <w:widowControl w:val="0"/>
        <w:jc w:val="both"/>
        <w:rPr>
          <w:rFonts w:ascii="Arial" w:hAnsi="Arial" w:cs="Arial"/>
          <w:b/>
          <w:i/>
          <w:sz w:val="20"/>
          <w:szCs w:val="20"/>
        </w:rPr>
      </w:pPr>
    </w:p>
    <w:p w:rsidR="00FE4A23" w:rsidRPr="00FE4A23" w:rsidRDefault="00FE4A23" w:rsidP="00FE4A23">
      <w:pPr>
        <w:widowControl w:val="0"/>
        <w:jc w:val="both"/>
        <w:rPr>
          <w:rFonts w:ascii="Arial" w:hAnsi="Arial" w:cs="Arial"/>
          <w:b/>
          <w:i/>
          <w:sz w:val="20"/>
          <w:szCs w:val="20"/>
        </w:rPr>
      </w:pPr>
    </w:p>
    <w:p w:rsidR="00ED1939" w:rsidRDefault="00ED1939" w:rsidP="007742A1">
      <w:pPr>
        <w:jc w:val="both"/>
        <w:rPr>
          <w:rFonts w:ascii="Arial" w:eastAsia="Cambria" w:hAnsi="Arial" w:cs="Arial"/>
          <w:lang w:val="es-ES_tradnl" w:eastAsia="en-US"/>
        </w:rPr>
      </w:pPr>
    </w:p>
    <w:p w:rsidR="00ED1939" w:rsidRPr="00FE4A23" w:rsidRDefault="00BB6A5E" w:rsidP="00086D14">
      <w:pPr>
        <w:numPr>
          <w:ilvl w:val="0"/>
          <w:numId w:val="46"/>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E4A23" w:rsidRDefault="00FE4A23" w:rsidP="00FE4A23">
      <w:pPr>
        <w:widowControl w:val="0"/>
        <w:suppressAutoHyphens/>
        <w:autoSpaceDE w:val="0"/>
        <w:autoSpaceDN w:val="0"/>
        <w:adjustRightInd w:val="0"/>
        <w:spacing w:after="113"/>
        <w:contextualSpacing/>
        <w:jc w:val="both"/>
        <w:rPr>
          <w:rFonts w:ascii="Arial" w:hAnsi="Arial" w:cs="Arial"/>
          <w:b/>
          <w:lang w:val="es-CR"/>
        </w:rPr>
      </w:pPr>
    </w:p>
    <w:p w:rsidR="00FE4A23" w:rsidRDefault="00FE4A23" w:rsidP="00FE4A23">
      <w:pPr>
        <w:widowControl w:val="0"/>
        <w:suppressAutoHyphens/>
        <w:autoSpaceDE w:val="0"/>
        <w:autoSpaceDN w:val="0"/>
        <w:adjustRightInd w:val="0"/>
        <w:spacing w:after="113"/>
        <w:contextualSpacing/>
        <w:jc w:val="both"/>
        <w:rPr>
          <w:rFonts w:ascii="Arial" w:hAnsi="Arial" w:cs="Arial"/>
          <w:b/>
          <w:lang w:val="es-CR"/>
        </w:rPr>
      </w:pPr>
    </w:p>
    <w:p w:rsidR="00FE4A23" w:rsidRPr="00FE4A23" w:rsidRDefault="00FE4A23" w:rsidP="00FE4A23">
      <w:pPr>
        <w:widowControl w:val="0"/>
        <w:jc w:val="both"/>
        <w:rPr>
          <w:rFonts w:ascii="Arial" w:hAnsi="Arial" w:cs="Arial"/>
          <w:b/>
          <w:i/>
          <w:sz w:val="20"/>
          <w:szCs w:val="20"/>
        </w:rPr>
      </w:pPr>
      <w:r w:rsidRPr="00FE4A23">
        <w:rPr>
          <w:rFonts w:ascii="Arial" w:hAnsi="Arial" w:cs="Arial"/>
          <w:b/>
          <w:i/>
          <w:sz w:val="20"/>
          <w:szCs w:val="20"/>
        </w:rPr>
        <w:t xml:space="preserve">Palabras Clave:        Modificación -  Artículo </w:t>
      </w:r>
      <w:proofErr w:type="gramStart"/>
      <w:r w:rsidRPr="00FE4A23">
        <w:rPr>
          <w:rFonts w:ascii="Arial" w:hAnsi="Arial" w:cs="Arial"/>
          <w:b/>
          <w:i/>
          <w:sz w:val="20"/>
          <w:szCs w:val="20"/>
        </w:rPr>
        <w:t>19  –</w:t>
      </w:r>
      <w:proofErr w:type="gramEnd"/>
      <w:r w:rsidRPr="00FE4A23">
        <w:rPr>
          <w:rFonts w:ascii="Arial" w:hAnsi="Arial" w:cs="Arial"/>
          <w:b/>
          <w:i/>
          <w:sz w:val="20"/>
          <w:szCs w:val="20"/>
        </w:rPr>
        <w:t xml:space="preserve"> Reglamento   –Licencia Sabática </w:t>
      </w:r>
    </w:p>
    <w:p w:rsidR="00FE4A23" w:rsidRDefault="00FE4A23" w:rsidP="00FE4A23">
      <w:pPr>
        <w:widowControl w:val="0"/>
        <w:suppressAutoHyphens/>
        <w:autoSpaceDE w:val="0"/>
        <w:autoSpaceDN w:val="0"/>
        <w:adjustRightInd w:val="0"/>
        <w:spacing w:after="113"/>
        <w:contextualSpacing/>
        <w:jc w:val="both"/>
        <w:rPr>
          <w:rFonts w:ascii="Arial" w:hAnsi="Arial" w:cs="Arial"/>
          <w:b/>
          <w:lang w:val="es-CR"/>
        </w:rPr>
      </w:pPr>
    </w:p>
    <w:p w:rsidR="00FE4A23" w:rsidRPr="00C413F4" w:rsidRDefault="00FE4A23" w:rsidP="00FE4A23">
      <w:pPr>
        <w:widowControl w:val="0"/>
        <w:suppressAutoHyphens/>
        <w:autoSpaceDE w:val="0"/>
        <w:autoSpaceDN w:val="0"/>
        <w:adjustRightInd w:val="0"/>
        <w:spacing w:after="113"/>
        <w:contextualSpacing/>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D23326" w:rsidRPr="00C413F4" w:rsidRDefault="00C413F4" w:rsidP="00A31F19">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2C0D34" w:rsidRPr="00C413F4" w:rsidRDefault="002C0D34" w:rsidP="00885F0A">
      <w:pPr>
        <w:jc w:val="both"/>
        <w:rPr>
          <w:rFonts w:ascii="Arial" w:eastAsia="Cambria" w:hAnsi="Arial" w:cs="Arial"/>
          <w:b/>
          <w:sz w:val="16"/>
          <w:szCs w:val="16"/>
          <w:lang w:val="es-CR" w:eastAsia="en-US"/>
        </w:rPr>
      </w:pPr>
      <w:r w:rsidRPr="00C413F4">
        <w:rPr>
          <w:rFonts w:ascii="Arial" w:eastAsia="Cambria" w:hAnsi="Arial" w:cs="Arial"/>
          <w:b/>
          <w:sz w:val="16"/>
          <w:szCs w:val="16"/>
          <w:lang w:val="es-CR" w:eastAsia="en-US"/>
        </w:rPr>
        <w:t xml:space="preserve">        </w:t>
      </w:r>
    </w:p>
    <w:p w:rsidR="0003651A" w:rsidRPr="00C413F4" w:rsidRDefault="00956670" w:rsidP="00F41044">
      <w:pPr>
        <w:jc w:val="both"/>
        <w:rPr>
          <w:rFonts w:ascii="Arial" w:eastAsia="Cambria" w:hAnsi="Arial" w:cs="Arial"/>
          <w:sz w:val="22"/>
          <w:szCs w:val="22"/>
          <w:lang w:val="es-CR" w:eastAsia="en-US"/>
        </w:rPr>
      </w:pPr>
      <w:r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86" w:rsidRDefault="00632186">
      <w:r>
        <w:separator/>
      </w:r>
    </w:p>
  </w:endnote>
  <w:endnote w:type="continuationSeparator" w:id="0">
    <w:p w:rsidR="00632186" w:rsidRDefault="0063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86" w:rsidRDefault="00632186">
      <w:r>
        <w:separator/>
      </w:r>
    </w:p>
  </w:footnote>
  <w:footnote w:type="continuationSeparator" w:id="0">
    <w:p w:rsidR="00632186" w:rsidRDefault="0063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A31F1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FE4A23">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31F19">
      <w:rPr>
        <w:rFonts w:ascii="Arial" w:eastAsia="Cambria" w:hAnsi="Arial" w:cs="Arial"/>
        <w:i/>
        <w:sz w:val="18"/>
        <w:szCs w:val="18"/>
        <w:lang w:val="es-ES_tradnl" w:eastAsia="x-none"/>
      </w:rPr>
      <w:t>05</w:t>
    </w:r>
    <w:r w:rsidR="00C55D84">
      <w:rPr>
        <w:rFonts w:ascii="Arial" w:eastAsia="Cambria" w:hAnsi="Arial" w:cs="Arial"/>
        <w:i/>
        <w:sz w:val="18"/>
        <w:szCs w:val="18"/>
        <w:lang w:val="es-ES_tradnl" w:eastAsia="x-none"/>
      </w:rPr>
      <w:t xml:space="preserve"> de </w:t>
    </w:r>
    <w:r w:rsidR="00A31F19">
      <w:rPr>
        <w:rFonts w:ascii="Arial" w:eastAsia="Cambria" w:hAnsi="Arial" w:cs="Arial"/>
        <w:i/>
        <w:sz w:val="18"/>
        <w:szCs w:val="18"/>
        <w:lang w:val="es-ES_tradnl" w:eastAsia="x-none"/>
      </w:rPr>
      <w:t>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338C5">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D77419B"/>
    <w:multiLevelType w:val="hybridMultilevel"/>
    <w:tmpl w:val="446A18AA"/>
    <w:lvl w:ilvl="0" w:tplc="A4389CF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6" w15:restartNumberingAfterBreak="0">
    <w:nsid w:val="1385153B"/>
    <w:multiLevelType w:val="hybridMultilevel"/>
    <w:tmpl w:val="4AD8BABA"/>
    <w:lvl w:ilvl="0" w:tplc="20608AA0">
      <w:start w:val="1"/>
      <w:numFmt w:val="decimal"/>
      <w:lvlText w:val="%1."/>
      <w:lvlJc w:val="left"/>
      <w:pPr>
        <w:ind w:left="578" w:hanging="360"/>
      </w:pPr>
      <w:rPr>
        <w:rFonts w:hint="default"/>
        <w:b/>
        <w:i w:val="0"/>
        <w:color w:val="auto"/>
        <w:lang w:val="x-none"/>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7" w15:restartNumberingAfterBreak="0">
    <w:nsid w:val="16672303"/>
    <w:multiLevelType w:val="hybridMultilevel"/>
    <w:tmpl w:val="880C9C7A"/>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9" w15:restartNumberingAfterBreak="0">
    <w:nsid w:val="16E45454"/>
    <w:multiLevelType w:val="hybridMultilevel"/>
    <w:tmpl w:val="D3CE0052"/>
    <w:lvl w:ilvl="0" w:tplc="940625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F00713"/>
    <w:multiLevelType w:val="hybridMultilevel"/>
    <w:tmpl w:val="3A4CC212"/>
    <w:lvl w:ilvl="0" w:tplc="9B86066A">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33FC"/>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7" w15:restartNumberingAfterBreak="0">
    <w:nsid w:val="2E693203"/>
    <w:multiLevelType w:val="hybridMultilevel"/>
    <w:tmpl w:val="729ADC3C"/>
    <w:lvl w:ilvl="0" w:tplc="81DC4F3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2FA10167"/>
    <w:multiLevelType w:val="hybridMultilevel"/>
    <w:tmpl w:val="5C8CCC74"/>
    <w:lvl w:ilvl="0" w:tplc="343EB3DC">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9" w15:restartNumberingAfterBreak="0">
    <w:nsid w:val="38BE7ED4"/>
    <w:multiLevelType w:val="hybridMultilevel"/>
    <w:tmpl w:val="6CDCD0D2"/>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337651E"/>
    <w:multiLevelType w:val="hybridMultilevel"/>
    <w:tmpl w:val="AF06ED86"/>
    <w:lvl w:ilvl="0" w:tplc="B3E4CC1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BEF5565"/>
    <w:multiLevelType w:val="hybridMultilevel"/>
    <w:tmpl w:val="5F3848AC"/>
    <w:lvl w:ilvl="0" w:tplc="81C608A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BD5329"/>
    <w:multiLevelType w:val="hybridMultilevel"/>
    <w:tmpl w:val="18921442"/>
    <w:lvl w:ilvl="0" w:tplc="30185850">
      <w:start w:val="2"/>
      <w:numFmt w:val="bullet"/>
      <w:lvlText w:val="-"/>
      <w:lvlJc w:val="left"/>
      <w:pPr>
        <w:ind w:left="360" w:hanging="360"/>
      </w:pPr>
      <w:rPr>
        <w:rFonts w:ascii="Arial" w:eastAsia="Cambria"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5CDA5769"/>
    <w:multiLevelType w:val="hybridMultilevel"/>
    <w:tmpl w:val="A1CCA2D8"/>
    <w:lvl w:ilvl="0" w:tplc="F6DE33E8">
      <w:start w:val="1"/>
      <w:numFmt w:val="bullet"/>
      <w:lvlText w:val="-"/>
      <w:lvlJc w:val="left"/>
      <w:pPr>
        <w:ind w:left="786" w:hanging="360"/>
      </w:pPr>
      <w:rPr>
        <w:rFonts w:ascii="Arial" w:eastAsia="Times New Roman" w:hAnsi="Arial" w:cs="Arial"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31" w15:restartNumberingAfterBreak="0">
    <w:nsid w:val="5DFE1778"/>
    <w:multiLevelType w:val="hybridMultilevel"/>
    <w:tmpl w:val="60E23B58"/>
    <w:lvl w:ilvl="0" w:tplc="9B86066A">
      <w:start w:val="1"/>
      <w:numFmt w:val="lowerLetter"/>
      <w:lvlText w:val="%1."/>
      <w:lvlJc w:val="left"/>
      <w:pPr>
        <w:ind w:left="720" w:hanging="360"/>
      </w:pPr>
      <w:rPr>
        <w:b/>
        <w:color w:val="auto"/>
      </w:rPr>
    </w:lvl>
    <w:lvl w:ilvl="1" w:tplc="2A1010BE">
      <w:start w:val="1"/>
      <w:numFmt w:val="lowerLetter"/>
      <w:lvlText w:val="%2."/>
      <w:lvlJc w:val="left"/>
      <w:pPr>
        <w:ind w:left="1440" w:hanging="360"/>
      </w:pPr>
      <w:rPr>
        <w:b/>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3"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34" w15:restartNumberingAfterBreak="0">
    <w:nsid w:val="63DF2FB9"/>
    <w:multiLevelType w:val="hybridMultilevel"/>
    <w:tmpl w:val="57FA716E"/>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0D6079"/>
    <w:multiLevelType w:val="hybridMultilevel"/>
    <w:tmpl w:val="EBF48D04"/>
    <w:lvl w:ilvl="0" w:tplc="6A3ABE42">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7"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163211D"/>
    <w:multiLevelType w:val="hybridMultilevel"/>
    <w:tmpl w:val="1CC0522C"/>
    <w:lvl w:ilvl="0" w:tplc="9B86066A">
      <w:start w:val="1"/>
      <w:numFmt w:val="lowerLetter"/>
      <w:lvlText w:val="%1."/>
      <w:lvlJc w:val="left"/>
      <w:pPr>
        <w:ind w:left="720" w:hanging="360"/>
      </w:pPr>
      <w:rPr>
        <w:rFonts w:hint="default"/>
        <w:b/>
        <w:color w:val="auto"/>
      </w:rPr>
    </w:lvl>
    <w:lvl w:ilvl="1" w:tplc="C6AA054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8722D7"/>
    <w:multiLevelType w:val="hybridMultilevel"/>
    <w:tmpl w:val="ED988B48"/>
    <w:lvl w:ilvl="0" w:tplc="B8AA09F4">
      <w:start w:val="1"/>
      <w:numFmt w:val="lowerLetter"/>
      <w:lvlText w:val="%1."/>
      <w:lvlJc w:val="left"/>
      <w:pPr>
        <w:ind w:left="720" w:hanging="360"/>
      </w:pPr>
      <w:rPr>
        <w:b/>
        <w:i w:val="0"/>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764127F"/>
    <w:multiLevelType w:val="hybridMultilevel"/>
    <w:tmpl w:val="913407B6"/>
    <w:lvl w:ilvl="0" w:tplc="4C860B1C">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4"/>
  </w:num>
  <w:num w:numId="3">
    <w:abstractNumId w:val="20"/>
  </w:num>
  <w:num w:numId="4">
    <w:abstractNumId w:val="32"/>
  </w:num>
  <w:num w:numId="5">
    <w:abstractNumId w:val="1"/>
  </w:num>
  <w:num w:numId="6">
    <w:abstractNumId w:val="22"/>
  </w:num>
  <w:num w:numId="7">
    <w:abstractNumId w:val="46"/>
  </w:num>
  <w:num w:numId="8">
    <w:abstractNumId w:val="45"/>
  </w:num>
  <w:num w:numId="9">
    <w:abstractNumId w:val="23"/>
  </w:num>
  <w:num w:numId="10">
    <w:abstractNumId w:val="15"/>
  </w:num>
  <w:num w:numId="11">
    <w:abstractNumId w:val="41"/>
  </w:num>
  <w:num w:numId="12">
    <w:abstractNumId w:val="43"/>
  </w:num>
  <w:num w:numId="13">
    <w:abstractNumId w:val="3"/>
  </w:num>
  <w:num w:numId="14">
    <w:abstractNumId w:val="12"/>
  </w:num>
  <w:num w:numId="15">
    <w:abstractNumId w:val="10"/>
  </w:num>
  <w:num w:numId="16">
    <w:abstractNumId w:val="26"/>
  </w:num>
  <w:num w:numId="17">
    <w:abstractNumId w:val="24"/>
  </w:num>
  <w:num w:numId="18">
    <w:abstractNumId w:val="35"/>
  </w:num>
  <w:num w:numId="19">
    <w:abstractNumId w:val="33"/>
  </w:num>
  <w:num w:numId="20">
    <w:abstractNumId w:val="6"/>
  </w:num>
  <w:num w:numId="21">
    <w:abstractNumId w:val="36"/>
  </w:num>
  <w:num w:numId="22">
    <w:abstractNumId w:val="5"/>
  </w:num>
  <w:num w:numId="23">
    <w:abstractNumId w:val="16"/>
  </w:num>
  <w:num w:numId="24">
    <w:abstractNumId w:val="42"/>
  </w:num>
  <w:num w:numId="25">
    <w:abstractNumId w:val="39"/>
  </w:num>
  <w:num w:numId="26">
    <w:abstractNumId w:val="7"/>
  </w:num>
  <w:num w:numId="27">
    <w:abstractNumId w:val="8"/>
  </w:num>
  <w:num w:numId="28">
    <w:abstractNumId w:val="34"/>
  </w:num>
  <w:num w:numId="29">
    <w:abstractNumId w:val="4"/>
  </w:num>
  <w:num w:numId="30">
    <w:abstractNumId w:val="13"/>
  </w:num>
  <w:num w:numId="31">
    <w:abstractNumId w:val="9"/>
  </w:num>
  <w:num w:numId="32">
    <w:abstractNumId w:val="25"/>
  </w:num>
  <w:num w:numId="33">
    <w:abstractNumId w:val="37"/>
  </w:num>
  <w:num w:numId="34">
    <w:abstractNumId w:val="14"/>
  </w:num>
  <w:num w:numId="35">
    <w:abstractNumId w:val="17"/>
  </w:num>
  <w:num w:numId="36">
    <w:abstractNumId w:val="31"/>
  </w:num>
  <w:num w:numId="37">
    <w:abstractNumId w:val="11"/>
  </w:num>
  <w:num w:numId="38">
    <w:abstractNumId w:val="27"/>
  </w:num>
  <w:num w:numId="39">
    <w:abstractNumId w:val="38"/>
  </w:num>
  <w:num w:numId="40">
    <w:abstractNumId w:val="18"/>
  </w:num>
  <w:num w:numId="41">
    <w:abstractNumId w:val="29"/>
  </w:num>
  <w:num w:numId="42">
    <w:abstractNumId w:val="0"/>
  </w:num>
  <w:num w:numId="43">
    <w:abstractNumId w:val="21"/>
  </w:num>
  <w:num w:numId="44">
    <w:abstractNumId w:val="30"/>
  </w:num>
  <w:num w:numId="45">
    <w:abstractNumId w:val="19"/>
  </w:num>
  <w:num w:numId="46">
    <w:abstractNumId w:val="40"/>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43A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FC36-910B-4A71-ADCA-6507BC3F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49</cp:revision>
  <cp:lastPrinted>2018-08-16T22:42:00Z</cp:lastPrinted>
  <dcterms:created xsi:type="dcterms:W3CDTF">2018-05-02T21:37:00Z</dcterms:created>
  <dcterms:modified xsi:type="dcterms:W3CDTF">2018-09-05T18:01:00Z</dcterms:modified>
</cp:coreProperties>
</file>