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51E87" w:rsidRDefault="007742A1" w:rsidP="000E4C68">
      <w:pPr>
        <w:tabs>
          <w:tab w:val="left" w:pos="7313"/>
        </w:tabs>
        <w:outlineLvl w:val="4"/>
        <w:rPr>
          <w:rFonts w:ascii="Arial" w:hAnsi="Arial" w:cs="Arial"/>
          <w:b/>
          <w:bCs/>
          <w:iCs/>
          <w:lang w:val="es-CR"/>
        </w:rPr>
      </w:pPr>
      <w:r w:rsidRPr="00D51E87">
        <w:rPr>
          <w:rFonts w:ascii="Arial" w:hAnsi="Arial" w:cs="Arial"/>
          <w:b/>
          <w:bCs/>
          <w:iCs/>
          <w:lang w:val="es-CR"/>
        </w:rPr>
        <w:t>SCI-</w:t>
      </w:r>
      <w:r w:rsidR="00D51E87">
        <w:rPr>
          <w:rFonts w:ascii="Arial" w:hAnsi="Arial" w:cs="Arial"/>
          <w:b/>
          <w:bCs/>
          <w:iCs/>
          <w:lang w:val="es-CR"/>
        </w:rPr>
        <w:t>812</w:t>
      </w:r>
      <w:bookmarkStart w:id="0" w:name="_GoBack"/>
      <w:bookmarkEnd w:id="0"/>
      <w:r w:rsidRPr="00D51E87">
        <w:rPr>
          <w:rFonts w:ascii="Arial" w:hAnsi="Arial" w:cs="Arial"/>
          <w:b/>
          <w:bCs/>
          <w:iCs/>
          <w:lang w:val="es-CR"/>
        </w:rPr>
        <w:t>-201</w:t>
      </w:r>
      <w:r w:rsidR="006F7054" w:rsidRPr="00D51E87">
        <w:rPr>
          <w:rFonts w:ascii="Arial" w:hAnsi="Arial" w:cs="Arial"/>
          <w:b/>
          <w:bCs/>
          <w:iCs/>
          <w:lang w:val="es-CR"/>
        </w:rPr>
        <w:t>8</w:t>
      </w:r>
      <w:r w:rsidR="000E4C68" w:rsidRPr="00D51E87">
        <w:rPr>
          <w:rFonts w:ascii="Arial" w:hAnsi="Arial" w:cs="Arial"/>
          <w:b/>
          <w:bCs/>
          <w:iCs/>
          <w:lang w:val="es-CR"/>
        </w:rPr>
        <w:tab/>
      </w:r>
    </w:p>
    <w:p w:rsidR="007742A1" w:rsidRPr="00D51E87" w:rsidRDefault="007742A1" w:rsidP="00337455">
      <w:pPr>
        <w:tabs>
          <w:tab w:val="left" w:pos="6612"/>
        </w:tabs>
        <w:rPr>
          <w:rFonts w:ascii="Arial" w:eastAsia="Cambria" w:hAnsi="Arial" w:cs="Arial"/>
          <w:b/>
          <w:bCs/>
          <w:iCs/>
          <w:sz w:val="36"/>
          <w:szCs w:val="36"/>
          <w:lang w:val="es-ES_tradnl" w:eastAsia="en-US"/>
        </w:rPr>
      </w:pPr>
      <w:r w:rsidRPr="00D51E87">
        <w:rPr>
          <w:rFonts w:ascii="Arial" w:eastAsia="Cambria" w:hAnsi="Arial" w:cs="Arial"/>
          <w:b/>
          <w:bCs/>
          <w:iCs/>
          <w:sz w:val="36"/>
          <w:szCs w:val="36"/>
          <w:lang w:val="es-ES_tradnl" w:eastAsia="en-US"/>
        </w:rPr>
        <w:t xml:space="preserve">Comunicación de acuerdo </w:t>
      </w:r>
      <w:r w:rsidR="00337455" w:rsidRPr="00D51E87">
        <w:rPr>
          <w:rFonts w:ascii="Arial" w:eastAsia="Cambria" w:hAnsi="Arial" w:cs="Arial"/>
          <w:b/>
          <w:bCs/>
          <w:iCs/>
          <w:sz w:val="36"/>
          <w:szCs w:val="36"/>
          <w:lang w:val="es-ES_tradnl" w:eastAsia="en-US"/>
        </w:rPr>
        <w:tab/>
      </w:r>
    </w:p>
    <w:p w:rsidR="007742A1" w:rsidRPr="00D51E87" w:rsidRDefault="007742A1" w:rsidP="007742A1">
      <w:pPr>
        <w:rPr>
          <w:rFonts w:ascii="Cambria" w:eastAsia="Cambria" w:hAnsi="Cambria" w:cs="Arial"/>
          <w:bCs/>
          <w:iCs/>
          <w:sz w:val="22"/>
          <w:szCs w:val="22"/>
          <w:lang w:val="es-ES_tradnl" w:eastAsia="en-US"/>
        </w:rPr>
      </w:pPr>
    </w:p>
    <w:tbl>
      <w:tblPr>
        <w:tblW w:w="8671" w:type="dxa"/>
        <w:tblInd w:w="108" w:type="dxa"/>
        <w:tblLayout w:type="fixed"/>
        <w:tblLook w:val="01E0" w:firstRow="1" w:lastRow="1" w:firstColumn="1" w:lastColumn="1" w:noHBand="0" w:noVBand="0"/>
      </w:tblPr>
      <w:tblGrid>
        <w:gridCol w:w="1275"/>
        <w:gridCol w:w="7396"/>
      </w:tblGrid>
      <w:tr w:rsidR="007742A1" w:rsidRPr="00D51E87" w:rsidTr="001E5090">
        <w:trPr>
          <w:trHeight w:val="545"/>
        </w:trPr>
        <w:tc>
          <w:tcPr>
            <w:tcW w:w="1275" w:type="dxa"/>
          </w:tcPr>
          <w:p w:rsidR="007742A1" w:rsidRPr="00D51E87" w:rsidRDefault="007742A1" w:rsidP="007742A1">
            <w:pPr>
              <w:tabs>
                <w:tab w:val="right" w:pos="2100"/>
                <w:tab w:val="left" w:pos="2694"/>
              </w:tabs>
              <w:rPr>
                <w:rFonts w:ascii="Arial" w:eastAsia="SimSun" w:hAnsi="Arial" w:cs="Arial"/>
                <w:b/>
                <w:iCs/>
                <w:sz w:val="22"/>
                <w:szCs w:val="22"/>
                <w:lang w:val="es-ES_tradnl" w:eastAsia="en-US"/>
              </w:rPr>
            </w:pPr>
            <w:r w:rsidRPr="00D51E87">
              <w:rPr>
                <w:rFonts w:ascii="Arial" w:eastAsia="SimSun" w:hAnsi="Arial" w:cs="Arial"/>
                <w:b/>
                <w:iCs/>
                <w:sz w:val="22"/>
                <w:szCs w:val="22"/>
                <w:lang w:val="es-ES_tradnl" w:eastAsia="en-US"/>
              </w:rPr>
              <w:t>Para:</w:t>
            </w:r>
          </w:p>
        </w:tc>
        <w:tc>
          <w:tcPr>
            <w:tcW w:w="7396" w:type="dxa"/>
          </w:tcPr>
          <w:p w:rsidR="00D51E87" w:rsidRPr="00D51E87" w:rsidRDefault="00800337" w:rsidP="00456ABA">
            <w:pPr>
              <w:jc w:val="both"/>
              <w:rPr>
                <w:rFonts w:ascii="Arial" w:eastAsia="Cambria" w:hAnsi="Arial" w:cs="Arial"/>
                <w:sz w:val="22"/>
                <w:szCs w:val="22"/>
                <w:lang w:val="es-ES_tradnl" w:eastAsia="en-US"/>
              </w:rPr>
            </w:pPr>
            <w:r w:rsidRPr="00D51E87">
              <w:rPr>
                <w:rFonts w:ascii="Arial" w:eastAsia="Cambria" w:hAnsi="Arial" w:cs="Arial"/>
                <w:sz w:val="22"/>
                <w:szCs w:val="22"/>
                <w:lang w:val="es-ES_tradnl" w:eastAsia="en-US"/>
              </w:rPr>
              <w:t xml:space="preserve"> </w:t>
            </w:r>
            <w:r w:rsidR="00F52439" w:rsidRPr="00D51E87">
              <w:rPr>
                <w:rFonts w:ascii="Arial" w:eastAsia="Cambria" w:hAnsi="Arial" w:cs="Arial"/>
                <w:sz w:val="22"/>
                <w:szCs w:val="22"/>
                <w:lang w:val="es-ES_tradnl" w:eastAsia="en-US"/>
              </w:rPr>
              <w:t>Dr. Julio Calvo Alvarado</w:t>
            </w:r>
            <w:r w:rsidR="0090700F" w:rsidRPr="00D51E87">
              <w:rPr>
                <w:rFonts w:ascii="Arial" w:eastAsia="Cambria" w:hAnsi="Arial" w:cs="Arial"/>
                <w:sz w:val="22"/>
                <w:szCs w:val="22"/>
                <w:lang w:val="es-ES_tradnl" w:eastAsia="en-US"/>
              </w:rPr>
              <w:t>, Rector</w:t>
            </w:r>
            <w:r w:rsidR="00974D66" w:rsidRPr="00D51E87">
              <w:rPr>
                <w:rFonts w:ascii="Arial" w:eastAsia="Cambria" w:hAnsi="Arial" w:cs="Arial"/>
                <w:sz w:val="22"/>
                <w:szCs w:val="22"/>
                <w:lang w:val="es-ES_tradnl" w:eastAsia="en-US"/>
              </w:rPr>
              <w:t xml:space="preserve"> </w:t>
            </w:r>
          </w:p>
          <w:p w:rsidR="00D12C87" w:rsidRPr="00D51E87" w:rsidRDefault="00AD4C32" w:rsidP="00EE02DF">
            <w:pPr>
              <w:jc w:val="both"/>
              <w:rPr>
                <w:rFonts w:ascii="Arial" w:hAnsi="Arial" w:cs="Arial"/>
                <w:sz w:val="22"/>
                <w:szCs w:val="22"/>
                <w:lang w:val="es-CR"/>
              </w:rPr>
            </w:pPr>
            <w:r w:rsidRPr="00D51E87">
              <w:rPr>
                <w:rFonts w:ascii="Arial" w:eastAsia="Cambria" w:hAnsi="Arial" w:cs="Arial"/>
                <w:sz w:val="22"/>
                <w:szCs w:val="22"/>
                <w:lang w:val="es-ES_tradnl" w:eastAsia="en-US"/>
              </w:rPr>
              <w:t xml:space="preserve"> </w:t>
            </w:r>
            <w:r w:rsidR="00D51E87" w:rsidRPr="00D51E87">
              <w:rPr>
                <w:rFonts w:ascii="Arial" w:hAnsi="Arial" w:cs="Arial"/>
                <w:sz w:val="22"/>
                <w:szCs w:val="22"/>
                <w:lang w:val="es-CR"/>
              </w:rPr>
              <w:t>Dr. Humberto Villalta Solano, Vicerrector de Administración</w:t>
            </w:r>
          </w:p>
          <w:p w:rsidR="00D51E87" w:rsidRPr="00D51E87" w:rsidRDefault="00D51E87" w:rsidP="00D51E87">
            <w:pPr>
              <w:ind w:left="75"/>
              <w:jc w:val="both"/>
              <w:rPr>
                <w:rFonts w:ascii="Arial" w:hAnsi="Arial" w:cs="Arial"/>
                <w:sz w:val="22"/>
                <w:szCs w:val="22"/>
                <w:lang w:val="es-CR"/>
              </w:rPr>
            </w:pPr>
            <w:r w:rsidRPr="00D51E87">
              <w:rPr>
                <w:rFonts w:ascii="Arial" w:hAnsi="Arial" w:cs="Arial"/>
                <w:sz w:val="22"/>
                <w:szCs w:val="22"/>
                <w:lang w:val="es-CR"/>
              </w:rPr>
              <w:t>Licda. Kathya Calderón Mora, Directora del Departamento de Aprovisionamiento</w:t>
            </w:r>
          </w:p>
          <w:p w:rsidR="00D51E87" w:rsidRPr="00D51E87" w:rsidRDefault="00D51E87" w:rsidP="00D51E87">
            <w:pPr>
              <w:ind w:left="75"/>
              <w:jc w:val="both"/>
              <w:rPr>
                <w:rFonts w:ascii="Arial" w:hAnsi="Arial" w:cs="Arial"/>
                <w:sz w:val="22"/>
                <w:szCs w:val="22"/>
                <w:lang w:val="es-CR"/>
              </w:rPr>
            </w:pPr>
            <w:r w:rsidRPr="00D51E87">
              <w:rPr>
                <w:rFonts w:ascii="Arial" w:hAnsi="Arial" w:cs="Arial"/>
                <w:sz w:val="22"/>
                <w:szCs w:val="22"/>
                <w:lang w:val="es-CR"/>
              </w:rPr>
              <w:t>Licda. Silvia Watson Araya, Directora del Departamento Financiero Contable</w:t>
            </w:r>
          </w:p>
          <w:p w:rsidR="00D51E87" w:rsidRPr="00D51E87" w:rsidRDefault="00D51E87" w:rsidP="00D51E87">
            <w:pPr>
              <w:ind w:left="75"/>
              <w:jc w:val="both"/>
              <w:rPr>
                <w:rFonts w:ascii="Arial" w:hAnsi="Arial" w:cs="Arial"/>
                <w:sz w:val="22"/>
                <w:szCs w:val="22"/>
                <w:lang w:val="es-CR"/>
              </w:rPr>
            </w:pPr>
            <w:r w:rsidRPr="00D51E87">
              <w:rPr>
                <w:rFonts w:ascii="Arial" w:hAnsi="Arial" w:cs="Arial"/>
                <w:sz w:val="22"/>
                <w:szCs w:val="22"/>
                <w:lang w:val="es-CR"/>
              </w:rPr>
              <w:t>Lic. Isidro Álvarez Salazar, Auditor Interno</w:t>
            </w:r>
          </w:p>
          <w:p w:rsidR="00D51E87" w:rsidRPr="00D51E87" w:rsidRDefault="00D51E87" w:rsidP="00EE02DF">
            <w:pPr>
              <w:jc w:val="both"/>
              <w:rPr>
                <w:rFonts w:ascii="Arial" w:eastAsia="Cambria" w:hAnsi="Arial" w:cs="Arial"/>
                <w:sz w:val="22"/>
                <w:szCs w:val="22"/>
                <w:lang w:val="es-CR" w:eastAsia="en-US"/>
              </w:rPr>
            </w:pPr>
          </w:p>
        </w:tc>
      </w:tr>
      <w:tr w:rsidR="007742A1" w:rsidRPr="00D51E87" w:rsidTr="001E5090">
        <w:trPr>
          <w:trHeight w:val="536"/>
        </w:trPr>
        <w:tc>
          <w:tcPr>
            <w:tcW w:w="1275" w:type="dxa"/>
          </w:tcPr>
          <w:p w:rsidR="007742A1" w:rsidRPr="00D51E87" w:rsidRDefault="007742A1" w:rsidP="007742A1">
            <w:pPr>
              <w:rPr>
                <w:rFonts w:ascii="Arial" w:eastAsia="SimSun" w:hAnsi="Arial" w:cs="Arial"/>
                <w:b/>
                <w:sz w:val="22"/>
                <w:szCs w:val="22"/>
                <w:lang w:val="es-ES_tradnl" w:eastAsia="en-US"/>
              </w:rPr>
            </w:pPr>
            <w:r w:rsidRPr="00D51E87">
              <w:rPr>
                <w:rFonts w:ascii="Arial" w:eastAsia="SimSun" w:hAnsi="Arial" w:cs="Arial"/>
                <w:b/>
                <w:sz w:val="22"/>
                <w:szCs w:val="22"/>
                <w:lang w:val="es-ES_tradnl" w:eastAsia="en-US"/>
              </w:rPr>
              <w:t xml:space="preserve">De: </w:t>
            </w:r>
          </w:p>
        </w:tc>
        <w:tc>
          <w:tcPr>
            <w:tcW w:w="7396" w:type="dxa"/>
          </w:tcPr>
          <w:p w:rsidR="008D7E9D" w:rsidRPr="00D51E87" w:rsidRDefault="008D7E9D" w:rsidP="008D7E9D">
            <w:pPr>
              <w:ind w:left="45"/>
              <w:jc w:val="both"/>
              <w:rPr>
                <w:rFonts w:ascii="Arial" w:eastAsia="Cambria" w:hAnsi="Arial" w:cs="Arial"/>
                <w:sz w:val="22"/>
                <w:szCs w:val="22"/>
                <w:lang w:val="es-ES_tradnl" w:eastAsia="en-US"/>
              </w:rPr>
            </w:pPr>
            <w:r w:rsidRPr="00D51E87">
              <w:rPr>
                <w:rFonts w:ascii="Arial" w:eastAsia="Cambria" w:hAnsi="Arial" w:cs="Arial"/>
                <w:sz w:val="22"/>
                <w:szCs w:val="22"/>
                <w:lang w:val="es-ES_tradnl" w:eastAsia="en-US"/>
              </w:rPr>
              <w:t>M.A.E. Ana Damaris Quesada Murillo, Directora Ejecutiva</w:t>
            </w:r>
          </w:p>
          <w:p w:rsidR="007742A1" w:rsidRPr="00D51E87" w:rsidRDefault="008D7E9D" w:rsidP="008D7E9D">
            <w:pPr>
              <w:ind w:left="45"/>
              <w:jc w:val="both"/>
              <w:rPr>
                <w:rFonts w:ascii="Arial" w:eastAsia="Cambria" w:hAnsi="Arial" w:cs="Arial"/>
                <w:sz w:val="22"/>
                <w:szCs w:val="22"/>
                <w:lang w:val="es-ES_tradnl" w:eastAsia="en-US"/>
              </w:rPr>
            </w:pPr>
            <w:r w:rsidRPr="00D51E87">
              <w:rPr>
                <w:rFonts w:ascii="Arial" w:eastAsia="Cambria" w:hAnsi="Arial" w:cs="Arial"/>
                <w:sz w:val="22"/>
                <w:szCs w:val="22"/>
                <w:lang w:val="es-ES_tradnl" w:eastAsia="en-US"/>
              </w:rPr>
              <w:t>Secretaría del Consejo Institucional</w:t>
            </w:r>
          </w:p>
        </w:tc>
      </w:tr>
      <w:tr w:rsidR="007742A1" w:rsidRPr="00D51E87" w:rsidTr="001E5090">
        <w:trPr>
          <w:trHeight w:val="232"/>
        </w:trPr>
        <w:tc>
          <w:tcPr>
            <w:tcW w:w="1275" w:type="dxa"/>
          </w:tcPr>
          <w:p w:rsidR="007742A1" w:rsidRPr="00D51E87" w:rsidRDefault="007742A1" w:rsidP="007742A1">
            <w:pPr>
              <w:rPr>
                <w:rFonts w:ascii="Arial" w:eastAsia="SimSun" w:hAnsi="Arial" w:cs="Arial"/>
                <w:b/>
                <w:sz w:val="22"/>
                <w:szCs w:val="22"/>
                <w:lang w:val="es-ES_tradnl" w:eastAsia="en-US"/>
              </w:rPr>
            </w:pPr>
          </w:p>
          <w:p w:rsidR="007742A1" w:rsidRPr="00D51E87" w:rsidRDefault="007742A1" w:rsidP="007742A1">
            <w:pPr>
              <w:rPr>
                <w:rFonts w:ascii="Arial" w:eastAsia="SimSun" w:hAnsi="Arial" w:cs="Arial"/>
                <w:b/>
                <w:sz w:val="22"/>
                <w:szCs w:val="22"/>
                <w:lang w:val="es-ES_tradnl" w:eastAsia="en-US"/>
              </w:rPr>
            </w:pPr>
            <w:r w:rsidRPr="00D51E87">
              <w:rPr>
                <w:rFonts w:ascii="Arial" w:eastAsia="SimSun" w:hAnsi="Arial" w:cs="Arial"/>
                <w:b/>
                <w:sz w:val="22"/>
                <w:szCs w:val="22"/>
                <w:lang w:val="es-ES_tradnl" w:eastAsia="en-US"/>
              </w:rPr>
              <w:t>Fecha:</w:t>
            </w:r>
          </w:p>
        </w:tc>
        <w:tc>
          <w:tcPr>
            <w:tcW w:w="7396" w:type="dxa"/>
          </w:tcPr>
          <w:p w:rsidR="007742A1" w:rsidRPr="00D51E87" w:rsidRDefault="007742A1" w:rsidP="007742A1">
            <w:pPr>
              <w:tabs>
                <w:tab w:val="right" w:pos="2410"/>
                <w:tab w:val="left" w:pos="2694"/>
              </w:tabs>
              <w:rPr>
                <w:rFonts w:ascii="Arial" w:eastAsia="Cambria" w:hAnsi="Arial" w:cs="Arial"/>
                <w:b/>
                <w:sz w:val="22"/>
                <w:szCs w:val="22"/>
                <w:lang w:eastAsia="en-US"/>
              </w:rPr>
            </w:pPr>
          </w:p>
          <w:p w:rsidR="007F1052" w:rsidRPr="00D51E87" w:rsidRDefault="00EE02DF" w:rsidP="000B5852">
            <w:pPr>
              <w:jc w:val="both"/>
              <w:rPr>
                <w:rFonts w:ascii="Arial" w:eastAsia="Cambria" w:hAnsi="Arial" w:cs="Arial"/>
                <w:b/>
                <w:sz w:val="22"/>
                <w:szCs w:val="22"/>
                <w:lang w:val="es-ES_tradnl" w:eastAsia="en-US"/>
              </w:rPr>
            </w:pPr>
            <w:r w:rsidRPr="00D51E87">
              <w:rPr>
                <w:rFonts w:ascii="Arial" w:eastAsia="Cambria" w:hAnsi="Arial" w:cs="Arial"/>
                <w:b/>
                <w:sz w:val="22"/>
                <w:szCs w:val="22"/>
                <w:lang w:val="es-ES_tradnl" w:eastAsia="en-US"/>
              </w:rPr>
              <w:t>10</w:t>
            </w:r>
            <w:r w:rsidR="00D76019" w:rsidRPr="00D51E87">
              <w:rPr>
                <w:rFonts w:ascii="Arial" w:eastAsia="Cambria" w:hAnsi="Arial" w:cs="Arial"/>
                <w:b/>
                <w:sz w:val="22"/>
                <w:szCs w:val="22"/>
                <w:lang w:val="es-ES_tradnl" w:eastAsia="en-US"/>
              </w:rPr>
              <w:t xml:space="preserve"> </w:t>
            </w:r>
            <w:r w:rsidR="00A5669A" w:rsidRPr="00D51E87">
              <w:rPr>
                <w:rFonts w:ascii="Arial" w:eastAsia="Cambria" w:hAnsi="Arial" w:cs="Arial"/>
                <w:b/>
                <w:sz w:val="22"/>
                <w:szCs w:val="22"/>
                <w:lang w:val="es-ES_tradnl" w:eastAsia="en-US"/>
              </w:rPr>
              <w:t xml:space="preserve">de </w:t>
            </w:r>
            <w:r w:rsidR="0002009C" w:rsidRPr="00D51E87">
              <w:rPr>
                <w:rFonts w:ascii="Arial" w:eastAsia="Cambria" w:hAnsi="Arial" w:cs="Arial"/>
                <w:b/>
                <w:sz w:val="22"/>
                <w:szCs w:val="22"/>
                <w:lang w:val="es-ES_tradnl" w:eastAsia="en-US"/>
              </w:rPr>
              <w:t>octu</w:t>
            </w:r>
            <w:r w:rsidR="00D76019" w:rsidRPr="00D51E87">
              <w:rPr>
                <w:rFonts w:ascii="Arial" w:eastAsia="Cambria" w:hAnsi="Arial" w:cs="Arial"/>
                <w:b/>
                <w:sz w:val="22"/>
                <w:szCs w:val="22"/>
                <w:lang w:val="es-ES_tradnl" w:eastAsia="en-US"/>
              </w:rPr>
              <w:t xml:space="preserve">bre </w:t>
            </w:r>
            <w:r w:rsidR="007742A1" w:rsidRPr="00D51E87">
              <w:rPr>
                <w:rFonts w:ascii="Arial" w:eastAsia="Cambria" w:hAnsi="Arial" w:cs="Arial"/>
                <w:b/>
                <w:sz w:val="22"/>
                <w:szCs w:val="22"/>
                <w:lang w:val="es-ES_tradnl" w:eastAsia="en-US"/>
              </w:rPr>
              <w:t>de 201</w:t>
            </w:r>
            <w:r w:rsidR="003B6DC0" w:rsidRPr="00D51E87">
              <w:rPr>
                <w:rFonts w:ascii="Arial" w:eastAsia="Cambria" w:hAnsi="Arial" w:cs="Arial"/>
                <w:b/>
                <w:sz w:val="22"/>
                <w:szCs w:val="22"/>
                <w:lang w:val="es-ES_tradnl" w:eastAsia="en-US"/>
              </w:rPr>
              <w:t>8</w:t>
            </w:r>
          </w:p>
          <w:p w:rsidR="00336F05" w:rsidRPr="00D51E87" w:rsidRDefault="00336F05" w:rsidP="000B5852">
            <w:pPr>
              <w:jc w:val="both"/>
              <w:rPr>
                <w:rFonts w:ascii="Arial" w:eastAsia="Cambria" w:hAnsi="Arial" w:cs="Arial"/>
                <w:b/>
                <w:sz w:val="22"/>
                <w:szCs w:val="22"/>
                <w:lang w:val="es-ES_tradnl" w:eastAsia="en-US"/>
              </w:rPr>
            </w:pPr>
          </w:p>
        </w:tc>
      </w:tr>
      <w:tr w:rsidR="00A2484D" w:rsidRPr="00D51E87" w:rsidTr="001E5090">
        <w:trPr>
          <w:trHeight w:val="232"/>
        </w:trPr>
        <w:tc>
          <w:tcPr>
            <w:tcW w:w="1275" w:type="dxa"/>
          </w:tcPr>
          <w:p w:rsidR="007742A1" w:rsidRPr="00D51E87" w:rsidRDefault="007742A1" w:rsidP="007742A1">
            <w:pPr>
              <w:rPr>
                <w:rFonts w:ascii="Arial" w:eastAsia="SimSun" w:hAnsi="Arial" w:cs="Arial"/>
                <w:b/>
                <w:sz w:val="22"/>
                <w:szCs w:val="22"/>
                <w:lang w:val="es-ES_tradnl" w:eastAsia="en-US"/>
              </w:rPr>
            </w:pPr>
            <w:r w:rsidRPr="00D51E87">
              <w:rPr>
                <w:rFonts w:ascii="Arial" w:eastAsia="SimSun" w:hAnsi="Arial" w:cs="Arial"/>
                <w:b/>
                <w:sz w:val="22"/>
                <w:szCs w:val="22"/>
                <w:lang w:val="es-ES_tradnl" w:eastAsia="en-US"/>
              </w:rPr>
              <w:t>Asunto:</w:t>
            </w:r>
          </w:p>
        </w:tc>
        <w:tc>
          <w:tcPr>
            <w:tcW w:w="7396" w:type="dxa"/>
          </w:tcPr>
          <w:p w:rsidR="00821E37" w:rsidRPr="00D51E87" w:rsidRDefault="00FF209C" w:rsidP="00EE02DF">
            <w:pPr>
              <w:jc w:val="both"/>
              <w:rPr>
                <w:rFonts w:ascii="Arial" w:eastAsia="Cambria" w:hAnsi="Arial" w:cs="Arial"/>
                <w:b/>
                <w:color w:val="000000"/>
                <w:sz w:val="22"/>
                <w:szCs w:val="22"/>
                <w:lang w:val="es-CR" w:eastAsia="en-US"/>
              </w:rPr>
            </w:pPr>
            <w:r w:rsidRPr="00D51E87">
              <w:rPr>
                <w:rFonts w:ascii="Arial" w:eastAsia="Calibri" w:hAnsi="Arial" w:cs="Arial"/>
                <w:b/>
                <w:sz w:val="22"/>
                <w:szCs w:val="22"/>
              </w:rPr>
              <w:t>S</w:t>
            </w:r>
            <w:r w:rsidR="007742A1" w:rsidRPr="00D51E87">
              <w:rPr>
                <w:rFonts w:ascii="Arial" w:eastAsia="Calibri" w:hAnsi="Arial" w:cs="Arial"/>
                <w:b/>
                <w:sz w:val="22"/>
                <w:szCs w:val="22"/>
              </w:rPr>
              <w:t xml:space="preserve">esión Ordinaria No. </w:t>
            </w:r>
            <w:r w:rsidR="00337455" w:rsidRPr="00D51E87">
              <w:rPr>
                <w:rFonts w:ascii="Arial" w:eastAsia="Calibri" w:hAnsi="Arial" w:cs="Arial"/>
                <w:b/>
                <w:sz w:val="22"/>
                <w:szCs w:val="22"/>
              </w:rPr>
              <w:t>30</w:t>
            </w:r>
            <w:r w:rsidR="00B150BA" w:rsidRPr="00D51E87">
              <w:rPr>
                <w:rFonts w:ascii="Arial" w:eastAsia="Calibri" w:hAnsi="Arial" w:cs="Arial"/>
                <w:b/>
                <w:sz w:val="22"/>
                <w:szCs w:val="22"/>
              </w:rPr>
              <w:t>9</w:t>
            </w:r>
            <w:r w:rsidR="00EE02DF" w:rsidRPr="00D51E87">
              <w:rPr>
                <w:rFonts w:ascii="Arial" w:eastAsia="Calibri" w:hAnsi="Arial" w:cs="Arial"/>
                <w:b/>
                <w:sz w:val="22"/>
                <w:szCs w:val="22"/>
              </w:rPr>
              <w:t>1</w:t>
            </w:r>
            <w:r w:rsidR="007742A1" w:rsidRPr="00D51E87">
              <w:rPr>
                <w:rFonts w:ascii="Arial" w:eastAsia="Calibri" w:hAnsi="Arial" w:cs="Arial"/>
                <w:b/>
                <w:sz w:val="22"/>
                <w:szCs w:val="22"/>
              </w:rPr>
              <w:t>, Artículo</w:t>
            </w:r>
            <w:r w:rsidR="00A5669A" w:rsidRPr="00D51E87">
              <w:rPr>
                <w:rFonts w:ascii="Arial" w:eastAsia="Calibri" w:hAnsi="Arial" w:cs="Arial"/>
                <w:b/>
                <w:sz w:val="22"/>
                <w:szCs w:val="22"/>
              </w:rPr>
              <w:t xml:space="preserve"> </w:t>
            </w:r>
            <w:r w:rsidR="00D12C87" w:rsidRPr="00D51E87">
              <w:rPr>
                <w:rFonts w:ascii="Arial" w:eastAsia="Calibri" w:hAnsi="Arial" w:cs="Arial"/>
                <w:b/>
                <w:sz w:val="22"/>
                <w:szCs w:val="22"/>
              </w:rPr>
              <w:t>1</w:t>
            </w:r>
            <w:r w:rsidR="00EE02DF" w:rsidRPr="00D51E87">
              <w:rPr>
                <w:rFonts w:ascii="Arial" w:eastAsia="Calibri" w:hAnsi="Arial" w:cs="Arial"/>
                <w:b/>
                <w:sz w:val="22"/>
                <w:szCs w:val="22"/>
              </w:rPr>
              <w:t>0</w:t>
            </w:r>
            <w:r w:rsidR="00FF3C43" w:rsidRPr="00D51E87">
              <w:rPr>
                <w:rFonts w:ascii="Arial" w:eastAsia="Calibri" w:hAnsi="Arial" w:cs="Arial"/>
                <w:b/>
                <w:sz w:val="22"/>
                <w:szCs w:val="22"/>
              </w:rPr>
              <w:t>,</w:t>
            </w:r>
            <w:r w:rsidR="007742A1" w:rsidRPr="00D51E87">
              <w:rPr>
                <w:rFonts w:ascii="Arial" w:eastAsia="Calibri" w:hAnsi="Arial" w:cs="Arial"/>
                <w:b/>
                <w:sz w:val="22"/>
                <w:szCs w:val="22"/>
              </w:rPr>
              <w:t xml:space="preserve"> del </w:t>
            </w:r>
            <w:r w:rsidR="00EE02DF" w:rsidRPr="00D51E87">
              <w:rPr>
                <w:rFonts w:ascii="Arial" w:eastAsia="Calibri" w:hAnsi="Arial" w:cs="Arial"/>
                <w:b/>
                <w:sz w:val="22"/>
                <w:szCs w:val="22"/>
              </w:rPr>
              <w:t>10</w:t>
            </w:r>
            <w:r w:rsidR="00D76019" w:rsidRPr="00D51E87">
              <w:rPr>
                <w:rFonts w:ascii="Arial" w:eastAsia="Calibri" w:hAnsi="Arial" w:cs="Arial"/>
                <w:b/>
                <w:sz w:val="22"/>
                <w:szCs w:val="22"/>
              </w:rPr>
              <w:t xml:space="preserve"> de </w:t>
            </w:r>
            <w:r w:rsidR="0002009C" w:rsidRPr="00D51E87">
              <w:rPr>
                <w:rFonts w:ascii="Arial" w:eastAsia="Calibri" w:hAnsi="Arial" w:cs="Arial"/>
                <w:b/>
                <w:sz w:val="22"/>
                <w:szCs w:val="22"/>
              </w:rPr>
              <w:t>octu</w:t>
            </w:r>
            <w:r w:rsidR="00D76019" w:rsidRPr="00D51E87">
              <w:rPr>
                <w:rFonts w:ascii="Arial" w:eastAsia="Calibri" w:hAnsi="Arial" w:cs="Arial"/>
                <w:b/>
                <w:sz w:val="22"/>
                <w:szCs w:val="22"/>
              </w:rPr>
              <w:t xml:space="preserve">bre </w:t>
            </w:r>
            <w:r w:rsidR="00A772EF" w:rsidRPr="00D51E87">
              <w:rPr>
                <w:rFonts w:ascii="Arial" w:eastAsia="Calibri" w:hAnsi="Arial" w:cs="Arial"/>
                <w:b/>
                <w:sz w:val="22"/>
                <w:szCs w:val="22"/>
              </w:rPr>
              <w:t>de 201</w:t>
            </w:r>
            <w:r w:rsidR="003B6DC0" w:rsidRPr="00D51E87">
              <w:rPr>
                <w:rFonts w:ascii="Arial" w:eastAsia="Calibri" w:hAnsi="Arial" w:cs="Arial"/>
                <w:b/>
                <w:sz w:val="22"/>
                <w:szCs w:val="22"/>
              </w:rPr>
              <w:t>8</w:t>
            </w:r>
            <w:r w:rsidR="00925985" w:rsidRPr="00D51E87">
              <w:rPr>
                <w:rFonts w:ascii="Arial" w:eastAsia="Calibri" w:hAnsi="Arial" w:cs="Arial"/>
                <w:b/>
                <w:sz w:val="22"/>
                <w:szCs w:val="22"/>
              </w:rPr>
              <w:t xml:space="preserve">. </w:t>
            </w:r>
            <w:r w:rsidR="00EE02DF" w:rsidRPr="00D51E87">
              <w:rPr>
                <w:rFonts w:ascii="Arial" w:eastAsia="Calibri" w:hAnsi="Arial" w:cs="Arial"/>
                <w:b/>
                <w:sz w:val="22"/>
                <w:szCs w:val="22"/>
              </w:rPr>
              <w:t>Cartel para la Contratación de Auditorías Externas Financiera 2018</w:t>
            </w:r>
          </w:p>
        </w:tc>
      </w:tr>
    </w:tbl>
    <w:p w:rsidR="00FF209C" w:rsidRPr="00D51E87" w:rsidRDefault="00FF209C" w:rsidP="007742A1">
      <w:pPr>
        <w:jc w:val="both"/>
        <w:rPr>
          <w:rFonts w:ascii="Arial" w:eastAsia="Cambria" w:hAnsi="Arial" w:cs="Arial"/>
          <w:sz w:val="22"/>
          <w:szCs w:val="22"/>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51E87" w:rsidRDefault="00D51E87" w:rsidP="007742A1">
      <w:pPr>
        <w:jc w:val="both"/>
        <w:rPr>
          <w:rFonts w:ascii="Arial" w:eastAsia="Cambria" w:hAnsi="Arial" w:cs="Arial"/>
          <w:lang w:val="es-ES_tradnl" w:eastAsia="en-US"/>
        </w:rPr>
      </w:pPr>
    </w:p>
    <w:p w:rsidR="00D51E87" w:rsidRPr="00D51E87" w:rsidRDefault="00D51E87" w:rsidP="00D51E87">
      <w:pPr>
        <w:tabs>
          <w:tab w:val="left" w:pos="3070"/>
        </w:tabs>
        <w:contextualSpacing/>
        <w:jc w:val="both"/>
        <w:outlineLvl w:val="0"/>
        <w:rPr>
          <w:rFonts w:ascii="Arial" w:hAnsi="Arial" w:cs="Arial"/>
          <w:b/>
          <w:lang w:val="es-CR"/>
        </w:rPr>
      </w:pPr>
      <w:r w:rsidRPr="00D51E87">
        <w:rPr>
          <w:rFonts w:ascii="Arial" w:hAnsi="Arial" w:cs="Arial"/>
          <w:b/>
          <w:lang w:val="es-CR"/>
        </w:rPr>
        <w:t>RESULTANDO QUE:</w:t>
      </w:r>
    </w:p>
    <w:p w:rsidR="00D51E87" w:rsidRPr="00D51E87" w:rsidRDefault="00D51E87" w:rsidP="00D51E87">
      <w:pPr>
        <w:tabs>
          <w:tab w:val="left" w:pos="3070"/>
        </w:tabs>
        <w:contextualSpacing/>
        <w:jc w:val="both"/>
        <w:outlineLvl w:val="0"/>
        <w:rPr>
          <w:rFonts w:ascii="Arial" w:hAnsi="Arial" w:cs="Arial"/>
          <w:b/>
          <w:sz w:val="20"/>
          <w:szCs w:val="20"/>
          <w:lang w:val="es-CR"/>
        </w:rPr>
      </w:pPr>
    </w:p>
    <w:p w:rsidR="00D51E87" w:rsidRPr="00D51E87" w:rsidRDefault="00D51E87" w:rsidP="00803853">
      <w:pPr>
        <w:numPr>
          <w:ilvl w:val="0"/>
          <w:numId w:val="3"/>
        </w:numPr>
        <w:ind w:left="360"/>
        <w:jc w:val="both"/>
        <w:rPr>
          <w:rFonts w:ascii="Arial" w:hAnsi="Arial" w:cs="Arial"/>
          <w:lang w:val="es-CR"/>
        </w:rPr>
      </w:pPr>
      <w:r w:rsidRPr="00D51E87">
        <w:rPr>
          <w:rFonts w:ascii="Arial" w:hAnsi="Arial" w:cs="Arial"/>
          <w:lang w:val="es-CR"/>
        </w:rPr>
        <w:t>El inciso f del Artículo 18 del Estatuto Orgánico</w:t>
      </w:r>
      <w:r w:rsidRPr="00D51E87">
        <w:rPr>
          <w:rFonts w:ascii="Arial" w:hAnsi="Arial" w:cs="Arial"/>
          <w:strike/>
          <w:lang w:val="es-CR"/>
        </w:rPr>
        <w:t>,</w:t>
      </w:r>
      <w:r w:rsidRPr="00D51E87">
        <w:rPr>
          <w:rFonts w:ascii="Arial" w:hAnsi="Arial" w:cs="Arial"/>
          <w:lang w:val="es-CR"/>
        </w:rPr>
        <w:t xml:space="preserve"> establece lo siguiente:</w:t>
      </w:r>
    </w:p>
    <w:p w:rsidR="00D51E87" w:rsidRPr="00D51E87" w:rsidRDefault="00D51E87" w:rsidP="00D51E87">
      <w:pPr>
        <w:tabs>
          <w:tab w:val="left" w:pos="3070"/>
        </w:tabs>
        <w:contextualSpacing/>
        <w:jc w:val="both"/>
        <w:outlineLvl w:val="0"/>
        <w:rPr>
          <w:rFonts w:ascii="Arial" w:hAnsi="Arial" w:cs="Arial"/>
          <w:b/>
          <w:sz w:val="20"/>
          <w:szCs w:val="20"/>
          <w:lang w:val="es-CR"/>
        </w:rPr>
      </w:pPr>
    </w:p>
    <w:p w:rsidR="00D51E87" w:rsidRPr="00D51E87" w:rsidRDefault="00D51E87" w:rsidP="00D51E87">
      <w:pPr>
        <w:ind w:left="709" w:right="284"/>
        <w:contextualSpacing/>
        <w:jc w:val="both"/>
        <w:rPr>
          <w:rFonts w:ascii="Arial" w:eastAsia="Calibri" w:hAnsi="Arial" w:cs="Arial"/>
          <w:bCs/>
          <w:i/>
          <w:sz w:val="22"/>
          <w:szCs w:val="22"/>
          <w:lang w:val="es-CR"/>
        </w:rPr>
      </w:pPr>
      <w:r w:rsidRPr="00D51E87">
        <w:rPr>
          <w:rFonts w:ascii="Arial" w:eastAsia="Calibri" w:hAnsi="Arial" w:cs="Arial"/>
          <w:bCs/>
          <w:i/>
          <w:sz w:val="22"/>
          <w:szCs w:val="22"/>
          <w:lang w:val="es-CR"/>
        </w:rPr>
        <w:t>“Son funciones del Consejo Institucional:</w:t>
      </w:r>
    </w:p>
    <w:p w:rsidR="00D51E87" w:rsidRPr="00D51E87" w:rsidRDefault="00D51E87" w:rsidP="00D51E87">
      <w:pPr>
        <w:ind w:left="709"/>
        <w:jc w:val="both"/>
        <w:rPr>
          <w:rFonts w:ascii="Arial" w:hAnsi="Arial" w:cs="Arial"/>
          <w:i/>
          <w:sz w:val="16"/>
          <w:szCs w:val="16"/>
          <w:lang w:val="es-CR"/>
        </w:rPr>
      </w:pPr>
    </w:p>
    <w:p w:rsidR="00D51E87" w:rsidRPr="00D51E87" w:rsidRDefault="00D51E87" w:rsidP="00D51E87">
      <w:pPr>
        <w:ind w:left="993" w:right="284" w:hanging="284"/>
        <w:jc w:val="both"/>
        <w:rPr>
          <w:rFonts w:ascii="Arial" w:hAnsi="Arial" w:cs="Arial"/>
          <w:i/>
          <w:sz w:val="22"/>
          <w:szCs w:val="22"/>
          <w:lang w:val="es-CR"/>
        </w:rPr>
      </w:pPr>
      <w:r w:rsidRPr="00D51E87">
        <w:rPr>
          <w:rFonts w:ascii="Arial" w:hAnsi="Arial" w:cs="Arial"/>
          <w:bCs/>
          <w:i/>
          <w:sz w:val="22"/>
          <w:szCs w:val="22"/>
          <w:lang w:val="es-CR"/>
        </w:rPr>
        <w:t xml:space="preserve">f. </w:t>
      </w:r>
      <w:r w:rsidRPr="00D51E87">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D51E87" w:rsidRPr="00D51E87" w:rsidRDefault="00D51E87" w:rsidP="00D51E87">
      <w:pPr>
        <w:tabs>
          <w:tab w:val="left" w:pos="3070"/>
        </w:tabs>
        <w:contextualSpacing/>
        <w:jc w:val="both"/>
        <w:outlineLvl w:val="0"/>
        <w:rPr>
          <w:rFonts w:ascii="Arial" w:hAnsi="Arial" w:cs="Arial"/>
          <w:b/>
          <w:lang w:val="es-CR"/>
        </w:rPr>
      </w:pPr>
    </w:p>
    <w:p w:rsidR="00D51E87" w:rsidRPr="00D51E87" w:rsidRDefault="00D51E87" w:rsidP="00803853">
      <w:pPr>
        <w:numPr>
          <w:ilvl w:val="0"/>
          <w:numId w:val="3"/>
        </w:numPr>
        <w:ind w:left="360"/>
        <w:jc w:val="both"/>
        <w:rPr>
          <w:rFonts w:ascii="Arial" w:hAnsi="Arial" w:cs="Arial"/>
          <w:lang w:val="es-CR"/>
        </w:rPr>
      </w:pPr>
      <w:r w:rsidRPr="00D51E87">
        <w:rPr>
          <w:rFonts w:ascii="Arial" w:hAnsi="Arial" w:cs="Arial"/>
          <w:lang w:val="es-CR"/>
        </w:rPr>
        <w:t>El Consejo Institucional, en la Sesión No. 2469, Artículo 16, del 15 de junio de 2006, tomó el acuerdo de “Modificación de los Lineamientos para la Contratación de Auditorías Externas (Operativa y Financiera)”, en el apartado II.  LINEAMIENTOS ESPECÍFICOS PARA LAS AUDITORIAS EXTERNAS, cuyo punto A.3.1 indica lo siguiente:</w:t>
      </w:r>
    </w:p>
    <w:p w:rsidR="00D51E87" w:rsidRPr="00D51E87" w:rsidRDefault="00D51E87" w:rsidP="00D51E87">
      <w:pPr>
        <w:ind w:left="283"/>
        <w:rPr>
          <w:rFonts w:ascii="Arial" w:hAnsi="Arial" w:cs="Arial"/>
          <w:i/>
          <w:sz w:val="22"/>
          <w:szCs w:val="22"/>
        </w:rPr>
      </w:pPr>
      <w:r w:rsidRPr="00D51E87">
        <w:rPr>
          <w:rFonts w:ascii="Arial" w:hAnsi="Arial" w:cs="Arial"/>
          <w:i/>
          <w:sz w:val="22"/>
          <w:szCs w:val="22"/>
        </w:rPr>
        <w:t> </w:t>
      </w:r>
    </w:p>
    <w:p w:rsidR="00D51E87" w:rsidRPr="00D51E87" w:rsidRDefault="00D51E87" w:rsidP="00D51E87">
      <w:pPr>
        <w:ind w:left="900"/>
        <w:rPr>
          <w:rFonts w:ascii="Arial" w:hAnsi="Arial" w:cs="Arial"/>
          <w:i/>
          <w:sz w:val="22"/>
          <w:szCs w:val="22"/>
        </w:rPr>
      </w:pPr>
      <w:r w:rsidRPr="00D51E87">
        <w:rPr>
          <w:rFonts w:ascii="Arial" w:hAnsi="Arial" w:cs="Arial"/>
          <w:i/>
          <w:sz w:val="22"/>
          <w:szCs w:val="22"/>
        </w:rPr>
        <w:t xml:space="preserve">A. </w:t>
      </w:r>
      <w:r w:rsidRPr="00D51E87">
        <w:rPr>
          <w:rFonts w:ascii="Arial" w:hAnsi="Arial" w:cs="Arial"/>
          <w:i/>
          <w:sz w:val="22"/>
          <w:szCs w:val="22"/>
          <w:u w:val="single"/>
        </w:rPr>
        <w:t>AUDITORÍA EXTERNA FINANCIERA.</w:t>
      </w:r>
    </w:p>
    <w:p w:rsidR="00D51E87" w:rsidRPr="00D51E87" w:rsidRDefault="00D51E87" w:rsidP="00D51E87">
      <w:pPr>
        <w:ind w:left="283"/>
        <w:rPr>
          <w:rFonts w:ascii="Arial" w:hAnsi="Arial" w:cs="Arial"/>
          <w:i/>
          <w:sz w:val="20"/>
          <w:szCs w:val="20"/>
        </w:rPr>
      </w:pPr>
      <w:r w:rsidRPr="00D51E87">
        <w:rPr>
          <w:rFonts w:ascii="Arial" w:hAnsi="Arial" w:cs="Arial"/>
          <w:i/>
          <w:sz w:val="20"/>
          <w:szCs w:val="20"/>
        </w:rPr>
        <w:t> </w:t>
      </w:r>
    </w:p>
    <w:p w:rsidR="00D51E87" w:rsidRPr="00D51E87" w:rsidRDefault="00D51E87" w:rsidP="00D51E87">
      <w:pPr>
        <w:ind w:left="1260"/>
        <w:rPr>
          <w:rFonts w:ascii="Arial" w:hAnsi="Arial" w:cs="Arial"/>
          <w:i/>
          <w:sz w:val="22"/>
          <w:szCs w:val="22"/>
        </w:rPr>
      </w:pPr>
      <w:r w:rsidRPr="00D51E87">
        <w:rPr>
          <w:rFonts w:ascii="Arial" w:hAnsi="Arial" w:cs="Arial"/>
          <w:i/>
          <w:sz w:val="22"/>
          <w:szCs w:val="22"/>
        </w:rPr>
        <w:t>…</w:t>
      </w:r>
    </w:p>
    <w:p w:rsidR="00D51E87" w:rsidRPr="00D51E87" w:rsidRDefault="00D51E87" w:rsidP="00D51E87">
      <w:pPr>
        <w:tabs>
          <w:tab w:val="left" w:pos="3070"/>
        </w:tabs>
        <w:contextualSpacing/>
        <w:jc w:val="both"/>
        <w:outlineLvl w:val="0"/>
        <w:rPr>
          <w:rFonts w:ascii="Arial" w:hAnsi="Arial" w:cs="Arial"/>
          <w:b/>
          <w:sz w:val="20"/>
          <w:szCs w:val="20"/>
          <w:lang w:val="es-CR"/>
        </w:rPr>
      </w:pPr>
      <w:r w:rsidRPr="00D51E87">
        <w:rPr>
          <w:rFonts w:ascii="Arial" w:hAnsi="Arial" w:cs="Arial"/>
          <w:b/>
          <w:sz w:val="20"/>
          <w:szCs w:val="20"/>
          <w:lang w:val="es-CR"/>
        </w:rPr>
        <w:t> </w:t>
      </w:r>
    </w:p>
    <w:p w:rsidR="00D51E87" w:rsidRPr="00D51E87" w:rsidRDefault="00D51E87" w:rsidP="00803853">
      <w:pPr>
        <w:numPr>
          <w:ilvl w:val="0"/>
          <w:numId w:val="3"/>
        </w:numPr>
        <w:ind w:left="1276"/>
        <w:jc w:val="both"/>
        <w:rPr>
          <w:rFonts w:ascii="Arial" w:hAnsi="Arial" w:cs="Arial"/>
          <w:i/>
          <w:sz w:val="22"/>
          <w:szCs w:val="22"/>
        </w:rPr>
      </w:pPr>
      <w:r w:rsidRPr="00D51E87">
        <w:rPr>
          <w:rFonts w:ascii="Arial" w:hAnsi="Arial" w:cs="Arial"/>
          <w:i/>
          <w:sz w:val="22"/>
          <w:szCs w:val="22"/>
        </w:rPr>
        <w:t>SOBRE LA CONFECCIÓN DEL CARTEL</w:t>
      </w:r>
    </w:p>
    <w:p w:rsidR="00D51E87" w:rsidRPr="00D51E87" w:rsidRDefault="00D51E87" w:rsidP="00D51E87">
      <w:pPr>
        <w:ind w:left="851"/>
        <w:jc w:val="both"/>
        <w:rPr>
          <w:rFonts w:ascii="Arial" w:hAnsi="Arial" w:cs="Arial"/>
          <w:i/>
          <w:sz w:val="22"/>
          <w:szCs w:val="22"/>
        </w:rPr>
      </w:pPr>
    </w:p>
    <w:p w:rsidR="00D51E87" w:rsidRPr="00D51E87" w:rsidRDefault="00D51E87" w:rsidP="00D51E87">
      <w:pPr>
        <w:ind w:left="1596" w:right="142" w:hanging="392"/>
        <w:jc w:val="both"/>
        <w:rPr>
          <w:rFonts w:ascii="Arial" w:hAnsi="Arial" w:cs="Arial"/>
          <w:i/>
          <w:sz w:val="22"/>
          <w:szCs w:val="22"/>
        </w:rPr>
      </w:pPr>
      <w:r w:rsidRPr="00D51E87">
        <w:rPr>
          <w:rFonts w:ascii="Arial" w:hAnsi="Arial" w:cs="Arial"/>
          <w:i/>
          <w:sz w:val="22"/>
          <w:szCs w:val="22"/>
        </w:rPr>
        <w:t>3.1. El Departamento de Aprovisionamiento deberá coordinar con la Comisión de Planificación y Administración los requerimientos del cartel, de acuerdo con las necesidades institucionales del momento.  Además, podrá tomar como base el cartel de la Contratación Directa aprobado el año anterior.</w:t>
      </w:r>
    </w:p>
    <w:p w:rsidR="00D51E87" w:rsidRPr="00D51E87" w:rsidRDefault="00D51E87" w:rsidP="00D51E87">
      <w:pPr>
        <w:ind w:left="283"/>
        <w:rPr>
          <w:rFonts w:ascii="Arial" w:hAnsi="Arial" w:cs="Arial"/>
          <w:i/>
          <w:sz w:val="20"/>
          <w:szCs w:val="20"/>
        </w:rPr>
      </w:pPr>
    </w:p>
    <w:p w:rsidR="00D51E87" w:rsidRPr="00D51E87" w:rsidRDefault="00D51E87" w:rsidP="00803853">
      <w:pPr>
        <w:numPr>
          <w:ilvl w:val="0"/>
          <w:numId w:val="3"/>
        </w:numPr>
        <w:ind w:left="360" w:right="-426"/>
        <w:jc w:val="both"/>
        <w:rPr>
          <w:rFonts w:ascii="Arial" w:hAnsi="Arial" w:cs="Arial"/>
          <w:i/>
          <w:lang w:val="es-CR" w:eastAsia="es-CR"/>
        </w:rPr>
      </w:pPr>
      <w:r w:rsidRPr="00D51E87">
        <w:rPr>
          <w:rFonts w:ascii="Arial" w:hAnsi="Arial" w:cs="Arial"/>
          <w:lang w:val="es-CR"/>
        </w:rPr>
        <w:t xml:space="preserve">El Consejo Institucional, en la Sesión No. 3056, Artículo 17, del 14 de febrero de 2018, aprobó </w:t>
      </w:r>
      <w:r w:rsidRPr="00D51E87">
        <w:rPr>
          <w:rFonts w:ascii="Arial" w:eastAsia="Calibri" w:hAnsi="Arial" w:cs="Arial"/>
          <w:bCs/>
          <w:lang w:val="es-CR"/>
        </w:rPr>
        <w:t>lo siguiente</w:t>
      </w:r>
      <w:r w:rsidRPr="00D51E87">
        <w:rPr>
          <w:rFonts w:ascii="Arial" w:eastAsia="Calibri" w:hAnsi="Arial" w:cs="Arial"/>
          <w:bCs/>
          <w:i/>
          <w:sz w:val="22"/>
          <w:szCs w:val="22"/>
          <w:lang w:val="es-CR"/>
        </w:rPr>
        <w:t>:</w:t>
      </w:r>
    </w:p>
    <w:p w:rsidR="00D51E87" w:rsidRPr="00D51E87" w:rsidRDefault="00D51E87" w:rsidP="00D51E87">
      <w:pPr>
        <w:ind w:left="1204"/>
        <w:jc w:val="both"/>
        <w:rPr>
          <w:rFonts w:ascii="Arial" w:hAnsi="Arial" w:cs="Arial"/>
          <w:i/>
          <w:sz w:val="22"/>
          <w:szCs w:val="22"/>
        </w:rPr>
      </w:pPr>
    </w:p>
    <w:p w:rsidR="00D51E87" w:rsidRPr="00D51E87" w:rsidRDefault="00D51E87" w:rsidP="00D51E87">
      <w:pPr>
        <w:spacing w:line="276" w:lineRule="auto"/>
        <w:ind w:left="567"/>
        <w:jc w:val="both"/>
        <w:rPr>
          <w:rFonts w:ascii="Arial" w:hAnsi="Arial" w:cs="Arial"/>
          <w:lang w:val="es-CR"/>
        </w:rPr>
      </w:pPr>
      <w:r w:rsidRPr="00D51E87">
        <w:rPr>
          <w:rFonts w:ascii="Arial" w:hAnsi="Arial" w:cs="Arial"/>
          <w:lang w:val="es-CR"/>
        </w:rPr>
        <w:lastRenderedPageBreak/>
        <w:t xml:space="preserve">“a.  Modificar </w:t>
      </w:r>
      <w:r w:rsidRPr="00D51E87">
        <w:rPr>
          <w:rFonts w:ascii="Arial" w:hAnsi="Arial" w:cs="Arial"/>
          <w:i/>
          <w:lang w:val="es-CR"/>
        </w:rPr>
        <w:t>los Lineamientos para la Contratación de Auditorías Externas (Operativa y Financiera)” aprobados en la Sesión Ordinaria N°2469, Artículo 16, del 15 de junio de 2006,</w:t>
      </w:r>
      <w:r w:rsidRPr="00D51E87">
        <w:rPr>
          <w:rFonts w:ascii="Arial" w:hAnsi="Arial" w:cs="Arial"/>
          <w:lang w:val="es-CR"/>
        </w:rPr>
        <w:t xml:space="preserve"> donde se lea:</w:t>
      </w:r>
    </w:p>
    <w:p w:rsidR="00D51E87" w:rsidRPr="00D51E87" w:rsidRDefault="00D51E87" w:rsidP="00D51E87">
      <w:pPr>
        <w:ind w:left="708"/>
        <w:rPr>
          <w:rFonts w:ascii="Arial" w:hAnsi="Arial" w:cs="Arial"/>
          <w:sz w:val="16"/>
          <w:szCs w:val="16"/>
          <w:lang w:val="es-CR"/>
        </w:rPr>
      </w:pPr>
    </w:p>
    <w:p w:rsidR="00D51E87" w:rsidRPr="00D51E87" w:rsidRDefault="00D51E87" w:rsidP="00803853">
      <w:pPr>
        <w:numPr>
          <w:ilvl w:val="0"/>
          <w:numId w:val="6"/>
        </w:numPr>
        <w:ind w:left="1134"/>
        <w:rPr>
          <w:rFonts w:ascii="Arial" w:hAnsi="Arial" w:cs="Arial"/>
          <w:b/>
          <w:i/>
          <w:sz w:val="22"/>
          <w:szCs w:val="22"/>
          <w:lang w:val="es-CR"/>
        </w:rPr>
      </w:pPr>
      <w:r w:rsidRPr="00D51E87">
        <w:rPr>
          <w:rFonts w:ascii="Arial" w:hAnsi="Arial" w:cs="Arial"/>
          <w:b/>
          <w:i/>
          <w:sz w:val="22"/>
          <w:szCs w:val="22"/>
          <w:lang w:val="es-CR"/>
        </w:rPr>
        <w:t>SOBRE LA CONFECCIÓN DEL CARTEL</w:t>
      </w:r>
    </w:p>
    <w:p w:rsidR="00D51E87" w:rsidRPr="00D51E87" w:rsidRDefault="00D51E87" w:rsidP="00D51E87">
      <w:pPr>
        <w:ind w:left="1204"/>
        <w:jc w:val="both"/>
        <w:rPr>
          <w:rFonts w:ascii="Arial" w:hAnsi="Arial" w:cs="Arial"/>
          <w:i/>
          <w:sz w:val="16"/>
          <w:szCs w:val="16"/>
        </w:rPr>
      </w:pPr>
    </w:p>
    <w:p w:rsidR="00D51E87" w:rsidRDefault="00D51E87" w:rsidP="00D51E87">
      <w:pPr>
        <w:ind w:left="851" w:right="283"/>
        <w:jc w:val="both"/>
        <w:rPr>
          <w:rFonts w:ascii="Arial" w:hAnsi="Arial" w:cs="Arial"/>
          <w:i/>
          <w:sz w:val="22"/>
          <w:szCs w:val="22"/>
          <w:lang w:val="es-CR"/>
        </w:rPr>
      </w:pPr>
      <w:r w:rsidRPr="00D51E87">
        <w:rPr>
          <w:rFonts w:ascii="Arial" w:hAnsi="Arial" w:cs="Arial"/>
          <w:i/>
          <w:sz w:val="22"/>
          <w:szCs w:val="22"/>
          <w:lang w:val="es-CR"/>
        </w:rPr>
        <w:t>La Auditoría Interna brindará la asesoría en materia de su competencia correspondiente, de conformidad con el Artículo 34 de la Ley General de Control Interno.”</w:t>
      </w:r>
    </w:p>
    <w:p w:rsidR="00D51E87" w:rsidRPr="00D51E87" w:rsidRDefault="00D51E87" w:rsidP="00D51E87">
      <w:pPr>
        <w:ind w:left="851" w:right="283"/>
        <w:jc w:val="both"/>
        <w:rPr>
          <w:rFonts w:ascii="Arial" w:hAnsi="Arial" w:cs="Arial"/>
          <w:i/>
          <w:sz w:val="22"/>
          <w:szCs w:val="22"/>
          <w:lang w:val="es-CR"/>
        </w:rPr>
      </w:pPr>
    </w:p>
    <w:p w:rsidR="00D51E87" w:rsidRPr="00D51E87" w:rsidRDefault="00D51E87" w:rsidP="00D51E87">
      <w:pPr>
        <w:tabs>
          <w:tab w:val="left" w:pos="3070"/>
        </w:tabs>
        <w:contextualSpacing/>
        <w:jc w:val="both"/>
        <w:outlineLvl w:val="0"/>
        <w:rPr>
          <w:rFonts w:ascii="Arial" w:hAnsi="Arial" w:cs="Arial"/>
          <w:b/>
          <w:lang w:val="es-CR"/>
        </w:rPr>
      </w:pPr>
      <w:r w:rsidRPr="00D51E87">
        <w:rPr>
          <w:rFonts w:ascii="Arial" w:hAnsi="Arial" w:cs="Arial"/>
          <w:b/>
          <w:lang w:val="es-CR"/>
        </w:rPr>
        <w:t>CONSIDERANDO QUE:</w:t>
      </w:r>
    </w:p>
    <w:p w:rsidR="00D51E87" w:rsidRPr="00D51E87" w:rsidRDefault="00D51E87" w:rsidP="00D51E87">
      <w:pPr>
        <w:jc w:val="both"/>
        <w:rPr>
          <w:rFonts w:ascii="Arial" w:hAnsi="Arial" w:cs="Arial"/>
          <w:i/>
          <w:sz w:val="22"/>
          <w:szCs w:val="22"/>
          <w:lang w:val="es-CR"/>
        </w:rPr>
      </w:pPr>
    </w:p>
    <w:p w:rsidR="00D51E87" w:rsidRPr="00D51E87" w:rsidRDefault="00D51E87" w:rsidP="00803853">
      <w:pPr>
        <w:numPr>
          <w:ilvl w:val="0"/>
          <w:numId w:val="5"/>
        </w:numPr>
        <w:ind w:left="360" w:right="-426"/>
        <w:jc w:val="both"/>
        <w:rPr>
          <w:rFonts w:ascii="Arial" w:hAnsi="Arial" w:cs="Arial"/>
          <w:i/>
          <w:sz w:val="22"/>
          <w:szCs w:val="22"/>
          <w:lang w:val="es-CR"/>
        </w:rPr>
      </w:pPr>
      <w:r w:rsidRPr="00D51E87">
        <w:rPr>
          <w:rFonts w:ascii="Arial" w:hAnsi="Arial" w:cs="Arial"/>
          <w:lang w:val="es-CR"/>
        </w:rPr>
        <w:t xml:space="preserve">La Secretaría del Consejo Institucional recibió el oficio VAD-611-2018 con fecha de recibido 28 de setiembre de 2018, suscrito por el Dr. Humberto Villalta Solano, Vicerrector de Administración, dirigido a la </w:t>
      </w:r>
      <w:proofErr w:type="spellStart"/>
      <w:r w:rsidRPr="00D51E87">
        <w:rPr>
          <w:rFonts w:ascii="Arial" w:hAnsi="Arial" w:cs="Arial"/>
          <w:lang w:val="es-CR"/>
        </w:rPr>
        <w:t>MSc</w:t>
      </w:r>
      <w:proofErr w:type="spellEnd"/>
      <w:r w:rsidRPr="00D51E87">
        <w:rPr>
          <w:rFonts w:ascii="Arial" w:hAnsi="Arial" w:cs="Arial"/>
          <w:lang w:val="es-CR"/>
        </w:rPr>
        <w:t>. Ana Rosa Ruiz, Coordinadora de la Comisión de Planificación y Administración, en el cual adjunta el borrador del cartel de Contratación de Auditoría Externa Financiera 2018, en atención del apartado A.3.1 de los Lineamientos para la Contratación de Auditorías Externas (Operativa y Financiera).</w:t>
      </w:r>
    </w:p>
    <w:p w:rsidR="00D51E87" w:rsidRPr="00D51E87" w:rsidRDefault="00D51E87" w:rsidP="00D51E87">
      <w:pPr>
        <w:ind w:left="851" w:hanging="424"/>
        <w:jc w:val="both"/>
        <w:rPr>
          <w:rFonts w:ascii="Arial" w:hAnsi="Arial" w:cs="Arial"/>
          <w:sz w:val="20"/>
          <w:szCs w:val="20"/>
          <w:lang w:val="es-CR"/>
        </w:rPr>
      </w:pPr>
    </w:p>
    <w:p w:rsidR="00D51E87" w:rsidRPr="00D51E87" w:rsidRDefault="00D51E87" w:rsidP="00803853">
      <w:pPr>
        <w:numPr>
          <w:ilvl w:val="0"/>
          <w:numId w:val="5"/>
        </w:numPr>
        <w:ind w:left="360" w:right="-426"/>
        <w:jc w:val="both"/>
        <w:rPr>
          <w:rFonts w:ascii="Arial" w:hAnsi="Arial" w:cs="Arial"/>
          <w:lang w:val="es-CR"/>
        </w:rPr>
      </w:pPr>
      <w:r w:rsidRPr="00D51E87">
        <w:rPr>
          <w:rFonts w:ascii="Arial" w:hAnsi="Arial" w:cs="Arial"/>
          <w:lang w:val="es-CR"/>
        </w:rPr>
        <w:t xml:space="preserve">Mediante correo electrónico suscrito por la </w:t>
      </w:r>
      <w:proofErr w:type="spellStart"/>
      <w:r w:rsidRPr="00D51E87">
        <w:rPr>
          <w:rFonts w:ascii="Arial" w:hAnsi="Arial" w:cs="Arial"/>
          <w:lang w:val="es-CR"/>
        </w:rPr>
        <w:t>MSc</w:t>
      </w:r>
      <w:proofErr w:type="spellEnd"/>
      <w:r w:rsidRPr="00D51E87">
        <w:rPr>
          <w:rFonts w:ascii="Arial" w:hAnsi="Arial" w:cs="Arial"/>
          <w:lang w:val="es-CR"/>
        </w:rPr>
        <w:t>. Ana Rosa Ruiz, Coordinadora de la Comisión de Planificación y Administración, enviado al Lic. Isidro Álvarez Salazar, Auditor Interno, se solicita la colaboración de esa Auditoría para la revisión del borrador del cartel de Contratación de Auditoría Externa Financiera 2018, adjunto al oficio VAD-611-2018.</w:t>
      </w:r>
    </w:p>
    <w:p w:rsidR="00D51E87" w:rsidRPr="00D51E87" w:rsidRDefault="00D51E87" w:rsidP="00D51E87">
      <w:pPr>
        <w:ind w:left="708"/>
        <w:rPr>
          <w:rFonts w:ascii="Arial" w:hAnsi="Arial" w:cs="Arial"/>
          <w:lang w:val="es-CR"/>
        </w:rPr>
      </w:pPr>
    </w:p>
    <w:p w:rsidR="00D51E87" w:rsidRPr="00D51E87" w:rsidRDefault="00D51E87" w:rsidP="00803853">
      <w:pPr>
        <w:numPr>
          <w:ilvl w:val="0"/>
          <w:numId w:val="5"/>
        </w:numPr>
        <w:ind w:left="360" w:right="-426"/>
        <w:jc w:val="both"/>
        <w:rPr>
          <w:rFonts w:ascii="Arial" w:hAnsi="Arial" w:cs="Arial"/>
          <w:lang w:val="es-CR"/>
        </w:rPr>
      </w:pPr>
      <w:r w:rsidRPr="00D51E87">
        <w:rPr>
          <w:rFonts w:ascii="Arial" w:hAnsi="Arial" w:cs="Arial"/>
          <w:lang w:val="es-CR"/>
        </w:rPr>
        <w:t xml:space="preserve">La Secretaría del Consejo Institucional recibió el oficio R-1094-2018, con fecha de recibido 03 de octubre de 2018, suscrito por el Dr. Julio Calvo Alvarado, Rector, dirigido a la </w:t>
      </w:r>
      <w:proofErr w:type="spellStart"/>
      <w:r w:rsidRPr="00D51E87">
        <w:rPr>
          <w:rFonts w:ascii="Arial" w:hAnsi="Arial" w:cs="Arial"/>
          <w:lang w:val="es-CR"/>
        </w:rPr>
        <w:t>M.Sc</w:t>
      </w:r>
      <w:proofErr w:type="spellEnd"/>
      <w:r w:rsidRPr="00D51E87">
        <w:rPr>
          <w:rFonts w:ascii="Arial" w:hAnsi="Arial" w:cs="Arial"/>
          <w:lang w:val="es-CR"/>
        </w:rPr>
        <w:t xml:space="preserve">. Ana Rosa Ruiz Fernández, Coordinadora Comisión de Planificación y Administración, en el cual remite aval del Consejo de Rectoría, adoptado en la Sesión No. 33-2018, Artículo 3, al borrador de Cartel para contratación de Auditoría Externa Financiera 2018, remitido por el Dr. Humberto Villalta, Vicerrector de Administración, adjunto al oficio VAD-611-2018.  </w:t>
      </w:r>
    </w:p>
    <w:p w:rsidR="00D51E87" w:rsidRPr="00D51E87" w:rsidRDefault="00D51E87" w:rsidP="00D51E87">
      <w:pPr>
        <w:ind w:right="-426"/>
        <w:jc w:val="both"/>
        <w:rPr>
          <w:rFonts w:ascii="Arial" w:hAnsi="Arial" w:cs="Arial"/>
          <w:lang w:val="es-CR"/>
        </w:rPr>
      </w:pPr>
    </w:p>
    <w:p w:rsidR="00D51E87" w:rsidRPr="00D51E87" w:rsidRDefault="00D51E87" w:rsidP="00803853">
      <w:pPr>
        <w:numPr>
          <w:ilvl w:val="0"/>
          <w:numId w:val="5"/>
        </w:numPr>
        <w:ind w:left="360" w:right="-426"/>
        <w:jc w:val="both"/>
        <w:rPr>
          <w:rFonts w:ascii="Arial" w:hAnsi="Arial" w:cs="Arial"/>
          <w:b/>
          <w:lang w:val="es-CR"/>
        </w:rPr>
      </w:pPr>
      <w:r w:rsidRPr="00D51E87">
        <w:rPr>
          <w:rFonts w:ascii="Arial" w:hAnsi="Arial" w:cs="Arial"/>
          <w:lang w:val="es-CR"/>
        </w:rPr>
        <w:t xml:space="preserve">La Comisión de Planificación y Administración, en la reunión No. 790-2018 realizada el jueves 4 de octubre de 2018, recibe al Dr. Humberto Villalta Solano, Vicerrector de Administración, a la Licda. Kathya Calderón Mora, Directora del Departamento de Aprovisionamiento, a la Licda. Silvia Watson Araya, Directora del Departamento Financiero Contable y al Lic. Manuel Bonilla  Cordero de la Auditoría Interna, para el análisis del borrador del cartel para la contratación de la Auditoría Externa Financiera 2018. En esta reunión el señor Bonilla Cordero expone las observaciones de la Auditoría Interna, ante lo cual las personas representantes de los entes técnicos se comprometen a incorporar los cambios y a enviar un nuevo documento para revisión de la Comisión. </w:t>
      </w:r>
    </w:p>
    <w:p w:rsidR="00D51E87" w:rsidRPr="00D51E87" w:rsidRDefault="00D51E87" w:rsidP="00D51E87">
      <w:pPr>
        <w:ind w:left="708"/>
        <w:rPr>
          <w:rFonts w:ascii="Arial" w:hAnsi="Arial" w:cs="Arial"/>
          <w:b/>
          <w:lang w:val="es-CR"/>
        </w:rPr>
      </w:pPr>
    </w:p>
    <w:p w:rsidR="00D51E87" w:rsidRPr="00D51E87" w:rsidRDefault="00D51E87" w:rsidP="00803853">
      <w:pPr>
        <w:numPr>
          <w:ilvl w:val="0"/>
          <w:numId w:val="5"/>
        </w:numPr>
        <w:ind w:left="360" w:right="-426"/>
        <w:jc w:val="both"/>
        <w:rPr>
          <w:rFonts w:ascii="Arial" w:hAnsi="Arial" w:cs="Arial"/>
          <w:i/>
          <w:sz w:val="22"/>
          <w:szCs w:val="22"/>
          <w:lang w:val="es-CR"/>
        </w:rPr>
      </w:pPr>
      <w:r w:rsidRPr="00D51E87">
        <w:rPr>
          <w:rFonts w:ascii="Arial" w:hAnsi="Arial" w:cs="Arial"/>
          <w:lang w:val="es-CR"/>
        </w:rPr>
        <w:t xml:space="preserve">La Secretaría del Consejo Institucional recibió el oficio VAD-626-2018 con fecha de recibido 05 de octubre de 2018, suscrito por el Dr. Humberto Villalta Solano, Vicerrector de Administración, dirigido a la </w:t>
      </w:r>
      <w:proofErr w:type="spellStart"/>
      <w:r w:rsidRPr="00D51E87">
        <w:rPr>
          <w:rFonts w:ascii="Arial" w:hAnsi="Arial" w:cs="Arial"/>
          <w:lang w:val="es-CR"/>
        </w:rPr>
        <w:t>MSc</w:t>
      </w:r>
      <w:proofErr w:type="spellEnd"/>
      <w:r w:rsidRPr="00D51E87">
        <w:rPr>
          <w:rFonts w:ascii="Arial" w:hAnsi="Arial" w:cs="Arial"/>
          <w:lang w:val="es-CR"/>
        </w:rPr>
        <w:t>. Ana Rosa Ruiz, Coordinadora de la Comisión de Planificación y Administración, en el cual adjunta el borrador del cartel de Contratación de Auditoría Externa Financiera 2018, que incluye las observaciones realizadas por la Auditoría Interna en la reunión de la Comisión de Planificación del jueves 04 de octubre de 2018.</w:t>
      </w:r>
    </w:p>
    <w:p w:rsidR="00D51E87" w:rsidRPr="00D51E87" w:rsidRDefault="00D51E87" w:rsidP="00D51E87">
      <w:pPr>
        <w:ind w:left="708"/>
        <w:rPr>
          <w:rFonts w:ascii="Arial" w:hAnsi="Arial" w:cs="Arial"/>
          <w:i/>
          <w:sz w:val="22"/>
          <w:szCs w:val="22"/>
          <w:lang w:val="es-CR"/>
        </w:rPr>
      </w:pPr>
    </w:p>
    <w:p w:rsidR="00D51E87" w:rsidRPr="00D51E87" w:rsidRDefault="00D51E87" w:rsidP="00803853">
      <w:pPr>
        <w:numPr>
          <w:ilvl w:val="0"/>
          <w:numId w:val="5"/>
        </w:numPr>
        <w:ind w:left="360" w:right="-426"/>
        <w:jc w:val="both"/>
        <w:rPr>
          <w:rFonts w:ascii="Arial" w:hAnsi="Arial" w:cs="Arial"/>
          <w:lang w:val="es-CR"/>
        </w:rPr>
      </w:pPr>
      <w:r w:rsidRPr="00D51E87">
        <w:rPr>
          <w:rFonts w:ascii="Arial" w:hAnsi="Arial" w:cs="Arial"/>
          <w:lang w:val="es-CR"/>
        </w:rPr>
        <w:t>La Comisión de Planificación y Administración revisa la documentación citada anteriormente y dispone elevar una propuesta al Consejo Institucional</w:t>
      </w:r>
    </w:p>
    <w:p w:rsidR="00D51E87" w:rsidRPr="00D51E87" w:rsidRDefault="00D51E87" w:rsidP="00D51E87">
      <w:pPr>
        <w:ind w:right="-426"/>
        <w:jc w:val="both"/>
        <w:rPr>
          <w:rFonts w:ascii="Arial" w:hAnsi="Arial" w:cs="Arial"/>
          <w:b/>
          <w:lang w:val="es-CR"/>
        </w:rPr>
      </w:pPr>
    </w:p>
    <w:p w:rsidR="00D51E87" w:rsidRPr="00D51E87" w:rsidRDefault="00D51E87" w:rsidP="00D51E87">
      <w:pPr>
        <w:ind w:right="-426"/>
        <w:jc w:val="both"/>
        <w:rPr>
          <w:rFonts w:ascii="Arial" w:hAnsi="Arial" w:cs="Arial"/>
          <w:b/>
          <w:lang w:val="es-CR"/>
        </w:rPr>
      </w:pPr>
      <w:r>
        <w:rPr>
          <w:rFonts w:ascii="Arial" w:hAnsi="Arial" w:cs="Arial"/>
          <w:b/>
          <w:lang w:val="es-CR"/>
        </w:rPr>
        <w:t>SE ACUERDA</w:t>
      </w:r>
      <w:r w:rsidRPr="00D51E87">
        <w:rPr>
          <w:rFonts w:ascii="Arial" w:hAnsi="Arial" w:cs="Arial"/>
          <w:b/>
          <w:lang w:val="es-CR"/>
        </w:rPr>
        <w:t>:</w:t>
      </w:r>
    </w:p>
    <w:p w:rsidR="00D51E87" w:rsidRPr="00D51E87" w:rsidRDefault="00D51E87" w:rsidP="00D51E87">
      <w:pPr>
        <w:jc w:val="both"/>
        <w:rPr>
          <w:rFonts w:ascii="Arial" w:eastAsia="Calibri" w:hAnsi="Arial" w:cs="Arial"/>
          <w:b/>
          <w:sz w:val="16"/>
          <w:szCs w:val="16"/>
          <w:lang w:val="es-ES_tradnl"/>
        </w:rPr>
      </w:pPr>
    </w:p>
    <w:p w:rsidR="00D51E87" w:rsidRPr="00D51E87" w:rsidRDefault="00D51E87" w:rsidP="00803853">
      <w:pPr>
        <w:numPr>
          <w:ilvl w:val="0"/>
          <w:numId w:val="4"/>
        </w:numPr>
        <w:ind w:left="425" w:hanging="357"/>
        <w:jc w:val="both"/>
        <w:rPr>
          <w:rFonts w:ascii="Arial" w:hAnsi="Arial" w:cs="Arial"/>
          <w:lang w:val="es-CR"/>
        </w:rPr>
      </w:pPr>
      <w:r w:rsidRPr="00D51E87">
        <w:rPr>
          <w:rFonts w:ascii="Arial" w:hAnsi="Arial" w:cs="Arial"/>
          <w:lang w:val="es-CR"/>
        </w:rPr>
        <w:t>Aprobar el Cartel para la contratación de Auditoría Externa Financiera 2018, en los siguientes términos:</w:t>
      </w:r>
    </w:p>
    <w:p w:rsidR="00D51E87" w:rsidRPr="00D51E87" w:rsidRDefault="00D51E87" w:rsidP="00D51E87">
      <w:pPr>
        <w:keepNext/>
        <w:tabs>
          <w:tab w:val="left" w:pos="360"/>
        </w:tabs>
        <w:spacing w:before="240" w:after="60"/>
        <w:jc w:val="both"/>
        <w:outlineLvl w:val="1"/>
        <w:rPr>
          <w:rFonts w:ascii="Arial" w:hAnsi="Arial" w:cs="Arial"/>
          <w:b/>
          <w:bCs/>
          <w:iCs/>
          <w:sz w:val="23"/>
          <w:szCs w:val="23"/>
          <w:lang w:val="es-CR"/>
        </w:rPr>
      </w:pPr>
      <w:bookmarkStart w:id="1" w:name="_Toc160606621"/>
      <w:bookmarkStart w:id="2" w:name="_Toc526433850"/>
      <w:bookmarkStart w:id="3" w:name="_Ref139983537"/>
      <w:r w:rsidRPr="00D51E87">
        <w:rPr>
          <w:rFonts w:ascii="Arial" w:hAnsi="Arial" w:cs="Arial"/>
          <w:b/>
          <w:bCs/>
          <w:i/>
          <w:iCs/>
          <w:sz w:val="23"/>
          <w:szCs w:val="23"/>
          <w:lang w:val="es-CR"/>
        </w:rPr>
        <w:t>FUNDAMENTO DE LA CONTRATACIÓN</w:t>
      </w:r>
      <w:bookmarkEnd w:id="1"/>
      <w:bookmarkEnd w:id="2"/>
    </w:p>
    <w:p w:rsidR="00D51E87" w:rsidRPr="00D51E87" w:rsidRDefault="00D51E87" w:rsidP="00D51E87">
      <w:pPr>
        <w:jc w:val="both"/>
        <w:rPr>
          <w:rFonts w:ascii="Arial" w:hAnsi="Arial" w:cs="Arial"/>
          <w:bCs/>
          <w:sz w:val="21"/>
          <w:szCs w:val="21"/>
          <w:lang w:val="es-CR"/>
        </w:rPr>
      </w:pPr>
      <w:bookmarkStart w:id="4" w:name="_Toc160606622"/>
      <w:r w:rsidRPr="00D51E87">
        <w:rPr>
          <w:rFonts w:ascii="Arial" w:hAnsi="Arial" w:cs="Arial"/>
          <w:bCs/>
          <w:sz w:val="21"/>
          <w:szCs w:val="21"/>
          <w:lang w:val="es-CR"/>
        </w:rPr>
        <w:t>Contar con el servicio de auditoría externa anual para el Instituto Tecnológico de Costa Rica.</w:t>
      </w:r>
    </w:p>
    <w:p w:rsidR="00D51E87" w:rsidRPr="00D51E87" w:rsidRDefault="00D51E87" w:rsidP="00D51E87">
      <w:pPr>
        <w:keepNext/>
        <w:tabs>
          <w:tab w:val="left" w:pos="360"/>
        </w:tabs>
        <w:spacing w:before="240" w:after="60"/>
        <w:jc w:val="both"/>
        <w:outlineLvl w:val="1"/>
        <w:rPr>
          <w:rFonts w:ascii="Arial" w:hAnsi="Arial" w:cs="Arial"/>
          <w:b/>
          <w:bCs/>
          <w:i/>
          <w:iCs/>
          <w:sz w:val="23"/>
          <w:szCs w:val="23"/>
          <w:lang w:val="es-CR"/>
        </w:rPr>
      </w:pPr>
      <w:bookmarkStart w:id="5" w:name="_Toc526433851"/>
      <w:r w:rsidRPr="00D51E87">
        <w:rPr>
          <w:rFonts w:ascii="Arial" w:hAnsi="Arial" w:cs="Arial"/>
          <w:b/>
          <w:bCs/>
          <w:i/>
          <w:iCs/>
          <w:sz w:val="23"/>
          <w:szCs w:val="23"/>
          <w:lang w:val="es-CR"/>
        </w:rPr>
        <w:t>OBJETO DE LA CONTRATACIÓN</w:t>
      </w:r>
      <w:bookmarkEnd w:id="3"/>
      <w:bookmarkEnd w:id="4"/>
      <w:bookmarkEnd w:id="5"/>
      <w:r w:rsidRPr="00D51E87">
        <w:rPr>
          <w:rFonts w:ascii="Arial" w:hAnsi="Arial" w:cs="Arial"/>
          <w:b/>
          <w:bCs/>
          <w:i/>
          <w:iCs/>
          <w:sz w:val="23"/>
          <w:szCs w:val="23"/>
          <w:lang w:val="es-CR"/>
        </w:rPr>
        <w:t xml:space="preserve"> </w:t>
      </w:r>
    </w:p>
    <w:p w:rsidR="00D51E87" w:rsidRPr="00D51E87" w:rsidRDefault="00D51E87" w:rsidP="00D51E87">
      <w:pPr>
        <w:jc w:val="both"/>
        <w:rPr>
          <w:rFonts w:ascii="Arial" w:hAnsi="Arial" w:cs="Arial"/>
          <w:bCs/>
          <w:sz w:val="21"/>
          <w:szCs w:val="21"/>
          <w:lang w:val="es-CR"/>
        </w:rPr>
      </w:pPr>
      <w:r w:rsidRPr="00D51E87">
        <w:rPr>
          <w:rFonts w:ascii="Arial" w:hAnsi="Arial" w:cs="Arial"/>
          <w:bCs/>
          <w:sz w:val="21"/>
          <w:szCs w:val="21"/>
          <w:lang w:val="es-CR"/>
        </w:rPr>
        <w:t>Contratación de servicios profesionales de auditoría externa para el Instituto Tecnológico de Costa Rica (ITCR) para el periodo 2018</w:t>
      </w:r>
      <w:r w:rsidRPr="00D51E87">
        <w:rPr>
          <w:rFonts w:ascii="Arial" w:hAnsi="Arial" w:cs="Arial"/>
          <w:sz w:val="21"/>
          <w:szCs w:val="21"/>
          <w:lang w:val="es-CR"/>
        </w:rPr>
        <w:t>.</w:t>
      </w:r>
    </w:p>
    <w:p w:rsidR="00D51E87" w:rsidRPr="00D51E87" w:rsidRDefault="00D51E87" w:rsidP="00D51E87">
      <w:pPr>
        <w:jc w:val="both"/>
        <w:rPr>
          <w:rFonts w:ascii="Arial" w:hAnsi="Arial" w:cs="Arial"/>
          <w:bCs/>
          <w:sz w:val="21"/>
          <w:szCs w:val="21"/>
          <w:lang w:val="es-CR"/>
        </w:rPr>
      </w:pPr>
    </w:p>
    <w:p w:rsidR="00D51E87" w:rsidRPr="00D51E87" w:rsidRDefault="00D51E87" w:rsidP="00D51E87">
      <w:pPr>
        <w:tabs>
          <w:tab w:val="num" w:pos="720"/>
        </w:tabs>
        <w:jc w:val="both"/>
        <w:rPr>
          <w:rFonts w:ascii="Arial" w:hAnsi="Arial" w:cs="Arial"/>
          <w:sz w:val="21"/>
          <w:szCs w:val="21"/>
          <w:lang w:val="es-CR"/>
        </w:rPr>
      </w:pPr>
      <w:r w:rsidRPr="00D51E87">
        <w:rPr>
          <w:rFonts w:ascii="Arial" w:hAnsi="Arial" w:cs="Arial"/>
          <w:sz w:val="21"/>
          <w:szCs w:val="21"/>
          <w:lang w:val="es-CR"/>
        </w:rPr>
        <w:t>La Oficina de Licitaciones será la encargada de tramitar este proceso y proporcionará cualquier información necesaria respecto a las especificaciones y documentación relacionada con esta contratación, previa coordinación con el Ente Técnico.</w:t>
      </w:r>
    </w:p>
    <w:p w:rsidR="00D51E87" w:rsidRPr="00D51E87" w:rsidRDefault="00D51E87" w:rsidP="00D51E87">
      <w:pPr>
        <w:keepNext/>
        <w:tabs>
          <w:tab w:val="left" w:pos="360"/>
        </w:tabs>
        <w:spacing w:before="240" w:after="60"/>
        <w:jc w:val="both"/>
        <w:outlineLvl w:val="1"/>
        <w:rPr>
          <w:rFonts w:ascii="Arial" w:hAnsi="Arial" w:cs="Arial"/>
          <w:b/>
          <w:bCs/>
          <w:iCs/>
          <w:sz w:val="23"/>
          <w:szCs w:val="23"/>
          <w:lang w:val="es-CR"/>
        </w:rPr>
      </w:pPr>
      <w:bookmarkStart w:id="6" w:name="_Toc160606623"/>
      <w:bookmarkStart w:id="7" w:name="_Toc526433852"/>
      <w:r w:rsidRPr="00D51E87">
        <w:rPr>
          <w:rFonts w:ascii="Arial" w:hAnsi="Arial" w:cs="Arial"/>
          <w:b/>
          <w:bCs/>
          <w:i/>
          <w:iCs/>
          <w:sz w:val="23"/>
          <w:szCs w:val="23"/>
          <w:lang w:val="es-CR"/>
        </w:rPr>
        <w:t>CONDICIONES GENERALES</w:t>
      </w:r>
      <w:bookmarkEnd w:id="6"/>
      <w:bookmarkEnd w:id="7"/>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8" w:name="_Toc526433853"/>
      <w:r w:rsidRPr="00D51E87">
        <w:rPr>
          <w:rFonts w:ascii="Arial" w:hAnsi="Arial" w:cs="Arial"/>
          <w:b/>
          <w:bCs/>
          <w:i/>
          <w:iCs/>
          <w:sz w:val="23"/>
          <w:szCs w:val="23"/>
          <w:lang w:val="es-CR"/>
        </w:rPr>
        <w:t>CONTENIDO PRESUPUESTARIO</w:t>
      </w:r>
      <w:bookmarkEnd w:id="8"/>
    </w:p>
    <w:p w:rsidR="00D51E87" w:rsidRPr="00D51E87" w:rsidRDefault="00D51E87" w:rsidP="00D51E87">
      <w:pPr>
        <w:jc w:val="both"/>
        <w:rPr>
          <w:sz w:val="20"/>
          <w:szCs w:val="20"/>
          <w:lang w:val="es-CR"/>
        </w:rPr>
      </w:pPr>
      <w:r w:rsidRPr="00D51E87">
        <w:rPr>
          <w:rFonts w:ascii="Arial" w:hAnsi="Arial" w:cs="Arial"/>
          <w:sz w:val="21"/>
          <w:szCs w:val="21"/>
          <w:lang w:val="es-CR"/>
        </w:rPr>
        <w:t>El Instituto Tecnológico de Costa Rica, cuenta con los recursos para cancelar las erogaciones del 2018, el pago restante será cubierto con presupuesto 2019.</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9" w:name="_Toc160606625"/>
      <w:bookmarkStart w:id="10" w:name="_Toc526433854"/>
      <w:r w:rsidRPr="00D51E87">
        <w:rPr>
          <w:rFonts w:ascii="Arial" w:hAnsi="Arial" w:cs="Arial"/>
          <w:b/>
          <w:bCs/>
          <w:i/>
          <w:iCs/>
          <w:sz w:val="23"/>
          <w:szCs w:val="23"/>
          <w:lang w:val="es-CR"/>
        </w:rPr>
        <w:t>PRESENTACION DE LA OFERTA</w:t>
      </w:r>
      <w:bookmarkEnd w:id="9"/>
      <w:bookmarkEnd w:id="10"/>
    </w:p>
    <w:p w:rsidR="00D51E87" w:rsidRPr="00D51E87" w:rsidRDefault="00D51E87" w:rsidP="00803853">
      <w:pPr>
        <w:numPr>
          <w:ilvl w:val="0"/>
          <w:numId w:val="7"/>
        </w:numPr>
        <w:tabs>
          <w:tab w:val="num" w:pos="1800"/>
        </w:tabs>
        <w:jc w:val="both"/>
        <w:rPr>
          <w:rFonts w:ascii="Arial" w:hAnsi="Arial" w:cs="Arial"/>
          <w:sz w:val="21"/>
          <w:szCs w:val="21"/>
          <w:lang w:val="es-CR"/>
        </w:rPr>
      </w:pPr>
      <w:r w:rsidRPr="00D51E87">
        <w:rPr>
          <w:rFonts w:ascii="Arial" w:hAnsi="Arial" w:cs="Arial"/>
          <w:sz w:val="21"/>
          <w:szCs w:val="21"/>
          <w:lang w:val="es-CR"/>
        </w:rPr>
        <w:t xml:space="preserve">Debe presentarse impresa en original y </w:t>
      </w:r>
      <w:r w:rsidRPr="00D51E87">
        <w:rPr>
          <w:rFonts w:ascii="Arial" w:hAnsi="Arial" w:cs="Arial"/>
          <w:b/>
          <w:sz w:val="21"/>
          <w:szCs w:val="21"/>
          <w:lang w:val="es-CR"/>
        </w:rPr>
        <w:t>una</w:t>
      </w:r>
      <w:r w:rsidRPr="00D51E87">
        <w:rPr>
          <w:rFonts w:ascii="Arial" w:hAnsi="Arial" w:cs="Arial"/>
          <w:sz w:val="21"/>
          <w:szCs w:val="21"/>
          <w:lang w:val="es-CR"/>
        </w:rPr>
        <w:t xml:space="preserve"> copia, </w:t>
      </w:r>
      <w:proofErr w:type="gramStart"/>
      <w:r w:rsidRPr="00D51E87">
        <w:rPr>
          <w:rFonts w:ascii="Arial" w:hAnsi="Arial" w:cs="Arial"/>
          <w:sz w:val="21"/>
          <w:szCs w:val="21"/>
          <w:lang w:val="es-CR"/>
        </w:rPr>
        <w:t>debidamente  firmada</w:t>
      </w:r>
      <w:proofErr w:type="gramEnd"/>
      <w:r w:rsidRPr="00D51E87">
        <w:rPr>
          <w:rFonts w:ascii="Arial" w:hAnsi="Arial" w:cs="Arial"/>
          <w:sz w:val="21"/>
          <w:szCs w:val="21"/>
          <w:lang w:val="es-CR"/>
        </w:rPr>
        <w:t xml:space="preserve"> por el representante legal o quien tenga poder para ello, indicando el nombre completo y apellidos, sus calidades, número de cédula de identidad o de residencia, número de teléfono, fax, dirección postal y electrónica, e iguales datos de su representada. Sin tachaduras, borrones y alteraciones que puedan producir dudas sobre el texto, debiéndose salvar todo error por nota antes de la apertura de las ofertas. </w:t>
      </w:r>
      <w:r w:rsidRPr="00D51E87">
        <w:rPr>
          <w:rFonts w:ascii="Arial" w:hAnsi="Arial" w:cs="Arial"/>
          <w:b/>
          <w:sz w:val="21"/>
          <w:szCs w:val="21"/>
          <w:lang w:val="es-CR"/>
        </w:rPr>
        <w:t>La copia debe ser fiel del original</w:t>
      </w:r>
      <w:r w:rsidRPr="00D51E87">
        <w:rPr>
          <w:rFonts w:ascii="Arial" w:hAnsi="Arial" w:cs="Arial"/>
          <w:sz w:val="21"/>
          <w:szCs w:val="21"/>
          <w:lang w:val="es-CR"/>
        </w:rPr>
        <w:t xml:space="preserve">. </w:t>
      </w:r>
      <w:r w:rsidRPr="00D51E87">
        <w:rPr>
          <w:rFonts w:ascii="Arial" w:hAnsi="Arial" w:cs="Arial"/>
          <w:b/>
          <w:sz w:val="21"/>
          <w:szCs w:val="21"/>
          <w:lang w:val="es-CR"/>
        </w:rPr>
        <w:t>Adicionalmente, se debe presentar una copia (fiel del original) en formato digital (Word).</w:t>
      </w:r>
    </w:p>
    <w:p w:rsidR="00D51E87" w:rsidRPr="00D51E87" w:rsidRDefault="00D51E87" w:rsidP="00803853">
      <w:pPr>
        <w:numPr>
          <w:ilvl w:val="0"/>
          <w:numId w:val="7"/>
        </w:numPr>
        <w:jc w:val="both"/>
        <w:rPr>
          <w:rFonts w:ascii="Arial" w:hAnsi="Arial" w:cs="Arial"/>
          <w:sz w:val="21"/>
          <w:szCs w:val="21"/>
          <w:lang w:val="es-CR"/>
        </w:rPr>
      </w:pPr>
      <w:r w:rsidRPr="00D51E87">
        <w:rPr>
          <w:rFonts w:ascii="Arial" w:hAnsi="Arial" w:cs="Arial"/>
          <w:sz w:val="21"/>
          <w:szCs w:val="21"/>
          <w:lang w:val="es-CR"/>
        </w:rPr>
        <w:t>Presentarse en idioma español, según se indica en el artículo 62, del Reglamento de la Ley de Contratación Administrativa, los anexos y literatura en otros idiomas deben adjuntarse con la debida traducción.</w:t>
      </w:r>
    </w:p>
    <w:p w:rsidR="00D51E87" w:rsidRPr="00D51E87" w:rsidRDefault="00D51E87" w:rsidP="00803853">
      <w:pPr>
        <w:numPr>
          <w:ilvl w:val="0"/>
          <w:numId w:val="7"/>
        </w:numPr>
        <w:tabs>
          <w:tab w:val="num" w:pos="1800"/>
        </w:tabs>
        <w:jc w:val="both"/>
        <w:rPr>
          <w:rFonts w:ascii="Arial" w:hAnsi="Arial" w:cs="Arial"/>
          <w:sz w:val="21"/>
          <w:szCs w:val="21"/>
          <w:lang w:val="es-CR"/>
        </w:rPr>
      </w:pPr>
      <w:r w:rsidRPr="00D51E87">
        <w:rPr>
          <w:rFonts w:ascii="Arial" w:hAnsi="Arial" w:cs="Arial"/>
          <w:sz w:val="21"/>
          <w:szCs w:val="21"/>
          <w:lang w:val="es-CR"/>
        </w:rPr>
        <w:t>Debe presentarse con numeración al pie de página y manteniendo el mismo orden en su presentación.  Preferiblemente empastadas.</w:t>
      </w:r>
    </w:p>
    <w:p w:rsidR="00D51E87" w:rsidRPr="00D51E87" w:rsidRDefault="00D51E87" w:rsidP="00803853">
      <w:pPr>
        <w:numPr>
          <w:ilvl w:val="0"/>
          <w:numId w:val="7"/>
        </w:numPr>
        <w:jc w:val="both"/>
        <w:rPr>
          <w:rFonts w:ascii="Arial" w:hAnsi="Arial" w:cs="Arial"/>
          <w:sz w:val="21"/>
          <w:szCs w:val="21"/>
          <w:lang w:val="es-CR"/>
        </w:rPr>
      </w:pPr>
      <w:bookmarkStart w:id="11" w:name="_Ref139983807"/>
      <w:bookmarkStart w:id="12" w:name="_Toc139008927"/>
      <w:bookmarkStart w:id="13" w:name="_Toc136764928"/>
      <w:r w:rsidRPr="00D51E87">
        <w:rPr>
          <w:rFonts w:ascii="Arial" w:hAnsi="Arial" w:cs="Arial"/>
          <w:sz w:val="21"/>
          <w:szCs w:val="21"/>
          <w:lang w:val="es-CR"/>
        </w:rPr>
        <w:t>Debe ajustarse en lo que dispone la Ley sobre Unidades de Medida Nº 5292 de 9 de agosto de 1973 y el Decreto Ejecutivo Nº 4124-MEIC de 16 de setiembre de 1974.</w:t>
      </w:r>
    </w:p>
    <w:p w:rsidR="00D51E87" w:rsidRPr="00D51E87" w:rsidRDefault="00D51E87" w:rsidP="00803853">
      <w:pPr>
        <w:numPr>
          <w:ilvl w:val="0"/>
          <w:numId w:val="7"/>
        </w:numPr>
        <w:jc w:val="both"/>
        <w:rPr>
          <w:rFonts w:ascii="Arial" w:hAnsi="Arial" w:cs="Arial"/>
          <w:sz w:val="21"/>
          <w:szCs w:val="21"/>
          <w:lang w:val="es-CR"/>
        </w:rPr>
      </w:pPr>
      <w:r w:rsidRPr="00D51E87">
        <w:rPr>
          <w:rFonts w:ascii="Arial" w:hAnsi="Arial" w:cs="Arial"/>
          <w:sz w:val="21"/>
          <w:szCs w:val="21"/>
          <w:lang w:val="es-CR"/>
        </w:rPr>
        <w:t>En la oferta no se sobreentiende ningún punto. Todo debe ser comprobado por el oferente en forma escrita. Así mismo, no se asume nada que no sea explícitamente declarado.</w:t>
      </w:r>
    </w:p>
    <w:p w:rsidR="00D51E87" w:rsidRPr="00D51E87" w:rsidRDefault="00D51E87" w:rsidP="00803853">
      <w:pPr>
        <w:numPr>
          <w:ilvl w:val="0"/>
          <w:numId w:val="7"/>
        </w:numPr>
        <w:jc w:val="both"/>
        <w:rPr>
          <w:rFonts w:ascii="Arial" w:hAnsi="Arial" w:cs="Arial"/>
          <w:sz w:val="21"/>
          <w:szCs w:val="21"/>
          <w:lang w:val="es-CR"/>
        </w:rPr>
      </w:pPr>
      <w:r w:rsidRPr="00D51E87">
        <w:rPr>
          <w:rFonts w:ascii="Arial" w:hAnsi="Arial" w:cs="Arial"/>
          <w:sz w:val="21"/>
          <w:szCs w:val="21"/>
          <w:lang w:val="es-CR"/>
        </w:rPr>
        <w:t>Debe ser entregada en el Departamento de Aprovisionamiento, en sobre cerrado en el que se consigne la siguiente leyenda:</w:t>
      </w:r>
    </w:p>
    <w:p w:rsidR="00D51E87" w:rsidRPr="00D51E87" w:rsidRDefault="00D51E87" w:rsidP="00D51E87">
      <w:pPr>
        <w:ind w:left="360"/>
        <w:jc w:val="both"/>
        <w:rPr>
          <w:rFonts w:ascii="Arial" w:hAnsi="Arial" w:cs="Arial"/>
          <w:sz w:val="10"/>
          <w:szCs w:val="10"/>
          <w:lang w:val="es-CR"/>
        </w:rPr>
      </w:pPr>
    </w:p>
    <w:p w:rsidR="00D51E87" w:rsidRPr="00D51E87" w:rsidRDefault="00D51E87" w:rsidP="00D51E87">
      <w:pPr>
        <w:rPr>
          <w:rFonts w:ascii="Arial" w:hAnsi="Arial" w:cs="Arial"/>
          <w:b/>
          <w:sz w:val="17"/>
          <w:szCs w:val="17"/>
          <w:lang w:val="es-CR"/>
        </w:rPr>
      </w:pPr>
    </w:p>
    <w:p w:rsidR="00D51E87" w:rsidRPr="00D51E87" w:rsidRDefault="00D51E87" w:rsidP="00D51E87">
      <w:pPr>
        <w:rPr>
          <w:rFonts w:ascii="Arial" w:hAnsi="Arial" w:cs="Arial"/>
          <w:b/>
          <w:sz w:val="17"/>
          <w:szCs w:val="17"/>
          <w:lang w:val="es-CR"/>
        </w:rPr>
      </w:pPr>
      <w:r w:rsidRPr="00D51E87">
        <w:rPr>
          <w:rFonts w:ascii="Arial" w:hAnsi="Arial" w:cs="Arial"/>
          <w:b/>
          <w:sz w:val="17"/>
          <w:szCs w:val="17"/>
          <w:lang w:val="es-CR"/>
        </w:rPr>
        <w:br w:type="page"/>
      </w:r>
    </w:p>
    <w:p w:rsidR="00D51E87" w:rsidRPr="00D51E87" w:rsidRDefault="00D51E87" w:rsidP="00D51E87">
      <w:pPr>
        <w:tabs>
          <w:tab w:val="num" w:pos="540"/>
        </w:tabs>
        <w:ind w:left="540" w:hanging="360"/>
        <w:jc w:val="center"/>
        <w:rPr>
          <w:rFonts w:ascii="Arial" w:hAnsi="Arial" w:cs="Arial"/>
          <w:b/>
          <w:sz w:val="17"/>
          <w:szCs w:val="17"/>
          <w:lang w:val="es-CR"/>
        </w:rPr>
      </w:pPr>
      <w:r w:rsidRPr="00D51E87">
        <w:rPr>
          <w:rFonts w:ascii="Arial" w:hAnsi="Arial" w:cs="Arial"/>
          <w:b/>
          <w:sz w:val="17"/>
          <w:szCs w:val="17"/>
          <w:lang w:val="es-CR"/>
        </w:rPr>
        <w:lastRenderedPageBreak/>
        <w:t>Instituto Tecnológico de Costa Rica</w:t>
      </w:r>
    </w:p>
    <w:p w:rsidR="00D51E87" w:rsidRPr="00D51E87" w:rsidRDefault="00D51E87" w:rsidP="00D51E87">
      <w:pPr>
        <w:tabs>
          <w:tab w:val="num" w:pos="540"/>
        </w:tabs>
        <w:ind w:left="540" w:hanging="360"/>
        <w:jc w:val="center"/>
        <w:rPr>
          <w:rFonts w:ascii="Arial" w:hAnsi="Arial" w:cs="Arial"/>
          <w:b/>
          <w:sz w:val="17"/>
          <w:szCs w:val="17"/>
          <w:lang w:val="es-CR"/>
        </w:rPr>
      </w:pPr>
      <w:r w:rsidRPr="00D51E87">
        <w:rPr>
          <w:rFonts w:ascii="Arial" w:hAnsi="Arial" w:cs="Arial"/>
          <w:b/>
          <w:sz w:val="17"/>
          <w:szCs w:val="17"/>
          <w:lang w:val="es-CR"/>
        </w:rPr>
        <w:t>Departamento de Aprovisionamiento</w:t>
      </w:r>
    </w:p>
    <w:p w:rsidR="00D51E87" w:rsidRPr="00D51E87" w:rsidRDefault="00D51E87" w:rsidP="00D51E87">
      <w:pPr>
        <w:tabs>
          <w:tab w:val="num" w:pos="540"/>
        </w:tabs>
        <w:ind w:left="540" w:hanging="360"/>
        <w:jc w:val="center"/>
        <w:rPr>
          <w:rFonts w:ascii="Arial" w:hAnsi="Arial" w:cs="Arial"/>
          <w:b/>
          <w:sz w:val="17"/>
          <w:szCs w:val="17"/>
          <w:lang w:val="es-CR"/>
        </w:rPr>
      </w:pPr>
      <w:r w:rsidRPr="00D51E87">
        <w:rPr>
          <w:rFonts w:ascii="Arial" w:hAnsi="Arial" w:cs="Arial"/>
          <w:b/>
          <w:sz w:val="17"/>
          <w:szCs w:val="17"/>
          <w:lang w:val="es-CR"/>
        </w:rPr>
        <w:t>Oficina de Licitaciones</w:t>
      </w:r>
    </w:p>
    <w:p w:rsidR="00D51E87" w:rsidRPr="00D51E87" w:rsidRDefault="00D51E87" w:rsidP="00D51E87">
      <w:pPr>
        <w:tabs>
          <w:tab w:val="num" w:pos="540"/>
        </w:tabs>
        <w:ind w:left="540" w:hanging="360"/>
        <w:jc w:val="center"/>
        <w:rPr>
          <w:rFonts w:ascii="Arial" w:hAnsi="Arial" w:cs="Arial"/>
          <w:b/>
          <w:sz w:val="17"/>
          <w:szCs w:val="17"/>
          <w:lang w:val="es-CR"/>
        </w:rPr>
      </w:pPr>
      <w:r w:rsidRPr="00D51E87">
        <w:rPr>
          <w:rFonts w:ascii="Arial" w:hAnsi="Arial" w:cs="Arial"/>
          <w:b/>
          <w:sz w:val="17"/>
          <w:szCs w:val="17"/>
          <w:lang w:val="es-CR"/>
        </w:rPr>
        <w:t>Licitación Abreviada Nº 2018LA-000028-APITCR</w:t>
      </w:r>
    </w:p>
    <w:p w:rsidR="00D51E87" w:rsidRPr="00D51E87" w:rsidRDefault="00D51E87" w:rsidP="00D51E87">
      <w:pPr>
        <w:jc w:val="center"/>
        <w:rPr>
          <w:rFonts w:ascii="Arial" w:hAnsi="Arial" w:cs="Arial"/>
          <w:b/>
          <w:sz w:val="18"/>
          <w:szCs w:val="18"/>
          <w:lang w:val="es-CR"/>
        </w:rPr>
      </w:pPr>
      <w:r w:rsidRPr="00D51E87">
        <w:rPr>
          <w:rFonts w:ascii="Arial" w:hAnsi="Arial" w:cs="Arial"/>
          <w:b/>
          <w:sz w:val="18"/>
          <w:szCs w:val="18"/>
          <w:lang w:val="es-CR"/>
        </w:rPr>
        <w:t>“Servicios de Auditoría Externa 2018”</w:t>
      </w:r>
    </w:p>
    <w:p w:rsidR="00D51E87" w:rsidRPr="00D51E87" w:rsidRDefault="00D51E87" w:rsidP="00D51E87">
      <w:pPr>
        <w:tabs>
          <w:tab w:val="num" w:pos="540"/>
        </w:tabs>
        <w:ind w:left="540" w:hanging="360"/>
        <w:jc w:val="center"/>
        <w:rPr>
          <w:rFonts w:ascii="Arial" w:hAnsi="Arial" w:cs="Arial"/>
          <w:b/>
          <w:sz w:val="17"/>
          <w:szCs w:val="17"/>
          <w:lang w:val="es-CR"/>
        </w:rPr>
      </w:pPr>
      <w:r w:rsidRPr="00D51E87">
        <w:rPr>
          <w:rFonts w:ascii="Arial" w:hAnsi="Arial" w:cs="Arial"/>
          <w:b/>
          <w:sz w:val="17"/>
          <w:szCs w:val="17"/>
          <w:lang w:val="es-CR"/>
        </w:rPr>
        <w:t>“Nombre del Oferente”</w:t>
      </w:r>
    </w:p>
    <w:p w:rsidR="00D51E87" w:rsidRPr="00D51E87" w:rsidRDefault="00D51E87" w:rsidP="00D51E87">
      <w:pPr>
        <w:tabs>
          <w:tab w:val="num" w:pos="540"/>
        </w:tabs>
        <w:ind w:left="540" w:hanging="360"/>
        <w:jc w:val="center"/>
        <w:rPr>
          <w:rFonts w:ascii="Arial" w:hAnsi="Arial" w:cs="Arial"/>
          <w:b/>
          <w:sz w:val="10"/>
          <w:szCs w:val="10"/>
          <w:lang w:val="es-CR"/>
        </w:rPr>
      </w:pPr>
    </w:p>
    <w:p w:rsidR="00D51E87" w:rsidRPr="00D51E87" w:rsidRDefault="00D51E87" w:rsidP="00803853">
      <w:pPr>
        <w:numPr>
          <w:ilvl w:val="0"/>
          <w:numId w:val="7"/>
        </w:numPr>
        <w:jc w:val="both"/>
        <w:rPr>
          <w:rFonts w:ascii="Arial" w:hAnsi="Arial" w:cs="Arial"/>
          <w:sz w:val="21"/>
          <w:szCs w:val="21"/>
          <w:lang w:val="es-CR"/>
        </w:rPr>
      </w:pPr>
      <w:bookmarkStart w:id="14" w:name="_Ref139983565"/>
      <w:bookmarkStart w:id="15" w:name="_Toc160606626"/>
      <w:bookmarkStart w:id="16" w:name="_Toc136764922"/>
      <w:r w:rsidRPr="00D51E87">
        <w:rPr>
          <w:rFonts w:ascii="Arial" w:hAnsi="Arial" w:cs="Arial"/>
          <w:sz w:val="21"/>
          <w:szCs w:val="21"/>
          <w:lang w:val="es-CR"/>
        </w:rPr>
        <w:t>Las ofertas que se presenten en el Departamento de Aprovisionamiento, después de la fecha y hora indicada podrán ser recibidas, pero no serán evaluadas.</w:t>
      </w:r>
    </w:p>
    <w:p w:rsidR="00D51E87" w:rsidRPr="00D51E87" w:rsidRDefault="00D51E87" w:rsidP="00803853">
      <w:pPr>
        <w:numPr>
          <w:ilvl w:val="0"/>
          <w:numId w:val="7"/>
        </w:numPr>
        <w:jc w:val="both"/>
        <w:rPr>
          <w:rFonts w:ascii="Arial" w:hAnsi="Arial" w:cs="Arial"/>
          <w:sz w:val="21"/>
          <w:szCs w:val="21"/>
          <w:lang w:val="es-CR"/>
        </w:rPr>
      </w:pPr>
      <w:r w:rsidRPr="00D51E87">
        <w:rPr>
          <w:rFonts w:ascii="Arial" w:hAnsi="Arial" w:cs="Arial"/>
          <w:sz w:val="21"/>
          <w:szCs w:val="21"/>
          <w:lang w:val="es-CR"/>
        </w:rPr>
        <w:t xml:space="preserve">Los oferentes deben corroborar que la información en el Registro de Proveedores Institucional </w:t>
      </w:r>
      <w:r w:rsidRPr="00D51E87">
        <w:rPr>
          <w:rFonts w:ascii="Arial" w:hAnsi="Arial" w:cs="Arial"/>
          <w:b/>
          <w:sz w:val="21"/>
          <w:szCs w:val="21"/>
          <w:lang w:val="es-CR"/>
        </w:rPr>
        <w:t>se encuentra al día</w:t>
      </w:r>
      <w:r w:rsidRPr="00D51E87">
        <w:rPr>
          <w:rFonts w:ascii="Arial" w:hAnsi="Arial" w:cs="Arial"/>
          <w:sz w:val="21"/>
          <w:szCs w:val="21"/>
          <w:lang w:val="es-CR"/>
        </w:rPr>
        <w:t>, para ello deben comunicarse al teléfono 2550-2241.</w:t>
      </w:r>
    </w:p>
    <w:p w:rsidR="00D51E87" w:rsidRPr="00D51E87" w:rsidRDefault="00D51E87" w:rsidP="00D51E87">
      <w:pPr>
        <w:jc w:val="both"/>
        <w:rPr>
          <w:rFonts w:ascii="Arial" w:hAnsi="Arial" w:cs="Arial"/>
          <w:b/>
          <w:sz w:val="13"/>
          <w:szCs w:val="13"/>
          <w:u w:val="single"/>
          <w:lang w:val="es-CR"/>
        </w:rPr>
      </w:pPr>
    </w:p>
    <w:p w:rsidR="00D51E87" w:rsidRPr="00D51E87" w:rsidRDefault="00D51E87" w:rsidP="00D51E87">
      <w:pPr>
        <w:ind w:left="708"/>
        <w:jc w:val="both"/>
        <w:rPr>
          <w:rFonts w:ascii="Arial" w:hAnsi="Arial" w:cs="Arial"/>
          <w:b/>
          <w:sz w:val="21"/>
          <w:szCs w:val="21"/>
          <w:u w:val="single"/>
          <w:lang w:val="es-CR"/>
        </w:rPr>
      </w:pPr>
      <w:r w:rsidRPr="00D51E87">
        <w:rPr>
          <w:rFonts w:ascii="Arial" w:hAnsi="Arial" w:cs="Arial"/>
          <w:b/>
          <w:sz w:val="21"/>
          <w:szCs w:val="21"/>
          <w:u w:val="single"/>
          <w:lang w:val="es-CR"/>
        </w:rPr>
        <w:t xml:space="preserve">El oferente debe haber actualizado sus datos en nuestro registro de proveedores en un periodo de tiempo no mayor a 24 meses. </w:t>
      </w:r>
    </w:p>
    <w:p w:rsidR="00D51E87" w:rsidRPr="00D51E87" w:rsidRDefault="00D51E87" w:rsidP="00D51E87">
      <w:pPr>
        <w:jc w:val="both"/>
        <w:rPr>
          <w:rFonts w:ascii="Arial" w:hAnsi="Arial" w:cs="Arial"/>
          <w:b/>
          <w:sz w:val="21"/>
          <w:szCs w:val="21"/>
          <w:u w:val="single"/>
          <w:lang w:val="es-CR"/>
        </w:rPr>
      </w:pPr>
    </w:p>
    <w:p w:rsidR="00D51E87" w:rsidRPr="00D51E87" w:rsidRDefault="00D51E87" w:rsidP="00803853">
      <w:pPr>
        <w:numPr>
          <w:ilvl w:val="0"/>
          <w:numId w:val="7"/>
        </w:numPr>
        <w:jc w:val="both"/>
        <w:rPr>
          <w:rFonts w:ascii="Arial" w:hAnsi="Arial" w:cs="Arial"/>
          <w:sz w:val="21"/>
          <w:szCs w:val="21"/>
          <w:lang w:val="es-CR"/>
        </w:rPr>
      </w:pPr>
      <w:r w:rsidRPr="00D51E87">
        <w:rPr>
          <w:rFonts w:ascii="Arial" w:hAnsi="Arial" w:cs="Arial"/>
          <w:sz w:val="21"/>
          <w:szCs w:val="21"/>
          <w:lang w:val="es-CR"/>
        </w:rPr>
        <w:t>El Instituto cuenta con acceso directo al Sistema SICERE de la CCSS por lo que el día de la apertura se verificará que el proveedor se encuentre al día con el pago de las obligaciones obrero patronales, según la Ley Constitutiva, artículo 74 de la CCSS.  La comprobación de esta información se realizará también en cualquier momento del trámite y vía digital.  En caso de duda con la información obtenida, un funcionario autorizado del Instituto, remitirá la prevención respectiva al oferente.  Incluye Subcontratistas cuando los hubiere.</w:t>
      </w:r>
    </w:p>
    <w:p w:rsidR="00D51E87" w:rsidRPr="00D51E87" w:rsidRDefault="00D51E87" w:rsidP="00803853">
      <w:pPr>
        <w:numPr>
          <w:ilvl w:val="0"/>
          <w:numId w:val="7"/>
        </w:numPr>
        <w:jc w:val="both"/>
        <w:rPr>
          <w:rFonts w:ascii="Arial" w:hAnsi="Arial" w:cs="Arial"/>
          <w:sz w:val="21"/>
          <w:szCs w:val="21"/>
          <w:lang w:val="es-CR"/>
        </w:rPr>
      </w:pPr>
      <w:r w:rsidRPr="00D51E87">
        <w:rPr>
          <w:rFonts w:ascii="Arial" w:hAnsi="Arial" w:cs="Arial"/>
          <w:sz w:val="21"/>
          <w:szCs w:val="21"/>
          <w:lang w:val="es-CR"/>
        </w:rPr>
        <w:t xml:space="preserve">El Instituto verificará la condición del oferente en sus obligaciones con el Fondo de Desarrollo Social y Asignaciones Familiares, según artículo 22 de la Ley 8783, mediante el sitio  </w:t>
      </w:r>
      <w:hyperlink r:id="rId8" w:tgtFrame="_blank" w:history="1">
        <w:r w:rsidRPr="00D51E87">
          <w:rPr>
            <w:rFonts w:ascii="Arial" w:hAnsi="Arial" w:cs="Arial"/>
            <w:sz w:val="21"/>
            <w:szCs w:val="21"/>
            <w:lang w:val="es-CR"/>
          </w:rPr>
          <w:t>http://inspeccion.mtss.go.cr/patronosmorosos/default.aspx</w:t>
        </w:r>
      </w:hyperlink>
      <w:r w:rsidRPr="00D51E87">
        <w:rPr>
          <w:rFonts w:ascii="Arial" w:hAnsi="Arial" w:cs="Arial"/>
          <w:sz w:val="21"/>
          <w:szCs w:val="21"/>
          <w:lang w:val="es-CR"/>
        </w:rPr>
        <w:t>. En caso de duda con la información obtenida, la persona encargada de este proceso remitirá prevención respectiva al oferente.</w:t>
      </w:r>
    </w:p>
    <w:p w:rsidR="00D51E87" w:rsidRPr="00D51E87" w:rsidRDefault="00D51E87" w:rsidP="00803853">
      <w:pPr>
        <w:numPr>
          <w:ilvl w:val="0"/>
          <w:numId w:val="7"/>
        </w:numPr>
        <w:jc w:val="both"/>
        <w:rPr>
          <w:rFonts w:ascii="Arial" w:hAnsi="Arial" w:cs="Arial"/>
          <w:sz w:val="21"/>
          <w:szCs w:val="21"/>
          <w:lang w:val="es-CR"/>
        </w:rPr>
      </w:pPr>
      <w:r w:rsidRPr="00D51E87">
        <w:rPr>
          <w:rFonts w:ascii="Arial" w:hAnsi="Arial" w:cs="Arial"/>
          <w:sz w:val="21"/>
          <w:szCs w:val="21"/>
          <w:lang w:val="es-CR"/>
        </w:rPr>
        <w:t>La morosidad al momento de la apertura del concurso con las obligaciones de la CCSS y FODESAF podrá ser subsanable por el oferente o a solicitud del ITCR durante la fase de análisis de ofertas, según resolución R-DCA-393-2012, oficio CGR–DCA-1982, Circular DJ-6051-2012 de la CCSS.</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17" w:name="_Toc526433855"/>
      <w:r w:rsidRPr="00D51E87">
        <w:rPr>
          <w:rFonts w:ascii="Arial" w:hAnsi="Arial" w:cs="Arial"/>
          <w:b/>
          <w:bCs/>
          <w:i/>
          <w:iCs/>
          <w:sz w:val="23"/>
          <w:szCs w:val="23"/>
          <w:lang w:val="es-CR"/>
        </w:rPr>
        <w:t>DOCUMENTACION QUE DEBE INCLUIRSE EN LA OFERTA</w:t>
      </w:r>
      <w:bookmarkEnd w:id="14"/>
      <w:bookmarkEnd w:id="15"/>
      <w:bookmarkEnd w:id="17"/>
      <w:r w:rsidRPr="00D51E87">
        <w:rPr>
          <w:rFonts w:ascii="Arial" w:hAnsi="Arial" w:cs="Arial"/>
          <w:b/>
          <w:bCs/>
          <w:i/>
          <w:iCs/>
          <w:sz w:val="23"/>
          <w:szCs w:val="23"/>
          <w:lang w:val="es-CR"/>
        </w:rPr>
        <w:t xml:space="preserve"> </w:t>
      </w:r>
      <w:bookmarkStart w:id="18" w:name="_Ref139983567"/>
      <w:bookmarkEnd w:id="16"/>
    </w:p>
    <w:bookmarkEnd w:id="11"/>
    <w:bookmarkEnd w:id="12"/>
    <w:bookmarkEnd w:id="18"/>
    <w:p w:rsidR="00D51E87" w:rsidRPr="00D51E87" w:rsidRDefault="00D51E87" w:rsidP="00803853">
      <w:pPr>
        <w:numPr>
          <w:ilvl w:val="0"/>
          <w:numId w:val="10"/>
        </w:numPr>
        <w:jc w:val="both"/>
        <w:rPr>
          <w:rFonts w:ascii="Arial" w:hAnsi="Arial" w:cs="Arial"/>
          <w:sz w:val="22"/>
          <w:szCs w:val="22"/>
          <w:lang w:val="es-CR"/>
        </w:rPr>
      </w:pPr>
      <w:r w:rsidRPr="00D51E87">
        <w:rPr>
          <w:rFonts w:ascii="Arial" w:hAnsi="Arial" w:cs="Arial"/>
          <w:sz w:val="22"/>
          <w:szCs w:val="22"/>
          <w:lang w:val="es-CR"/>
        </w:rPr>
        <w:t>Quien o quienes participen en esta Licitación, sean personas físicas o jurídicas, se comprometen al fiel cumplimiento de las especificaciones establecidas en este cartel y de las normas jurídicas que regulan esta materia.</w:t>
      </w:r>
      <w:bookmarkStart w:id="19" w:name="_Ref139983586"/>
      <w:bookmarkEnd w:id="19"/>
    </w:p>
    <w:p w:rsidR="00D51E87" w:rsidRPr="00D51E87" w:rsidRDefault="00D51E87" w:rsidP="00803853">
      <w:pPr>
        <w:numPr>
          <w:ilvl w:val="0"/>
          <w:numId w:val="10"/>
        </w:numPr>
        <w:jc w:val="both"/>
        <w:rPr>
          <w:rFonts w:ascii="Arial" w:hAnsi="Arial" w:cs="Arial"/>
          <w:sz w:val="22"/>
          <w:szCs w:val="22"/>
          <w:lang w:val="es-CR"/>
        </w:rPr>
      </w:pPr>
      <w:r w:rsidRPr="00D51E87">
        <w:rPr>
          <w:rFonts w:ascii="Arial" w:hAnsi="Arial" w:cs="Arial"/>
          <w:sz w:val="22"/>
          <w:szCs w:val="22"/>
          <w:lang w:val="es-CR"/>
        </w:rPr>
        <w:t>Se debe indicar si el oferente posee la condición de PYME, según lo establecido en la Ley de fortalecimiento de las pequeñas y medianas empresas y sus reformas, N° 8262.</w:t>
      </w:r>
    </w:p>
    <w:p w:rsidR="00D51E87" w:rsidRPr="00D51E87" w:rsidRDefault="00D51E87" w:rsidP="00803853">
      <w:pPr>
        <w:numPr>
          <w:ilvl w:val="0"/>
          <w:numId w:val="10"/>
        </w:numPr>
        <w:jc w:val="both"/>
        <w:rPr>
          <w:rFonts w:ascii="Arial" w:hAnsi="Arial" w:cs="Arial"/>
          <w:sz w:val="22"/>
          <w:szCs w:val="22"/>
          <w:lang w:val="es-CR"/>
        </w:rPr>
      </w:pPr>
      <w:r w:rsidRPr="00D51E87">
        <w:rPr>
          <w:rFonts w:ascii="Arial" w:hAnsi="Arial" w:cs="Arial"/>
          <w:sz w:val="22"/>
          <w:szCs w:val="22"/>
          <w:lang w:val="es-CR"/>
        </w:rPr>
        <w:t>El oferente debe presentar las siguientes declaraciones juradas firmadas inmediatamente después de su consignación:</w:t>
      </w:r>
    </w:p>
    <w:p w:rsidR="00D51E87" w:rsidRPr="00D51E87" w:rsidRDefault="00D51E87" w:rsidP="00D51E87">
      <w:pPr>
        <w:ind w:left="360"/>
        <w:jc w:val="both"/>
        <w:rPr>
          <w:rFonts w:ascii="Arial" w:hAnsi="Arial" w:cs="Arial"/>
          <w:sz w:val="22"/>
          <w:szCs w:val="22"/>
          <w:lang w:val="es-CR"/>
        </w:rPr>
      </w:pPr>
    </w:p>
    <w:p w:rsidR="00D51E87" w:rsidRPr="00D51E87" w:rsidRDefault="00D51E87" w:rsidP="00803853">
      <w:pPr>
        <w:numPr>
          <w:ilvl w:val="0"/>
          <w:numId w:val="11"/>
        </w:numPr>
        <w:tabs>
          <w:tab w:val="num" w:pos="993"/>
        </w:tabs>
        <w:ind w:left="993" w:hanging="426"/>
        <w:jc w:val="both"/>
        <w:rPr>
          <w:rFonts w:ascii="Arial" w:hAnsi="Arial" w:cs="Arial"/>
          <w:sz w:val="22"/>
          <w:szCs w:val="22"/>
          <w:lang w:val="es-CR"/>
        </w:rPr>
      </w:pPr>
      <w:r w:rsidRPr="00D51E87">
        <w:rPr>
          <w:rFonts w:ascii="Arial" w:hAnsi="Arial" w:cs="Arial"/>
          <w:sz w:val="22"/>
          <w:szCs w:val="22"/>
          <w:lang w:val="es-CR"/>
        </w:rPr>
        <w:t>Que no se encuentra inhibido para contratar con la Administración según las prohibiciones contempladas en los artículos 22 y 22 bis de la Ley de Contratación Administrativa, su Reglamento y de conformidad con la reforma implementada por la Ley Contra la Corrupción y el Enriquecimiento Ilícito en la Función Pública.</w:t>
      </w:r>
    </w:p>
    <w:p w:rsidR="00D51E87" w:rsidRPr="00D51E87" w:rsidRDefault="00D51E87" w:rsidP="00803853">
      <w:pPr>
        <w:numPr>
          <w:ilvl w:val="0"/>
          <w:numId w:val="11"/>
        </w:numPr>
        <w:tabs>
          <w:tab w:val="num" w:pos="993"/>
        </w:tabs>
        <w:ind w:left="993" w:hanging="426"/>
        <w:jc w:val="both"/>
        <w:rPr>
          <w:rFonts w:ascii="Arial" w:hAnsi="Arial" w:cs="Arial"/>
          <w:sz w:val="22"/>
          <w:szCs w:val="22"/>
          <w:lang w:val="es-CR"/>
        </w:rPr>
      </w:pPr>
      <w:bookmarkStart w:id="20" w:name="_Toc139008938"/>
      <w:r w:rsidRPr="00D51E87">
        <w:rPr>
          <w:rFonts w:ascii="Arial" w:hAnsi="Arial" w:cs="Arial"/>
          <w:sz w:val="22"/>
          <w:szCs w:val="22"/>
          <w:lang w:val="es-CR"/>
        </w:rPr>
        <w:t>Que no se encuentra inhabilitado para contratar con la Administración Pública, por alguna de las causales que establece el artículo 100 de la Ley de Contratación Administrativa.</w:t>
      </w:r>
      <w:bookmarkEnd w:id="20"/>
    </w:p>
    <w:p w:rsidR="00D51E87" w:rsidRPr="00D51E87" w:rsidRDefault="00D51E87" w:rsidP="00803853">
      <w:pPr>
        <w:numPr>
          <w:ilvl w:val="0"/>
          <w:numId w:val="11"/>
        </w:numPr>
        <w:tabs>
          <w:tab w:val="num" w:pos="993"/>
        </w:tabs>
        <w:ind w:left="993" w:hanging="426"/>
        <w:jc w:val="both"/>
        <w:rPr>
          <w:rFonts w:ascii="Arial" w:hAnsi="Arial" w:cs="Arial"/>
          <w:sz w:val="22"/>
          <w:szCs w:val="22"/>
          <w:lang w:val="es-CR"/>
        </w:rPr>
      </w:pPr>
      <w:r w:rsidRPr="00D51E87">
        <w:rPr>
          <w:rFonts w:ascii="Arial" w:hAnsi="Arial" w:cs="Arial"/>
          <w:sz w:val="22"/>
          <w:szCs w:val="22"/>
          <w:lang w:val="es-CR"/>
        </w:rPr>
        <w:t>Que se encuentra al día con el pago de todo tipo de impuestos nacionales, según lo establecido en el artículo 65 a) del Reglamento de La Ley de Contratación</w:t>
      </w:r>
      <w:bookmarkStart w:id="21" w:name="_Toc159050581"/>
      <w:r w:rsidRPr="00D51E87">
        <w:rPr>
          <w:rFonts w:ascii="Arial" w:hAnsi="Arial" w:cs="Arial"/>
          <w:sz w:val="22"/>
          <w:szCs w:val="22"/>
          <w:lang w:val="es-CR"/>
        </w:rPr>
        <w:t xml:space="preserve"> Administrativa.</w:t>
      </w:r>
      <w:bookmarkEnd w:id="21"/>
      <w:r w:rsidRPr="00D51E87">
        <w:rPr>
          <w:rFonts w:ascii="Arial" w:hAnsi="Arial" w:cs="Arial"/>
          <w:sz w:val="22"/>
          <w:szCs w:val="22"/>
          <w:lang w:val="es-CR"/>
        </w:rPr>
        <w:t xml:space="preserve"> La Administración por su parte procederá a verificar vía sistema el cumplimiento de lo señalado.</w:t>
      </w:r>
    </w:p>
    <w:p w:rsidR="00D51E87" w:rsidRPr="00D51E87" w:rsidRDefault="00D51E87" w:rsidP="00D51E87">
      <w:pPr>
        <w:ind w:left="757"/>
        <w:jc w:val="both"/>
        <w:rPr>
          <w:rFonts w:ascii="Arial" w:hAnsi="Arial" w:cs="Arial"/>
          <w:sz w:val="22"/>
          <w:szCs w:val="22"/>
          <w:lang w:val="es-CR"/>
        </w:rPr>
      </w:pPr>
    </w:p>
    <w:p w:rsidR="00D51E87" w:rsidRPr="00D51E87" w:rsidRDefault="00D51E87" w:rsidP="00D51E87">
      <w:pPr>
        <w:jc w:val="both"/>
        <w:rPr>
          <w:rFonts w:ascii="Arial" w:hAnsi="Arial" w:cs="Arial"/>
          <w:b/>
          <w:bCs/>
          <w:sz w:val="22"/>
          <w:szCs w:val="22"/>
          <w:u w:val="single"/>
          <w:lang w:val="es-CR"/>
        </w:rPr>
      </w:pPr>
      <w:r w:rsidRPr="00D51E87">
        <w:rPr>
          <w:rFonts w:ascii="Arial" w:hAnsi="Arial" w:cs="Arial"/>
          <w:sz w:val="22"/>
          <w:szCs w:val="22"/>
          <w:lang w:val="es-CR"/>
        </w:rPr>
        <w:t xml:space="preserve">En caso de que estas declaraciones y certificaciones se encuentren en nuestro Registro de Proveedores, o bien, se hayan presentado para otra licitación promovida por el Instituto, el oferente podrá así indicarlo y no presentarlas de nuevo, </w:t>
      </w:r>
      <w:r w:rsidRPr="00D51E87">
        <w:rPr>
          <w:rFonts w:ascii="Arial" w:hAnsi="Arial" w:cs="Arial"/>
          <w:b/>
          <w:bCs/>
          <w:sz w:val="22"/>
          <w:szCs w:val="22"/>
          <w:u w:val="single"/>
          <w:lang w:val="es-CR"/>
        </w:rPr>
        <w:t xml:space="preserve">siempre y cuando se declare que </w:t>
      </w:r>
      <w:r w:rsidRPr="00D51E87">
        <w:rPr>
          <w:rFonts w:ascii="Arial" w:hAnsi="Arial" w:cs="Arial"/>
          <w:b/>
          <w:bCs/>
          <w:sz w:val="22"/>
          <w:szCs w:val="22"/>
          <w:u w:val="single"/>
          <w:lang w:val="es-CR"/>
        </w:rPr>
        <w:lastRenderedPageBreak/>
        <w:t>las mismas se mantienen invariables y vigentes, e indique el número de contratación en que fueron presentadas.</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22" w:name="_Toc526433856"/>
      <w:r w:rsidRPr="00D51E87">
        <w:rPr>
          <w:rFonts w:ascii="Arial" w:hAnsi="Arial" w:cs="Arial"/>
          <w:b/>
          <w:bCs/>
          <w:i/>
          <w:iCs/>
          <w:sz w:val="23"/>
          <w:szCs w:val="23"/>
          <w:lang w:val="es-CR"/>
        </w:rPr>
        <w:t>VIGENCIA DE LA OFERTA</w:t>
      </w:r>
      <w:bookmarkEnd w:id="22"/>
    </w:p>
    <w:p w:rsidR="00D51E87" w:rsidRPr="00D51E87" w:rsidRDefault="00D51E87" w:rsidP="00D51E87">
      <w:pPr>
        <w:jc w:val="both"/>
        <w:rPr>
          <w:rFonts w:ascii="Arial" w:hAnsi="Arial" w:cs="Arial"/>
          <w:sz w:val="20"/>
          <w:szCs w:val="23"/>
          <w:lang w:val="es-CR"/>
        </w:rPr>
      </w:pPr>
      <w:r w:rsidRPr="00D51E87">
        <w:rPr>
          <w:rFonts w:ascii="Arial" w:hAnsi="Arial" w:cs="Arial"/>
          <w:bCs/>
          <w:sz w:val="22"/>
          <w:szCs w:val="21"/>
          <w:lang w:val="es-CR"/>
        </w:rPr>
        <w:t>En la oferta se debe indicar el plazo de vigencia, el cual no podrá ser inferior a sesenta (60) días hábiles contados a partir de la fecha de apertura.</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23" w:name="_Toc526433857"/>
      <w:r w:rsidRPr="00D51E87">
        <w:rPr>
          <w:rFonts w:ascii="Arial" w:hAnsi="Arial" w:cs="Arial"/>
          <w:b/>
          <w:bCs/>
          <w:i/>
          <w:iCs/>
          <w:sz w:val="23"/>
          <w:szCs w:val="23"/>
          <w:lang w:val="es-CR"/>
        </w:rPr>
        <w:t>TIEMPO DE ENTREGA DEL SERVICIO</w:t>
      </w:r>
      <w:bookmarkEnd w:id="23"/>
      <w:r w:rsidRPr="00D51E87">
        <w:rPr>
          <w:rFonts w:ascii="Arial" w:hAnsi="Arial" w:cs="Arial"/>
          <w:b/>
          <w:bCs/>
          <w:i/>
          <w:iCs/>
          <w:sz w:val="23"/>
          <w:szCs w:val="23"/>
          <w:lang w:val="es-CR"/>
        </w:rPr>
        <w:t xml:space="preserve"> </w:t>
      </w:r>
    </w:p>
    <w:p w:rsidR="00D51E87" w:rsidRPr="00D51E87" w:rsidRDefault="00D51E87" w:rsidP="00D51E87">
      <w:pPr>
        <w:jc w:val="both"/>
        <w:rPr>
          <w:rFonts w:ascii="Arial" w:hAnsi="Arial" w:cs="Arial"/>
          <w:sz w:val="22"/>
          <w:szCs w:val="22"/>
          <w:lang w:val="es-CR"/>
        </w:rPr>
      </w:pPr>
      <w:bookmarkStart w:id="24" w:name="_Ref139983809"/>
      <w:bookmarkStart w:id="25" w:name="_Toc160606628"/>
      <w:r w:rsidRPr="00D51E87">
        <w:rPr>
          <w:rFonts w:ascii="Arial" w:hAnsi="Arial" w:cs="Arial"/>
          <w:sz w:val="22"/>
          <w:szCs w:val="22"/>
          <w:lang w:val="es-CR"/>
        </w:rPr>
        <w:t>El trabajo debe iniciarse una vez firmado el contrato entre el Contratista y el Instituto. Es responsabilidad del Contratista entregar los informes finales según se indica en el Anexo 1.</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26" w:name="_Ref139983811"/>
      <w:bookmarkStart w:id="27" w:name="_Toc160606629"/>
      <w:bookmarkStart w:id="28" w:name="_Toc526433858"/>
      <w:bookmarkEnd w:id="24"/>
      <w:bookmarkEnd w:id="25"/>
      <w:r w:rsidRPr="00D51E87">
        <w:rPr>
          <w:rFonts w:ascii="Arial" w:hAnsi="Arial" w:cs="Arial"/>
          <w:b/>
          <w:bCs/>
          <w:i/>
          <w:iCs/>
          <w:sz w:val="23"/>
          <w:szCs w:val="23"/>
          <w:lang w:val="es-CR"/>
        </w:rPr>
        <w:t>PRECIOS</w:t>
      </w:r>
      <w:bookmarkEnd w:id="26"/>
      <w:bookmarkEnd w:id="27"/>
      <w:bookmarkEnd w:id="28"/>
    </w:p>
    <w:p w:rsidR="00D51E87" w:rsidRPr="00D51E87" w:rsidRDefault="00D51E87" w:rsidP="00803853">
      <w:pPr>
        <w:numPr>
          <w:ilvl w:val="0"/>
          <w:numId w:val="12"/>
        </w:numPr>
        <w:jc w:val="both"/>
        <w:rPr>
          <w:rFonts w:ascii="Arial" w:hAnsi="Arial" w:cs="Arial"/>
          <w:sz w:val="22"/>
          <w:szCs w:val="22"/>
          <w:lang w:val="es-CR"/>
        </w:rPr>
      </w:pPr>
      <w:bookmarkStart w:id="29" w:name="_Toc160606630"/>
      <w:r w:rsidRPr="00D51E87">
        <w:rPr>
          <w:rFonts w:ascii="Arial" w:hAnsi="Arial" w:cs="Arial"/>
          <w:sz w:val="22"/>
          <w:szCs w:val="22"/>
          <w:lang w:val="es-CR"/>
        </w:rPr>
        <w:t>Los precios cotizados serán firmes y definitivos, libres de impuestos, los mismos deben indicarse por separado según artículo 25 del Reglamento de la Ley de la Contratación Administrativa. Lo anterior, sin perjuicio de la aplicación de los mecanismos de revisión de precios vigentes, o que se indiquen, en lo que se refieren únicamente a cotizaciones en colones.</w:t>
      </w:r>
    </w:p>
    <w:p w:rsidR="00D51E87" w:rsidRPr="00D51E87" w:rsidRDefault="00D51E87" w:rsidP="00803853">
      <w:pPr>
        <w:numPr>
          <w:ilvl w:val="0"/>
          <w:numId w:val="12"/>
        </w:numPr>
        <w:jc w:val="both"/>
        <w:rPr>
          <w:rFonts w:ascii="Arial" w:hAnsi="Arial" w:cs="Arial"/>
          <w:sz w:val="22"/>
          <w:szCs w:val="22"/>
          <w:lang w:val="es-CR"/>
        </w:rPr>
      </w:pPr>
      <w:r w:rsidRPr="00D51E87">
        <w:rPr>
          <w:rFonts w:ascii="Arial" w:hAnsi="Arial" w:cs="Arial"/>
          <w:sz w:val="22"/>
          <w:szCs w:val="22"/>
          <w:lang w:val="es-CR"/>
        </w:rPr>
        <w:t xml:space="preserve">El oferente debe detallar con claridad y en forma expresa, todo tipo de erogación a cargo del Instituto que se derive de la adjudicación de esta contratación. </w:t>
      </w:r>
    </w:p>
    <w:p w:rsidR="00D51E87" w:rsidRPr="00D51E87" w:rsidRDefault="00D51E87" w:rsidP="00803853">
      <w:pPr>
        <w:numPr>
          <w:ilvl w:val="0"/>
          <w:numId w:val="12"/>
        </w:numPr>
        <w:jc w:val="both"/>
        <w:rPr>
          <w:rFonts w:ascii="Arial" w:hAnsi="Arial" w:cs="Arial"/>
          <w:sz w:val="22"/>
          <w:szCs w:val="22"/>
          <w:lang w:val="es-CR"/>
        </w:rPr>
      </w:pPr>
      <w:r w:rsidRPr="00D51E87">
        <w:rPr>
          <w:rFonts w:ascii="Arial" w:hAnsi="Arial" w:cs="Arial"/>
          <w:sz w:val="22"/>
          <w:szCs w:val="22"/>
          <w:lang w:val="es-CR"/>
        </w:rPr>
        <w:t>El precio total cotizado debe presentarse en números y en letras coincidentes, en caso de duda prevalecerá el precio cotizado en letras.</w:t>
      </w:r>
    </w:p>
    <w:p w:rsidR="00D51E87" w:rsidRPr="00D51E87" w:rsidRDefault="00D51E87" w:rsidP="00803853">
      <w:pPr>
        <w:numPr>
          <w:ilvl w:val="0"/>
          <w:numId w:val="12"/>
        </w:numPr>
        <w:jc w:val="both"/>
        <w:rPr>
          <w:rFonts w:ascii="Arial" w:hAnsi="Arial" w:cs="Arial"/>
          <w:sz w:val="22"/>
          <w:szCs w:val="22"/>
          <w:lang w:val="es-CR"/>
        </w:rPr>
      </w:pPr>
      <w:r w:rsidRPr="00D51E87">
        <w:rPr>
          <w:rFonts w:ascii="Arial" w:hAnsi="Arial" w:cs="Arial"/>
          <w:sz w:val="22"/>
          <w:szCs w:val="22"/>
          <w:lang w:val="es-MX"/>
        </w:rPr>
        <w:t>Para la evaluación y análisis del precio presentado en la oferta el Instituto aplicará lo establecido en el artículo 30 del Reglamento de la Ley de Contratación Administrativa.</w:t>
      </w:r>
    </w:p>
    <w:p w:rsidR="00D51E87" w:rsidRPr="00D51E87" w:rsidRDefault="00D51E87" w:rsidP="00803853">
      <w:pPr>
        <w:numPr>
          <w:ilvl w:val="0"/>
          <w:numId w:val="12"/>
        </w:numPr>
        <w:jc w:val="both"/>
        <w:rPr>
          <w:rFonts w:ascii="Arial" w:hAnsi="Arial" w:cs="Arial"/>
          <w:sz w:val="22"/>
          <w:szCs w:val="22"/>
          <w:lang w:val="es-CR"/>
        </w:rPr>
      </w:pPr>
      <w:r w:rsidRPr="00D51E87">
        <w:rPr>
          <w:rFonts w:ascii="Arial" w:hAnsi="Arial" w:cs="Arial"/>
          <w:sz w:val="22"/>
          <w:szCs w:val="22"/>
          <w:lang w:val="es-CR"/>
        </w:rPr>
        <w:t>El ITCR no reconocerá ningún costo adicional que no haya sido incluido en el precio ofertado.</w:t>
      </w:r>
    </w:p>
    <w:p w:rsidR="00D51E87" w:rsidRPr="00D51E87" w:rsidRDefault="00D51E87" w:rsidP="00803853">
      <w:pPr>
        <w:numPr>
          <w:ilvl w:val="0"/>
          <w:numId w:val="12"/>
        </w:numPr>
        <w:jc w:val="both"/>
        <w:rPr>
          <w:rFonts w:ascii="Arial" w:hAnsi="Arial" w:cs="Arial"/>
          <w:sz w:val="22"/>
          <w:szCs w:val="22"/>
          <w:lang w:val="es-CR"/>
        </w:rPr>
      </w:pPr>
      <w:r w:rsidRPr="00D51E87">
        <w:rPr>
          <w:rFonts w:ascii="Arial" w:hAnsi="Arial" w:cs="Arial"/>
          <w:sz w:val="22"/>
          <w:szCs w:val="22"/>
          <w:lang w:val="es-CR"/>
        </w:rPr>
        <w:t>El oferente deberá cotizar:</w:t>
      </w:r>
    </w:p>
    <w:p w:rsidR="00D51E87" w:rsidRPr="00D51E87" w:rsidRDefault="00D51E87" w:rsidP="00D51E87">
      <w:pPr>
        <w:ind w:left="348"/>
        <w:jc w:val="both"/>
        <w:rPr>
          <w:rFonts w:ascii="Arial" w:hAnsi="Arial" w:cs="Arial"/>
          <w:sz w:val="22"/>
          <w:szCs w:val="22"/>
          <w:lang w:val="es-CR"/>
        </w:rPr>
      </w:pPr>
    </w:p>
    <w:p w:rsidR="00D51E87" w:rsidRPr="00D51E87" w:rsidRDefault="00D51E87" w:rsidP="00803853">
      <w:pPr>
        <w:numPr>
          <w:ilvl w:val="0"/>
          <w:numId w:val="15"/>
        </w:numPr>
        <w:jc w:val="both"/>
        <w:rPr>
          <w:rFonts w:ascii="Arial" w:hAnsi="Arial" w:cs="Arial"/>
          <w:sz w:val="22"/>
          <w:szCs w:val="22"/>
          <w:lang w:val="es-CR"/>
        </w:rPr>
      </w:pPr>
      <w:r w:rsidRPr="00D51E87">
        <w:rPr>
          <w:rFonts w:ascii="Arial" w:hAnsi="Arial" w:cs="Arial"/>
          <w:sz w:val="22"/>
          <w:szCs w:val="22"/>
          <w:lang w:val="es-CR"/>
        </w:rPr>
        <w:t xml:space="preserve">El costo de las dos visitas </w:t>
      </w:r>
    </w:p>
    <w:p w:rsidR="00D51E87" w:rsidRPr="00D51E87" w:rsidRDefault="00D51E87" w:rsidP="00803853">
      <w:pPr>
        <w:numPr>
          <w:ilvl w:val="0"/>
          <w:numId w:val="15"/>
        </w:numPr>
        <w:jc w:val="both"/>
        <w:rPr>
          <w:rFonts w:ascii="Arial" w:hAnsi="Arial" w:cs="Arial"/>
          <w:sz w:val="22"/>
          <w:szCs w:val="22"/>
          <w:lang w:val="es-CR"/>
        </w:rPr>
      </w:pPr>
      <w:r w:rsidRPr="00D51E87">
        <w:rPr>
          <w:rFonts w:ascii="Arial" w:hAnsi="Arial" w:cs="Arial"/>
          <w:sz w:val="22"/>
          <w:szCs w:val="22"/>
          <w:lang w:val="es-CR"/>
        </w:rPr>
        <w:t>La opinión de los estados financieros (auditoría financiera)</w:t>
      </w:r>
    </w:p>
    <w:p w:rsidR="00D51E87" w:rsidRPr="00D51E87" w:rsidRDefault="00D51E87" w:rsidP="00803853">
      <w:pPr>
        <w:numPr>
          <w:ilvl w:val="0"/>
          <w:numId w:val="15"/>
        </w:numPr>
        <w:jc w:val="both"/>
        <w:rPr>
          <w:rFonts w:ascii="Arial" w:hAnsi="Arial" w:cs="Arial"/>
          <w:sz w:val="22"/>
          <w:szCs w:val="22"/>
          <w:lang w:val="es-CR"/>
        </w:rPr>
      </w:pPr>
      <w:r w:rsidRPr="00D51E87">
        <w:rPr>
          <w:rFonts w:ascii="Arial" w:hAnsi="Arial" w:cs="Arial"/>
          <w:sz w:val="22"/>
          <w:szCs w:val="22"/>
          <w:lang w:val="es-CR"/>
        </w:rPr>
        <w:t>La opinión sobre la revisión de la liquidación presupuestaria.</w:t>
      </w:r>
    </w:p>
    <w:p w:rsidR="00D51E87" w:rsidRPr="00D51E87" w:rsidRDefault="00D51E87" w:rsidP="00D51E87">
      <w:pPr>
        <w:rPr>
          <w:rFonts w:ascii="Arial" w:hAnsi="Arial" w:cs="Arial"/>
          <w:sz w:val="22"/>
          <w:szCs w:val="22"/>
          <w:lang w:val="es-CR"/>
        </w:rPr>
      </w:pPr>
    </w:p>
    <w:p w:rsidR="00D51E87" w:rsidRPr="00D51E87" w:rsidRDefault="00D51E87" w:rsidP="00803853">
      <w:pPr>
        <w:numPr>
          <w:ilvl w:val="0"/>
          <w:numId w:val="39"/>
        </w:numPr>
        <w:tabs>
          <w:tab w:val="left" w:pos="720"/>
        </w:tabs>
        <w:spacing w:before="60" w:after="60"/>
        <w:ind w:left="714" w:hanging="357"/>
        <w:jc w:val="both"/>
        <w:rPr>
          <w:sz w:val="22"/>
          <w:szCs w:val="22"/>
          <w:lang w:val="es-CR"/>
        </w:rPr>
      </w:pPr>
      <w:r w:rsidRPr="00D51E87">
        <w:rPr>
          <w:rFonts w:ascii="Arial" w:hAnsi="Arial" w:cs="Arial"/>
          <w:sz w:val="22"/>
          <w:szCs w:val="22"/>
          <w:lang w:val="es-CR"/>
        </w:rPr>
        <w:t xml:space="preserve">El precio debe indicar desglose completo de su estructura, de conformidad con la naturaleza del servicio y según el artículo 26 del Reglamento a la Ley de Contratación Administrativa. </w:t>
      </w:r>
      <w:bookmarkStart w:id="30" w:name="_Toc512237404"/>
      <w:r w:rsidRPr="00D51E87">
        <w:rPr>
          <w:rFonts w:ascii="Arial" w:hAnsi="Arial" w:cs="Arial"/>
          <w:b/>
          <w:bCs/>
          <w:sz w:val="20"/>
          <w:szCs w:val="20"/>
          <w:lang w:val="es-CR"/>
        </w:rPr>
        <w:t>En forma clara y detallada debe indicarse el desglose del rubro mano de obra</w:t>
      </w:r>
      <w:r w:rsidRPr="00D51E87">
        <w:rPr>
          <w:rFonts w:ascii="Arial" w:hAnsi="Arial" w:cs="Arial"/>
          <w:bCs/>
          <w:sz w:val="20"/>
          <w:szCs w:val="20"/>
          <w:lang w:val="es-CR"/>
        </w:rPr>
        <w:t xml:space="preserve"> (ello incluye por ejemplo el detalle de cesantía, vacaciones, sustituciones por vacaciones, aguinaldo, porcentaje asignados por ley a instituciones públicas, porcentaje por pólizas y demás obligaciones legales para garantizar el salario mínimo). </w:t>
      </w:r>
    </w:p>
    <w:tbl>
      <w:tblPr>
        <w:tblW w:w="8009" w:type="dxa"/>
        <w:jc w:val="center"/>
        <w:tblCellMar>
          <w:left w:w="0" w:type="dxa"/>
          <w:right w:w="0" w:type="dxa"/>
        </w:tblCellMar>
        <w:tblLook w:val="04A0" w:firstRow="1" w:lastRow="0" w:firstColumn="1" w:lastColumn="0" w:noHBand="0" w:noVBand="1"/>
      </w:tblPr>
      <w:tblGrid>
        <w:gridCol w:w="3544"/>
        <w:gridCol w:w="1779"/>
        <w:gridCol w:w="2686"/>
      </w:tblGrid>
      <w:tr w:rsidR="00D51E87" w:rsidRPr="00D51E87" w:rsidTr="008E6D4D">
        <w:trPr>
          <w:trHeight w:val="241"/>
          <w:jc w:val="center"/>
        </w:trPr>
        <w:tc>
          <w:tcPr>
            <w:tcW w:w="8009" w:type="dxa"/>
            <w:gridSpan w:val="3"/>
            <w:tcBorders>
              <w:top w:val="single" w:sz="4" w:space="0" w:color="auto"/>
            </w:tcBorders>
            <w:tcMar>
              <w:top w:w="0" w:type="dxa"/>
              <w:left w:w="70" w:type="dxa"/>
              <w:bottom w:w="0" w:type="dxa"/>
              <w:right w:w="70" w:type="dxa"/>
            </w:tcMar>
            <w:vAlign w:val="center"/>
          </w:tcPr>
          <w:p w:rsidR="00D51E87" w:rsidRPr="00D51E87" w:rsidRDefault="00D51E87" w:rsidP="00D51E87">
            <w:pPr>
              <w:tabs>
                <w:tab w:val="left" w:pos="993"/>
              </w:tabs>
              <w:jc w:val="center"/>
              <w:rPr>
                <w:rFonts w:ascii="Arial" w:hAnsi="Arial" w:cs="Arial"/>
                <w:b/>
                <w:bCs/>
                <w:sz w:val="20"/>
                <w:szCs w:val="20"/>
                <w:lang w:val="es-CR"/>
              </w:rPr>
            </w:pPr>
            <w:r w:rsidRPr="00D51E87">
              <w:rPr>
                <w:rFonts w:ascii="Arial" w:hAnsi="Arial" w:cs="Arial"/>
                <w:b/>
                <w:bCs/>
                <w:sz w:val="20"/>
                <w:szCs w:val="20"/>
                <w:lang w:val="es-CR"/>
              </w:rPr>
              <w:t>Cargas Sociales</w:t>
            </w:r>
          </w:p>
        </w:tc>
      </w:tr>
      <w:tr w:rsidR="00D51E87" w:rsidRPr="00D51E87" w:rsidTr="008E6D4D">
        <w:trPr>
          <w:trHeight w:val="206"/>
          <w:jc w:val="center"/>
        </w:trPr>
        <w:tc>
          <w:tcPr>
            <w:tcW w:w="35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eastAsia="Calibri" w:hAnsi="Arial" w:cs="Arial"/>
                <w:b/>
                <w:sz w:val="20"/>
                <w:szCs w:val="20"/>
                <w:lang w:val="es-CR" w:eastAsia="es-CR"/>
              </w:rPr>
            </w:pPr>
            <w:r w:rsidRPr="00D51E87">
              <w:rPr>
                <w:rFonts w:ascii="Arial" w:hAnsi="Arial" w:cs="Arial"/>
                <w:b/>
                <w:sz w:val="20"/>
                <w:szCs w:val="20"/>
                <w:lang w:val="es-CR" w:eastAsia="es-CR"/>
              </w:rPr>
              <w:t>Rubro</w:t>
            </w:r>
          </w:p>
        </w:tc>
        <w:tc>
          <w:tcPr>
            <w:tcW w:w="17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
                <w:sz w:val="20"/>
                <w:szCs w:val="20"/>
                <w:lang w:val="es-CR" w:eastAsia="es-CR"/>
              </w:rPr>
              <w:t>Porcentaje</w:t>
            </w:r>
          </w:p>
        </w:tc>
        <w:tc>
          <w:tcPr>
            <w:tcW w:w="26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
                <w:bCs/>
                <w:sz w:val="20"/>
                <w:szCs w:val="20"/>
                <w:lang w:val="es-CR"/>
              </w:rPr>
              <w:t>Monto Mensual</w:t>
            </w:r>
          </w:p>
        </w:tc>
      </w:tr>
      <w:tr w:rsidR="00D51E87" w:rsidRPr="00D51E87" w:rsidTr="008E6D4D">
        <w:trPr>
          <w:trHeight w:val="325"/>
          <w:jc w:val="center"/>
        </w:trPr>
        <w:tc>
          <w:tcPr>
            <w:tcW w:w="354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SEM</w:t>
            </w:r>
          </w:p>
        </w:tc>
        <w:tc>
          <w:tcPr>
            <w:tcW w:w="177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IVM</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BP</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FODESAF</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IMAS</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INA</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FCL</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ROPC</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INS</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tcPr>
          <w:p w:rsidR="00D51E87" w:rsidRPr="00D51E87" w:rsidRDefault="00D51E87" w:rsidP="00D51E87">
            <w:pPr>
              <w:tabs>
                <w:tab w:val="left" w:pos="993"/>
              </w:tabs>
              <w:jc w:val="center"/>
              <w:rPr>
                <w:rFonts w:ascii="Arial" w:hAnsi="Arial" w:cs="Arial"/>
                <w:bCs/>
                <w:sz w:val="20"/>
                <w:szCs w:val="20"/>
                <w:lang w:val="es-CR" w:eastAsia="es-CR"/>
              </w:rPr>
            </w:pPr>
          </w:p>
        </w:tc>
        <w:tc>
          <w:tcPr>
            <w:tcW w:w="2686" w:type="dxa"/>
            <w:tcBorders>
              <w:top w:val="nil"/>
              <w:left w:val="nil"/>
              <w:bottom w:val="single" w:sz="8" w:space="0" w:color="auto"/>
              <w:right w:val="single" w:sz="8" w:space="0" w:color="auto"/>
            </w:tcBorders>
            <w:tcMar>
              <w:top w:w="0" w:type="dxa"/>
              <w:left w:w="70" w:type="dxa"/>
              <w:bottom w:w="0" w:type="dxa"/>
              <w:right w:w="70" w:type="dxa"/>
            </w:tcMar>
            <w:vAlign w:val="center"/>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
                <w:bCs/>
                <w:sz w:val="20"/>
                <w:szCs w:val="20"/>
                <w:lang w:val="es-CR"/>
              </w:rPr>
            </w:pPr>
            <w:r w:rsidRPr="00D51E87">
              <w:rPr>
                <w:rFonts w:ascii="Arial" w:hAnsi="Arial" w:cs="Arial"/>
                <w:b/>
                <w:bCs/>
                <w:sz w:val="20"/>
                <w:szCs w:val="20"/>
                <w:lang w:val="es-CR"/>
              </w:rPr>
              <w:t>Total De Cargas Sociales**</w:t>
            </w:r>
          </w:p>
        </w:tc>
        <w:tc>
          <w:tcPr>
            <w:tcW w:w="17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p>
        </w:tc>
      </w:tr>
    </w:tbl>
    <w:p w:rsidR="00D51E87" w:rsidRPr="00D51E87" w:rsidRDefault="00D51E87" w:rsidP="00D51E87">
      <w:pPr>
        <w:tabs>
          <w:tab w:val="left" w:pos="720"/>
        </w:tabs>
        <w:spacing w:before="60" w:after="60"/>
        <w:ind w:left="714"/>
        <w:jc w:val="both"/>
        <w:rPr>
          <w:rFonts w:ascii="Arial" w:hAnsi="Arial" w:cs="Arial"/>
          <w:bCs/>
          <w:sz w:val="18"/>
          <w:szCs w:val="20"/>
          <w:lang w:val="es-CR"/>
        </w:rPr>
      </w:pPr>
      <w:r w:rsidRPr="00D51E87">
        <w:rPr>
          <w:rFonts w:ascii="Arial" w:hAnsi="Arial" w:cs="Arial"/>
          <w:bCs/>
          <w:sz w:val="18"/>
          <w:szCs w:val="20"/>
          <w:lang w:val="es-CR"/>
        </w:rPr>
        <w:t xml:space="preserve">**Fuente: </w:t>
      </w:r>
      <w:hyperlink r:id="rId9" w:history="1">
        <w:r w:rsidRPr="00D51E87">
          <w:rPr>
            <w:rFonts w:ascii="Arial" w:hAnsi="Arial" w:cs="Arial"/>
            <w:bCs/>
            <w:sz w:val="18"/>
            <w:szCs w:val="20"/>
            <w:u w:val="single"/>
            <w:lang w:val="es-CR"/>
          </w:rPr>
          <w:t>http://www.ccss.sa.cr/calculadora</w:t>
        </w:r>
      </w:hyperlink>
    </w:p>
    <w:p w:rsidR="00D51E87" w:rsidRPr="00D51E87" w:rsidRDefault="00D51E87" w:rsidP="00D51E87">
      <w:pPr>
        <w:tabs>
          <w:tab w:val="left" w:pos="993"/>
        </w:tabs>
        <w:jc w:val="center"/>
        <w:rPr>
          <w:rFonts w:ascii="Arial" w:hAnsi="Arial" w:cs="Arial"/>
          <w:b/>
          <w:bCs/>
          <w:sz w:val="20"/>
          <w:szCs w:val="20"/>
          <w:lang w:val="es-CR"/>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9"/>
        <w:gridCol w:w="1789"/>
        <w:gridCol w:w="2686"/>
      </w:tblGrid>
      <w:tr w:rsidR="00D51E87" w:rsidRPr="00D51E87" w:rsidTr="008E6D4D">
        <w:trPr>
          <w:trHeight w:val="232"/>
          <w:jc w:val="center"/>
        </w:trPr>
        <w:tc>
          <w:tcPr>
            <w:tcW w:w="8054" w:type="dxa"/>
            <w:gridSpan w:val="3"/>
            <w:noWrap/>
            <w:tcMar>
              <w:top w:w="0" w:type="dxa"/>
              <w:left w:w="70" w:type="dxa"/>
              <w:bottom w:w="0" w:type="dxa"/>
              <w:right w:w="70" w:type="dxa"/>
            </w:tcMar>
            <w:vAlign w:val="bottom"/>
            <w:hideMark/>
          </w:tcPr>
          <w:p w:rsidR="00D51E87" w:rsidRPr="00D51E87" w:rsidRDefault="00D51E87" w:rsidP="00D51E87">
            <w:pPr>
              <w:tabs>
                <w:tab w:val="left" w:pos="993"/>
              </w:tabs>
              <w:jc w:val="center"/>
              <w:rPr>
                <w:rFonts w:ascii="Arial" w:hAnsi="Arial" w:cs="Arial"/>
                <w:b/>
                <w:bCs/>
                <w:sz w:val="20"/>
                <w:szCs w:val="20"/>
                <w:lang w:val="es-CR"/>
              </w:rPr>
            </w:pPr>
            <w:r w:rsidRPr="00D51E87">
              <w:rPr>
                <w:rFonts w:ascii="Arial" w:hAnsi="Arial" w:cs="Arial"/>
                <w:b/>
                <w:bCs/>
                <w:sz w:val="20"/>
                <w:szCs w:val="20"/>
                <w:lang w:val="es-CR"/>
              </w:rPr>
              <w:t>Otros Rubros</w:t>
            </w:r>
          </w:p>
        </w:tc>
      </w:tr>
      <w:tr w:rsidR="00D51E87" w:rsidRPr="00D51E87" w:rsidTr="008E6D4D">
        <w:trPr>
          <w:trHeight w:val="241"/>
          <w:jc w:val="center"/>
        </w:trPr>
        <w:tc>
          <w:tcPr>
            <w:tcW w:w="3579"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eastAsia="Calibri" w:hAnsi="Arial" w:cs="Arial"/>
                <w:b/>
                <w:sz w:val="20"/>
                <w:szCs w:val="20"/>
                <w:lang w:val="es-CR" w:eastAsia="es-CR"/>
              </w:rPr>
            </w:pPr>
            <w:r w:rsidRPr="00D51E87">
              <w:rPr>
                <w:rFonts w:ascii="Arial" w:hAnsi="Arial" w:cs="Arial"/>
                <w:b/>
                <w:sz w:val="20"/>
                <w:szCs w:val="20"/>
                <w:lang w:val="es-CR" w:eastAsia="es-CR"/>
              </w:rPr>
              <w:lastRenderedPageBreak/>
              <w:t>Rubro</w:t>
            </w:r>
          </w:p>
        </w:tc>
        <w:tc>
          <w:tcPr>
            <w:tcW w:w="1789"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
                <w:sz w:val="20"/>
                <w:szCs w:val="20"/>
                <w:lang w:val="es-CR" w:eastAsia="es-CR"/>
              </w:rPr>
              <w:t>Porcentaje</w:t>
            </w:r>
          </w:p>
        </w:tc>
        <w:tc>
          <w:tcPr>
            <w:tcW w:w="2686"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sz w:val="20"/>
                <w:szCs w:val="20"/>
                <w:lang w:val="es-CR" w:eastAsia="es-CR"/>
              </w:rPr>
            </w:pPr>
            <w:r w:rsidRPr="00D51E87">
              <w:rPr>
                <w:rFonts w:ascii="Arial" w:hAnsi="Arial" w:cs="Arial"/>
                <w:b/>
                <w:bCs/>
                <w:sz w:val="20"/>
                <w:szCs w:val="20"/>
                <w:lang w:val="es-CR"/>
              </w:rPr>
              <w:t>Monto Mensual</w:t>
            </w:r>
          </w:p>
        </w:tc>
      </w:tr>
      <w:tr w:rsidR="00D51E87" w:rsidRPr="00D51E87" w:rsidTr="008E6D4D">
        <w:trPr>
          <w:trHeight w:val="250"/>
          <w:jc w:val="center"/>
        </w:trPr>
        <w:tc>
          <w:tcPr>
            <w:tcW w:w="3579" w:type="dxa"/>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Aguinaldo</w:t>
            </w:r>
          </w:p>
        </w:tc>
        <w:tc>
          <w:tcPr>
            <w:tcW w:w="1789"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79" w:type="dxa"/>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Cesantía</w:t>
            </w:r>
          </w:p>
        </w:tc>
        <w:tc>
          <w:tcPr>
            <w:tcW w:w="1789"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79" w:type="dxa"/>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Cs/>
                <w:sz w:val="20"/>
                <w:szCs w:val="20"/>
                <w:lang w:val="es-CR"/>
              </w:rPr>
            </w:pPr>
            <w:r w:rsidRPr="00D51E87">
              <w:rPr>
                <w:rFonts w:ascii="Arial" w:hAnsi="Arial" w:cs="Arial"/>
                <w:bCs/>
                <w:sz w:val="20"/>
                <w:szCs w:val="20"/>
                <w:lang w:val="es-CR"/>
              </w:rPr>
              <w:t>Riesgos Del Trabajo</w:t>
            </w:r>
          </w:p>
        </w:tc>
        <w:tc>
          <w:tcPr>
            <w:tcW w:w="1789"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noWrap/>
            <w:tcMar>
              <w:top w:w="0" w:type="dxa"/>
              <w:left w:w="70" w:type="dxa"/>
              <w:bottom w:w="0" w:type="dxa"/>
              <w:right w:w="70" w:type="dxa"/>
            </w:tcMar>
            <w:vAlign w:val="bottom"/>
          </w:tcPr>
          <w:p w:rsidR="00D51E87" w:rsidRPr="00D51E87" w:rsidRDefault="00D51E87" w:rsidP="00D51E87">
            <w:pPr>
              <w:tabs>
                <w:tab w:val="left" w:pos="993"/>
              </w:tabs>
              <w:jc w:val="center"/>
              <w:rPr>
                <w:rFonts w:ascii="Arial" w:hAnsi="Arial" w:cs="Arial"/>
                <w:bCs/>
                <w:sz w:val="20"/>
                <w:szCs w:val="20"/>
                <w:lang w:val="es-CR" w:eastAsia="es-CR"/>
              </w:rPr>
            </w:pPr>
          </w:p>
        </w:tc>
      </w:tr>
      <w:tr w:rsidR="00D51E87" w:rsidRPr="00D51E87" w:rsidTr="008E6D4D">
        <w:trPr>
          <w:trHeight w:val="250"/>
          <w:jc w:val="center"/>
        </w:trPr>
        <w:tc>
          <w:tcPr>
            <w:tcW w:w="3579" w:type="dxa"/>
            <w:tcMar>
              <w:top w:w="0" w:type="dxa"/>
              <w:left w:w="70" w:type="dxa"/>
              <w:bottom w:w="0" w:type="dxa"/>
              <w:right w:w="70" w:type="dxa"/>
            </w:tcMar>
            <w:vAlign w:val="center"/>
            <w:hideMark/>
          </w:tcPr>
          <w:p w:rsidR="00D51E87" w:rsidRPr="00D51E87" w:rsidRDefault="00D51E87" w:rsidP="00D51E87">
            <w:pPr>
              <w:tabs>
                <w:tab w:val="left" w:pos="993"/>
              </w:tabs>
              <w:rPr>
                <w:rFonts w:ascii="Arial" w:hAnsi="Arial" w:cs="Arial"/>
                <w:b/>
                <w:bCs/>
                <w:sz w:val="20"/>
                <w:szCs w:val="20"/>
                <w:lang w:val="es-CR"/>
              </w:rPr>
            </w:pPr>
            <w:r w:rsidRPr="00D51E87">
              <w:rPr>
                <w:rFonts w:ascii="Arial" w:hAnsi="Arial" w:cs="Arial"/>
                <w:b/>
                <w:bCs/>
                <w:sz w:val="20"/>
                <w:szCs w:val="20"/>
                <w:lang w:val="es-CR"/>
              </w:rPr>
              <w:t>Total De Otros Rubros</w:t>
            </w:r>
          </w:p>
        </w:tc>
        <w:tc>
          <w:tcPr>
            <w:tcW w:w="1789"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r w:rsidRPr="00D51E87">
              <w:rPr>
                <w:rFonts w:ascii="Arial" w:hAnsi="Arial" w:cs="Arial"/>
                <w:bCs/>
                <w:sz w:val="20"/>
                <w:szCs w:val="20"/>
                <w:lang w:val="es-CR" w:eastAsia="es-CR"/>
              </w:rPr>
              <w:t>%</w:t>
            </w:r>
          </w:p>
        </w:tc>
        <w:tc>
          <w:tcPr>
            <w:tcW w:w="2686" w:type="dxa"/>
            <w:tcMar>
              <w:top w:w="0" w:type="dxa"/>
              <w:left w:w="70" w:type="dxa"/>
              <w:bottom w:w="0" w:type="dxa"/>
              <w:right w:w="70" w:type="dxa"/>
            </w:tcMar>
            <w:vAlign w:val="center"/>
            <w:hideMark/>
          </w:tcPr>
          <w:p w:rsidR="00D51E87" w:rsidRPr="00D51E87" w:rsidRDefault="00D51E87" w:rsidP="00D51E87">
            <w:pPr>
              <w:tabs>
                <w:tab w:val="left" w:pos="993"/>
              </w:tabs>
              <w:jc w:val="center"/>
              <w:rPr>
                <w:rFonts w:ascii="Arial" w:hAnsi="Arial" w:cs="Arial"/>
                <w:bCs/>
                <w:sz w:val="20"/>
                <w:szCs w:val="20"/>
                <w:lang w:val="es-CR" w:eastAsia="es-CR"/>
              </w:rPr>
            </w:pPr>
          </w:p>
        </w:tc>
      </w:tr>
    </w:tbl>
    <w:p w:rsidR="00D51E87" w:rsidRPr="00D51E87" w:rsidRDefault="00D51E87" w:rsidP="00D51E87">
      <w:pPr>
        <w:tabs>
          <w:tab w:val="left" w:pos="720"/>
        </w:tabs>
        <w:spacing w:before="60" w:after="60"/>
        <w:ind w:left="714"/>
        <w:jc w:val="both"/>
        <w:rPr>
          <w:rFonts w:ascii="Arial" w:hAnsi="Arial" w:cs="Arial"/>
          <w:bCs/>
          <w:sz w:val="20"/>
          <w:szCs w:val="20"/>
          <w:lang w:val="es-CR"/>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8"/>
        <w:gridCol w:w="2686"/>
      </w:tblGrid>
      <w:tr w:rsidR="00D51E87" w:rsidRPr="00D51E87" w:rsidTr="008E6D4D">
        <w:trPr>
          <w:trHeight w:val="223"/>
          <w:jc w:val="center"/>
        </w:trPr>
        <w:tc>
          <w:tcPr>
            <w:tcW w:w="5368" w:type="dxa"/>
            <w:noWrap/>
            <w:tcMar>
              <w:top w:w="0" w:type="dxa"/>
              <w:left w:w="70" w:type="dxa"/>
              <w:bottom w:w="0" w:type="dxa"/>
              <w:right w:w="70" w:type="dxa"/>
            </w:tcMar>
            <w:vAlign w:val="bottom"/>
            <w:hideMark/>
          </w:tcPr>
          <w:p w:rsidR="00D51E87" w:rsidRPr="00D51E87" w:rsidRDefault="00D51E87" w:rsidP="00D51E87">
            <w:pPr>
              <w:tabs>
                <w:tab w:val="left" w:pos="993"/>
              </w:tabs>
              <w:rPr>
                <w:rFonts w:ascii="Arial" w:hAnsi="Arial" w:cs="Arial"/>
                <w:b/>
                <w:bCs/>
                <w:sz w:val="20"/>
                <w:szCs w:val="20"/>
                <w:lang w:val="es-CR"/>
              </w:rPr>
            </w:pPr>
            <w:proofErr w:type="gramStart"/>
            <w:r w:rsidRPr="00D51E87">
              <w:rPr>
                <w:rFonts w:ascii="Arial" w:hAnsi="Arial" w:cs="Arial"/>
                <w:b/>
                <w:bCs/>
                <w:sz w:val="20"/>
                <w:szCs w:val="20"/>
                <w:lang w:val="es-CR"/>
              </w:rPr>
              <w:t>Total</w:t>
            </w:r>
            <w:proofErr w:type="gramEnd"/>
            <w:r w:rsidRPr="00D51E87">
              <w:rPr>
                <w:rFonts w:ascii="Arial" w:hAnsi="Arial" w:cs="Arial"/>
                <w:b/>
                <w:bCs/>
                <w:sz w:val="20"/>
                <w:szCs w:val="20"/>
                <w:lang w:val="es-CR"/>
              </w:rPr>
              <w:t xml:space="preserve"> Mensual de Mano de Obra</w:t>
            </w:r>
          </w:p>
          <w:p w:rsidR="00D51E87" w:rsidRPr="00D51E87" w:rsidRDefault="00D51E87" w:rsidP="00D51E87">
            <w:pPr>
              <w:tabs>
                <w:tab w:val="left" w:pos="720"/>
              </w:tabs>
              <w:spacing w:before="60" w:after="60"/>
              <w:jc w:val="both"/>
              <w:rPr>
                <w:rFonts w:ascii="Arial" w:hAnsi="Arial" w:cs="Arial"/>
                <w:b/>
                <w:bCs/>
                <w:sz w:val="20"/>
                <w:szCs w:val="20"/>
                <w:lang w:val="es-CR"/>
              </w:rPr>
            </w:pPr>
            <w:r w:rsidRPr="00D51E87">
              <w:rPr>
                <w:rFonts w:ascii="Arial" w:hAnsi="Arial" w:cs="Arial"/>
                <w:b/>
                <w:bCs/>
                <w:sz w:val="18"/>
                <w:szCs w:val="20"/>
                <w:lang w:val="es-CR"/>
              </w:rPr>
              <w:t>(Salarios + Sustitución Por Vacaciones + Cargas Sociales+ Otros Rubros)</w:t>
            </w:r>
          </w:p>
        </w:tc>
        <w:tc>
          <w:tcPr>
            <w:tcW w:w="2686" w:type="dxa"/>
            <w:noWrap/>
            <w:tcMar>
              <w:top w:w="0" w:type="dxa"/>
              <w:left w:w="70" w:type="dxa"/>
              <w:bottom w:w="0" w:type="dxa"/>
              <w:right w:w="70" w:type="dxa"/>
            </w:tcMar>
            <w:vAlign w:val="bottom"/>
            <w:hideMark/>
          </w:tcPr>
          <w:p w:rsidR="00D51E87" w:rsidRPr="00D51E87" w:rsidRDefault="00D51E87" w:rsidP="00D51E87">
            <w:pPr>
              <w:rPr>
                <w:rFonts w:ascii="Arial" w:hAnsi="Arial" w:cs="Arial"/>
                <w:b/>
                <w:bCs/>
                <w:sz w:val="20"/>
                <w:szCs w:val="20"/>
                <w:lang w:val="es-CR" w:eastAsia="es-CR"/>
              </w:rPr>
            </w:pPr>
          </w:p>
        </w:tc>
      </w:tr>
    </w:tbl>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31" w:name="_Toc526433859"/>
      <w:r w:rsidRPr="00D51E87">
        <w:rPr>
          <w:rFonts w:ascii="Arial" w:hAnsi="Arial" w:cs="Arial"/>
          <w:b/>
          <w:bCs/>
          <w:i/>
          <w:iCs/>
          <w:sz w:val="23"/>
          <w:szCs w:val="23"/>
          <w:lang w:val="es-CR"/>
        </w:rPr>
        <w:t>REVISIÓN DE PRECIOS</w:t>
      </w:r>
      <w:bookmarkEnd w:id="30"/>
      <w:bookmarkEnd w:id="31"/>
    </w:p>
    <w:p w:rsidR="00D51E87" w:rsidRPr="00D51E87" w:rsidRDefault="00D51E87" w:rsidP="00D51E87">
      <w:pPr>
        <w:rPr>
          <w:rFonts w:ascii="Arial" w:hAnsi="Arial" w:cs="Arial"/>
          <w:sz w:val="20"/>
          <w:szCs w:val="20"/>
          <w:lang w:val="es-CR"/>
        </w:rPr>
      </w:pPr>
      <w:r w:rsidRPr="00D51E87">
        <w:rPr>
          <w:rFonts w:ascii="Arial" w:hAnsi="Arial" w:cs="Arial"/>
          <w:sz w:val="20"/>
          <w:szCs w:val="20"/>
          <w:lang w:val="es-CR"/>
        </w:rPr>
        <w:t>Para efectos de revisión de precios para cotizaciones en colones, el monto del servicio (libre de todo impuesto) debe ser desglosado según lo indicado en el siguiente cuadro:</w:t>
      </w:r>
    </w:p>
    <w:tbl>
      <w:tblPr>
        <w:tblpPr w:leftFromText="141" w:rightFromText="141" w:vertAnchor="text" w:horzAnchor="margin" w:tblpXSpec="center" w:tblpY="159"/>
        <w:tblW w:w="6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8"/>
        <w:gridCol w:w="1644"/>
        <w:gridCol w:w="1355"/>
      </w:tblGrid>
      <w:tr w:rsidR="00D51E87" w:rsidRPr="00D51E87" w:rsidTr="008E6D4D">
        <w:tc>
          <w:tcPr>
            <w:tcW w:w="3258" w:type="dxa"/>
            <w:shd w:val="clear" w:color="auto" w:fill="E0E0E0"/>
            <w:vAlign w:val="center"/>
          </w:tcPr>
          <w:p w:rsidR="00D51E87" w:rsidRPr="00D51E87" w:rsidRDefault="00D51E87" w:rsidP="00D51E87">
            <w:pPr>
              <w:keepNext/>
              <w:ind w:left="720"/>
              <w:outlineLvl w:val="5"/>
              <w:rPr>
                <w:rFonts w:ascii="Arial" w:hAnsi="Arial" w:cs="Arial"/>
                <w:b/>
                <w:bCs/>
                <w:i/>
                <w:iCs/>
                <w:sz w:val="20"/>
                <w:szCs w:val="20"/>
                <w:lang w:val="es-CR"/>
              </w:rPr>
            </w:pPr>
            <w:r w:rsidRPr="00D51E87">
              <w:rPr>
                <w:rFonts w:ascii="Arial" w:hAnsi="Arial" w:cs="Arial"/>
                <w:b/>
                <w:bCs/>
                <w:i/>
                <w:iCs/>
                <w:sz w:val="20"/>
                <w:szCs w:val="20"/>
                <w:lang w:val="es-CR"/>
              </w:rPr>
              <w:t>RUBRO</w:t>
            </w:r>
          </w:p>
        </w:tc>
        <w:tc>
          <w:tcPr>
            <w:tcW w:w="1644" w:type="dxa"/>
            <w:shd w:val="clear" w:color="auto" w:fill="E0E0E0"/>
            <w:vAlign w:val="center"/>
          </w:tcPr>
          <w:p w:rsidR="00D51E87" w:rsidRPr="00D51E87" w:rsidRDefault="00D51E87" w:rsidP="00D51E87">
            <w:pPr>
              <w:keepNext/>
              <w:tabs>
                <w:tab w:val="left" w:pos="284"/>
                <w:tab w:val="left" w:pos="2880"/>
                <w:tab w:val="left" w:pos="7020"/>
              </w:tabs>
              <w:jc w:val="center"/>
              <w:outlineLvl w:val="6"/>
              <w:rPr>
                <w:rFonts w:ascii="Arial" w:hAnsi="Arial" w:cs="Arial"/>
                <w:b/>
                <w:bCs/>
                <w:sz w:val="20"/>
                <w:szCs w:val="20"/>
                <w:lang w:val="es-CR"/>
              </w:rPr>
            </w:pPr>
            <w:r w:rsidRPr="00D51E87">
              <w:rPr>
                <w:rFonts w:ascii="Arial" w:hAnsi="Arial" w:cs="Arial"/>
                <w:b/>
                <w:bCs/>
                <w:sz w:val="20"/>
                <w:szCs w:val="20"/>
                <w:lang w:val="es-CR"/>
              </w:rPr>
              <w:t>PORCENTAJE</w:t>
            </w:r>
          </w:p>
        </w:tc>
        <w:tc>
          <w:tcPr>
            <w:tcW w:w="1355" w:type="dxa"/>
            <w:shd w:val="clear" w:color="auto" w:fill="E0E0E0"/>
            <w:vAlign w:val="center"/>
          </w:tcPr>
          <w:p w:rsidR="00D51E87" w:rsidRPr="00D51E87" w:rsidRDefault="00D51E87" w:rsidP="00D51E87">
            <w:pPr>
              <w:keepNext/>
              <w:tabs>
                <w:tab w:val="left" w:pos="426"/>
                <w:tab w:val="left" w:pos="3119"/>
                <w:tab w:val="left" w:pos="3402"/>
                <w:tab w:val="left" w:pos="5954"/>
              </w:tabs>
              <w:outlineLvl w:val="7"/>
              <w:rPr>
                <w:rFonts w:ascii="Arial" w:hAnsi="Arial" w:cs="Arial"/>
                <w:b/>
                <w:bCs/>
                <w:sz w:val="20"/>
                <w:szCs w:val="20"/>
                <w:u w:val="single"/>
                <w:lang w:val="es-CR"/>
              </w:rPr>
            </w:pPr>
            <w:r w:rsidRPr="00D51E87">
              <w:rPr>
                <w:rFonts w:ascii="Arial" w:hAnsi="Arial" w:cs="Arial"/>
                <w:b/>
                <w:bCs/>
                <w:sz w:val="20"/>
                <w:szCs w:val="20"/>
                <w:u w:val="single"/>
                <w:lang w:val="es-CR"/>
              </w:rPr>
              <w:t>MONTO</w:t>
            </w:r>
          </w:p>
        </w:tc>
      </w:tr>
      <w:tr w:rsidR="00D51E87" w:rsidRPr="00D51E87" w:rsidTr="008E6D4D">
        <w:tc>
          <w:tcPr>
            <w:tcW w:w="3258" w:type="dxa"/>
            <w:vAlign w:val="center"/>
          </w:tcPr>
          <w:p w:rsidR="00D51E87" w:rsidRPr="00D51E87" w:rsidRDefault="00D51E87" w:rsidP="00D51E87">
            <w:pPr>
              <w:rPr>
                <w:rFonts w:ascii="Arial" w:hAnsi="Arial" w:cs="Arial"/>
                <w:bCs/>
                <w:sz w:val="20"/>
                <w:szCs w:val="20"/>
                <w:lang w:val="es-CR"/>
              </w:rPr>
            </w:pPr>
            <w:r w:rsidRPr="00D51E87">
              <w:rPr>
                <w:rFonts w:ascii="Arial" w:hAnsi="Arial" w:cs="Arial"/>
                <w:bCs/>
                <w:sz w:val="20"/>
                <w:szCs w:val="20"/>
                <w:lang w:val="es-CR"/>
              </w:rPr>
              <w:t>MANO DE OBRA</w:t>
            </w:r>
          </w:p>
        </w:tc>
        <w:tc>
          <w:tcPr>
            <w:tcW w:w="1644" w:type="dxa"/>
            <w:vAlign w:val="center"/>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w:t>
            </w:r>
          </w:p>
        </w:tc>
        <w:tc>
          <w:tcPr>
            <w:tcW w:w="1355" w:type="dxa"/>
            <w:vAlign w:val="center"/>
          </w:tcPr>
          <w:p w:rsidR="00D51E87" w:rsidRPr="00D51E87" w:rsidRDefault="00D51E87" w:rsidP="00D51E87">
            <w:pPr>
              <w:jc w:val="right"/>
              <w:rPr>
                <w:rFonts w:ascii="Arial" w:hAnsi="Arial" w:cs="Arial"/>
                <w:sz w:val="20"/>
                <w:szCs w:val="20"/>
                <w:lang w:val="es-CR"/>
              </w:rPr>
            </w:pPr>
          </w:p>
        </w:tc>
      </w:tr>
      <w:tr w:rsidR="00D51E87" w:rsidRPr="00D51E87" w:rsidTr="008E6D4D">
        <w:tc>
          <w:tcPr>
            <w:tcW w:w="3258" w:type="dxa"/>
            <w:vAlign w:val="center"/>
          </w:tcPr>
          <w:p w:rsidR="00D51E87" w:rsidRPr="00D51E87" w:rsidRDefault="00D51E87" w:rsidP="00D51E87">
            <w:pPr>
              <w:rPr>
                <w:rFonts w:ascii="Arial" w:hAnsi="Arial" w:cs="Arial"/>
                <w:bCs/>
                <w:sz w:val="20"/>
                <w:szCs w:val="20"/>
                <w:lang w:val="es-CR"/>
              </w:rPr>
            </w:pPr>
            <w:r w:rsidRPr="00D51E87">
              <w:rPr>
                <w:rFonts w:ascii="Arial" w:hAnsi="Arial" w:cs="Arial"/>
                <w:bCs/>
                <w:sz w:val="20"/>
                <w:szCs w:val="20"/>
                <w:lang w:val="es-CR"/>
              </w:rPr>
              <w:t>INSUMOS</w:t>
            </w:r>
          </w:p>
        </w:tc>
        <w:tc>
          <w:tcPr>
            <w:tcW w:w="1644" w:type="dxa"/>
            <w:vAlign w:val="center"/>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w:t>
            </w:r>
          </w:p>
        </w:tc>
        <w:tc>
          <w:tcPr>
            <w:tcW w:w="1355" w:type="dxa"/>
            <w:vAlign w:val="center"/>
          </w:tcPr>
          <w:p w:rsidR="00D51E87" w:rsidRPr="00D51E87" w:rsidRDefault="00D51E87" w:rsidP="00D51E87">
            <w:pPr>
              <w:jc w:val="right"/>
              <w:rPr>
                <w:rFonts w:ascii="Arial" w:hAnsi="Arial" w:cs="Arial"/>
                <w:sz w:val="20"/>
                <w:szCs w:val="20"/>
                <w:lang w:val="es-CR"/>
              </w:rPr>
            </w:pPr>
          </w:p>
        </w:tc>
      </w:tr>
      <w:tr w:rsidR="00D51E87" w:rsidRPr="00D51E87" w:rsidTr="008E6D4D">
        <w:tc>
          <w:tcPr>
            <w:tcW w:w="3258" w:type="dxa"/>
            <w:vAlign w:val="center"/>
          </w:tcPr>
          <w:p w:rsidR="00D51E87" w:rsidRPr="00D51E87" w:rsidRDefault="00D51E87" w:rsidP="00D51E87">
            <w:pPr>
              <w:rPr>
                <w:rFonts w:ascii="Arial" w:hAnsi="Arial" w:cs="Arial"/>
                <w:bCs/>
                <w:sz w:val="20"/>
                <w:szCs w:val="20"/>
                <w:lang w:val="es-CR"/>
              </w:rPr>
            </w:pPr>
            <w:r w:rsidRPr="00D51E87">
              <w:rPr>
                <w:rFonts w:ascii="Arial" w:hAnsi="Arial" w:cs="Arial"/>
                <w:bCs/>
                <w:sz w:val="20"/>
                <w:szCs w:val="20"/>
                <w:lang w:val="es-CR"/>
              </w:rPr>
              <w:t>GASTOS ADMINISTRATIVOS</w:t>
            </w:r>
          </w:p>
        </w:tc>
        <w:tc>
          <w:tcPr>
            <w:tcW w:w="1644" w:type="dxa"/>
            <w:vAlign w:val="center"/>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w:t>
            </w:r>
          </w:p>
        </w:tc>
        <w:tc>
          <w:tcPr>
            <w:tcW w:w="1355" w:type="dxa"/>
            <w:vAlign w:val="center"/>
          </w:tcPr>
          <w:p w:rsidR="00D51E87" w:rsidRPr="00D51E87" w:rsidRDefault="00D51E87" w:rsidP="00D51E87">
            <w:pPr>
              <w:jc w:val="right"/>
              <w:rPr>
                <w:rFonts w:ascii="Arial" w:hAnsi="Arial" w:cs="Arial"/>
                <w:sz w:val="20"/>
                <w:szCs w:val="20"/>
                <w:lang w:val="es-CR"/>
              </w:rPr>
            </w:pPr>
          </w:p>
        </w:tc>
      </w:tr>
      <w:tr w:rsidR="00D51E87" w:rsidRPr="00D51E87" w:rsidTr="008E6D4D">
        <w:tc>
          <w:tcPr>
            <w:tcW w:w="3258" w:type="dxa"/>
            <w:vAlign w:val="center"/>
          </w:tcPr>
          <w:p w:rsidR="00D51E87" w:rsidRPr="00D51E87" w:rsidRDefault="00D51E87" w:rsidP="00D51E87">
            <w:pPr>
              <w:rPr>
                <w:rFonts w:ascii="Arial" w:hAnsi="Arial" w:cs="Arial"/>
                <w:bCs/>
                <w:sz w:val="20"/>
                <w:szCs w:val="20"/>
                <w:lang w:val="es-CR"/>
              </w:rPr>
            </w:pPr>
            <w:r w:rsidRPr="00D51E87">
              <w:rPr>
                <w:rFonts w:ascii="Arial" w:hAnsi="Arial" w:cs="Arial"/>
                <w:bCs/>
                <w:sz w:val="20"/>
                <w:szCs w:val="20"/>
                <w:lang w:val="es-CR"/>
              </w:rPr>
              <w:t>UTILIDAD</w:t>
            </w:r>
          </w:p>
        </w:tc>
        <w:tc>
          <w:tcPr>
            <w:tcW w:w="1644" w:type="dxa"/>
            <w:vAlign w:val="center"/>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w:t>
            </w:r>
          </w:p>
        </w:tc>
        <w:tc>
          <w:tcPr>
            <w:tcW w:w="1355" w:type="dxa"/>
            <w:vAlign w:val="center"/>
          </w:tcPr>
          <w:p w:rsidR="00D51E87" w:rsidRPr="00D51E87" w:rsidRDefault="00D51E87" w:rsidP="00D51E87">
            <w:pPr>
              <w:jc w:val="right"/>
              <w:rPr>
                <w:rFonts w:ascii="Arial" w:hAnsi="Arial" w:cs="Arial"/>
                <w:sz w:val="20"/>
                <w:szCs w:val="20"/>
                <w:lang w:val="es-CR"/>
              </w:rPr>
            </w:pPr>
          </w:p>
        </w:tc>
      </w:tr>
      <w:tr w:rsidR="00D51E87" w:rsidRPr="00D51E87" w:rsidTr="008E6D4D">
        <w:tc>
          <w:tcPr>
            <w:tcW w:w="3258" w:type="dxa"/>
            <w:vAlign w:val="center"/>
          </w:tcPr>
          <w:p w:rsidR="00D51E87" w:rsidRPr="00D51E87" w:rsidRDefault="00D51E87" w:rsidP="00D51E87">
            <w:pPr>
              <w:jc w:val="right"/>
              <w:rPr>
                <w:rFonts w:ascii="Arial" w:hAnsi="Arial" w:cs="Arial"/>
                <w:b/>
                <w:bCs/>
                <w:sz w:val="20"/>
                <w:szCs w:val="20"/>
                <w:lang w:val="es-CR"/>
              </w:rPr>
            </w:pPr>
            <w:r w:rsidRPr="00D51E87">
              <w:rPr>
                <w:rFonts w:ascii="Arial" w:hAnsi="Arial" w:cs="Arial"/>
                <w:b/>
                <w:bCs/>
                <w:sz w:val="20"/>
                <w:szCs w:val="20"/>
                <w:lang w:val="es-CR"/>
              </w:rPr>
              <w:t>Total</w:t>
            </w:r>
          </w:p>
        </w:tc>
        <w:tc>
          <w:tcPr>
            <w:tcW w:w="1644" w:type="dxa"/>
            <w:vAlign w:val="center"/>
          </w:tcPr>
          <w:p w:rsidR="00D51E87" w:rsidRPr="00D51E87" w:rsidRDefault="00D51E87" w:rsidP="00D51E87">
            <w:pPr>
              <w:jc w:val="center"/>
              <w:rPr>
                <w:rFonts w:ascii="Arial" w:hAnsi="Arial" w:cs="Arial"/>
                <w:b/>
                <w:sz w:val="20"/>
                <w:szCs w:val="20"/>
                <w:lang w:val="es-CR"/>
              </w:rPr>
            </w:pPr>
            <w:r w:rsidRPr="00D51E87">
              <w:rPr>
                <w:rFonts w:ascii="Arial" w:hAnsi="Arial" w:cs="Arial"/>
                <w:b/>
                <w:sz w:val="20"/>
                <w:szCs w:val="20"/>
                <w:lang w:val="es-CR"/>
              </w:rPr>
              <w:t>100%</w:t>
            </w:r>
          </w:p>
        </w:tc>
        <w:tc>
          <w:tcPr>
            <w:tcW w:w="1355" w:type="dxa"/>
            <w:vAlign w:val="center"/>
          </w:tcPr>
          <w:p w:rsidR="00D51E87" w:rsidRPr="00D51E87" w:rsidRDefault="00D51E87" w:rsidP="00D51E87">
            <w:pPr>
              <w:jc w:val="right"/>
              <w:rPr>
                <w:rFonts w:ascii="Arial" w:hAnsi="Arial" w:cs="Arial"/>
                <w:b/>
                <w:sz w:val="20"/>
                <w:szCs w:val="20"/>
                <w:lang w:val="es-CR"/>
              </w:rPr>
            </w:pPr>
          </w:p>
        </w:tc>
      </w:tr>
    </w:tbl>
    <w:p w:rsidR="00D51E87" w:rsidRPr="00D51E87" w:rsidRDefault="00D51E87" w:rsidP="00D51E87">
      <w:pPr>
        <w:ind w:left="708"/>
        <w:rPr>
          <w:sz w:val="20"/>
          <w:szCs w:val="20"/>
          <w:lang w:val="es-CR"/>
        </w:rPr>
      </w:pPr>
    </w:p>
    <w:p w:rsidR="00D51E87" w:rsidRPr="00D51E87" w:rsidRDefault="00D51E87" w:rsidP="00D51E87">
      <w:pPr>
        <w:suppressAutoHyphens/>
        <w:ind w:left="349"/>
        <w:jc w:val="both"/>
        <w:rPr>
          <w:rFonts w:ascii="Arial" w:hAnsi="Arial"/>
          <w:iCs/>
          <w:spacing w:val="-3"/>
          <w:sz w:val="22"/>
          <w:lang w:val="es-CR"/>
        </w:rPr>
      </w:pPr>
    </w:p>
    <w:p w:rsidR="00D51E87" w:rsidRPr="00D51E87" w:rsidRDefault="00D51E87" w:rsidP="00D51E87">
      <w:pPr>
        <w:suppressAutoHyphens/>
        <w:ind w:left="349"/>
        <w:jc w:val="both"/>
        <w:rPr>
          <w:rFonts w:ascii="Arial" w:hAnsi="Arial"/>
          <w:iCs/>
          <w:spacing w:val="-3"/>
          <w:sz w:val="22"/>
          <w:lang w:val="es-CR"/>
        </w:rPr>
      </w:pPr>
    </w:p>
    <w:p w:rsidR="00D51E87" w:rsidRPr="00D51E87" w:rsidRDefault="00D51E87" w:rsidP="00D51E87">
      <w:pPr>
        <w:suppressAutoHyphens/>
        <w:ind w:left="349"/>
        <w:jc w:val="both"/>
        <w:rPr>
          <w:rFonts w:ascii="Arial" w:hAnsi="Arial"/>
          <w:iCs/>
          <w:spacing w:val="-3"/>
          <w:sz w:val="22"/>
          <w:lang w:val="es-CR"/>
        </w:rPr>
      </w:pPr>
    </w:p>
    <w:p w:rsidR="00D51E87" w:rsidRPr="00D51E87" w:rsidRDefault="00D51E87" w:rsidP="00D51E87">
      <w:pPr>
        <w:suppressAutoHyphens/>
        <w:ind w:left="349"/>
        <w:jc w:val="both"/>
        <w:rPr>
          <w:rFonts w:ascii="Arial" w:hAnsi="Arial"/>
          <w:iCs/>
          <w:spacing w:val="-3"/>
          <w:sz w:val="22"/>
          <w:lang w:val="es-CR"/>
        </w:rPr>
      </w:pPr>
    </w:p>
    <w:p w:rsidR="00D51E87" w:rsidRPr="00D51E87" w:rsidRDefault="00D51E87" w:rsidP="00D51E87">
      <w:pPr>
        <w:suppressAutoHyphens/>
        <w:ind w:left="349"/>
        <w:jc w:val="both"/>
        <w:rPr>
          <w:rFonts w:ascii="Arial" w:hAnsi="Arial"/>
          <w:iCs/>
          <w:spacing w:val="-3"/>
          <w:sz w:val="22"/>
          <w:lang w:val="es-CR"/>
        </w:rPr>
      </w:pPr>
    </w:p>
    <w:p w:rsidR="00D51E87" w:rsidRPr="00D51E87" w:rsidRDefault="00D51E87" w:rsidP="00D51E87">
      <w:pPr>
        <w:suppressAutoHyphens/>
        <w:ind w:left="349"/>
        <w:jc w:val="both"/>
        <w:rPr>
          <w:rFonts w:ascii="Arial" w:hAnsi="Arial"/>
          <w:iCs/>
          <w:spacing w:val="-3"/>
          <w:sz w:val="22"/>
          <w:lang w:val="es-CR"/>
        </w:rPr>
      </w:pPr>
    </w:p>
    <w:p w:rsidR="00D51E87" w:rsidRPr="00D51E87" w:rsidRDefault="00D51E87" w:rsidP="00D51E87">
      <w:pPr>
        <w:suppressAutoHyphens/>
        <w:ind w:left="720" w:hanging="360"/>
        <w:jc w:val="both"/>
        <w:rPr>
          <w:rFonts w:ascii="Arial" w:hAnsi="Arial"/>
          <w:iCs/>
          <w:spacing w:val="-3"/>
          <w:sz w:val="22"/>
          <w:lang w:val="es-CR"/>
        </w:rPr>
      </w:pPr>
      <w:r w:rsidRPr="00D51E87">
        <w:rPr>
          <w:rFonts w:ascii="Arial" w:hAnsi="Arial"/>
          <w:iCs/>
          <w:spacing w:val="-3"/>
          <w:sz w:val="22"/>
          <w:lang w:val="es-CR"/>
        </w:rPr>
        <w:t>Las solicitudes de revisión de precio deben ser acompañadas de los siguientes documentos, sin los cuales no serán atendidas por la administración:</w:t>
      </w:r>
    </w:p>
    <w:p w:rsidR="00D51E87" w:rsidRPr="00D51E87" w:rsidRDefault="00D51E87" w:rsidP="00803853">
      <w:pPr>
        <w:numPr>
          <w:ilvl w:val="1"/>
          <w:numId w:val="41"/>
        </w:numPr>
        <w:suppressAutoHyphens/>
        <w:ind w:left="1134"/>
        <w:jc w:val="both"/>
        <w:rPr>
          <w:rFonts w:ascii="Arial" w:hAnsi="Arial"/>
          <w:iCs/>
          <w:spacing w:val="-3"/>
          <w:sz w:val="22"/>
          <w:lang w:val="es-CR"/>
        </w:rPr>
      </w:pPr>
      <w:r w:rsidRPr="00D51E87">
        <w:rPr>
          <w:rFonts w:ascii="Arial" w:hAnsi="Arial"/>
          <w:iCs/>
          <w:spacing w:val="-3"/>
          <w:sz w:val="22"/>
          <w:lang w:val="es-CR"/>
        </w:rPr>
        <w:t>El desarrollo de la fórmula matemática propiamente dicha que se utiliza para calcular la revisión del precio.</w:t>
      </w:r>
    </w:p>
    <w:p w:rsidR="00D51E87" w:rsidRPr="00D51E87" w:rsidRDefault="00D51E87" w:rsidP="00803853">
      <w:pPr>
        <w:numPr>
          <w:ilvl w:val="1"/>
          <w:numId w:val="41"/>
        </w:numPr>
        <w:suppressAutoHyphens/>
        <w:ind w:left="1134"/>
        <w:jc w:val="both"/>
        <w:rPr>
          <w:rFonts w:ascii="Arial" w:hAnsi="Arial"/>
          <w:iCs/>
          <w:spacing w:val="-3"/>
          <w:sz w:val="22"/>
          <w:lang w:val="es-CR"/>
        </w:rPr>
      </w:pPr>
      <w:r w:rsidRPr="00D51E87">
        <w:rPr>
          <w:rFonts w:ascii="Arial" w:hAnsi="Arial"/>
          <w:iCs/>
          <w:spacing w:val="-3"/>
          <w:sz w:val="22"/>
          <w:lang w:val="es-CR"/>
        </w:rPr>
        <w:t>La presentación de los documentos en donde consten los índices y cualquier otro documento que demuestre las variaciones en las condiciones del precio.</w:t>
      </w:r>
    </w:p>
    <w:p w:rsidR="00D51E87" w:rsidRPr="00D51E87" w:rsidRDefault="00D51E87" w:rsidP="00803853">
      <w:pPr>
        <w:numPr>
          <w:ilvl w:val="1"/>
          <w:numId w:val="41"/>
        </w:numPr>
        <w:suppressAutoHyphens/>
        <w:ind w:left="1134"/>
        <w:jc w:val="both"/>
        <w:rPr>
          <w:rFonts w:ascii="Arial" w:hAnsi="Arial"/>
          <w:iCs/>
          <w:spacing w:val="-3"/>
          <w:sz w:val="22"/>
          <w:lang w:val="es-CR"/>
        </w:rPr>
      </w:pPr>
      <w:r w:rsidRPr="00D51E87">
        <w:rPr>
          <w:rFonts w:ascii="Arial" w:hAnsi="Arial"/>
          <w:iCs/>
          <w:spacing w:val="-3"/>
          <w:sz w:val="22"/>
          <w:lang w:val="es-CR"/>
        </w:rPr>
        <w:t>En aquellos casos en que los insumos presenten un aumento considerable según el comportamiento del mercado, se deberá presentar un desglose de los insumos que el contratista utilice donde se demuestre el efecto en el precio y el desequilibrio económico.</w:t>
      </w:r>
    </w:p>
    <w:p w:rsidR="00D51E87" w:rsidRPr="00D51E87" w:rsidRDefault="00D51E87" w:rsidP="00803853">
      <w:pPr>
        <w:numPr>
          <w:ilvl w:val="1"/>
          <w:numId w:val="41"/>
        </w:numPr>
        <w:suppressAutoHyphens/>
        <w:ind w:left="1134"/>
        <w:jc w:val="both"/>
        <w:rPr>
          <w:rFonts w:ascii="Arial" w:hAnsi="Arial"/>
          <w:iCs/>
          <w:spacing w:val="-3"/>
          <w:sz w:val="22"/>
          <w:lang w:val="es-CR"/>
        </w:rPr>
      </w:pPr>
      <w:r w:rsidRPr="00D51E87">
        <w:rPr>
          <w:rFonts w:ascii="Arial" w:hAnsi="Arial"/>
          <w:iCs/>
          <w:spacing w:val="-3"/>
          <w:sz w:val="22"/>
          <w:lang w:val="es-CR"/>
        </w:rPr>
        <w:t>Nota: El ITCR no dará trámite a las solicitudes que no cuenten con la información requerida en este anexo.</w:t>
      </w:r>
    </w:p>
    <w:p w:rsidR="00D51E87" w:rsidRPr="00D51E87" w:rsidRDefault="00D51E87" w:rsidP="00803853">
      <w:pPr>
        <w:numPr>
          <w:ilvl w:val="1"/>
          <w:numId w:val="41"/>
        </w:numPr>
        <w:suppressAutoHyphens/>
        <w:ind w:left="1134"/>
        <w:jc w:val="both"/>
        <w:rPr>
          <w:rFonts w:ascii="Arial" w:hAnsi="Arial"/>
          <w:iCs/>
          <w:spacing w:val="-3"/>
          <w:sz w:val="22"/>
          <w:lang w:val="es-CR"/>
        </w:rPr>
      </w:pPr>
      <w:r w:rsidRPr="00D51E87">
        <w:rPr>
          <w:rFonts w:ascii="Arial" w:hAnsi="Arial"/>
          <w:iCs/>
          <w:spacing w:val="-3"/>
          <w:sz w:val="22"/>
          <w:lang w:val="es-CR"/>
        </w:rPr>
        <w:t>Fórmula matemática aplicable de revisión de precios.</w:t>
      </w:r>
    </w:p>
    <w:p w:rsidR="00D51E87" w:rsidRPr="00D51E87" w:rsidRDefault="00D51E87" w:rsidP="00803853">
      <w:pPr>
        <w:numPr>
          <w:ilvl w:val="1"/>
          <w:numId w:val="41"/>
        </w:numPr>
        <w:suppressAutoHyphens/>
        <w:ind w:left="1134"/>
        <w:jc w:val="both"/>
        <w:rPr>
          <w:rFonts w:ascii="Arial" w:hAnsi="Arial"/>
          <w:iCs/>
          <w:spacing w:val="-3"/>
          <w:sz w:val="22"/>
          <w:lang w:val="es-CR"/>
        </w:rPr>
      </w:pPr>
      <w:r w:rsidRPr="00D51E87">
        <w:rPr>
          <w:rFonts w:ascii="Arial" w:hAnsi="Arial"/>
          <w:iCs/>
          <w:spacing w:val="-3"/>
          <w:sz w:val="22"/>
          <w:lang w:val="es-CR"/>
        </w:rPr>
        <w:t>El oferente deberá tener presente los elementos que componen el precio, que son:</w:t>
      </w:r>
    </w:p>
    <w:p w:rsidR="00D51E87" w:rsidRPr="00D51E87" w:rsidRDefault="00D51E87" w:rsidP="00D51E87">
      <w:pPr>
        <w:suppressAutoHyphens/>
        <w:ind w:left="720" w:hanging="720"/>
        <w:jc w:val="both"/>
        <w:rPr>
          <w:rFonts w:ascii="Arial" w:hAnsi="Arial" w:cs="Arial"/>
          <w:b/>
          <w:bCs/>
          <w:spacing w:val="-3"/>
          <w:sz w:val="20"/>
          <w:szCs w:val="20"/>
          <w:lang w:val="es-CR"/>
        </w:rPr>
      </w:pPr>
    </w:p>
    <w:p w:rsidR="00D51E87" w:rsidRPr="00D51E87" w:rsidRDefault="00D51E87" w:rsidP="00D51E87">
      <w:pPr>
        <w:suppressAutoHyphens/>
        <w:ind w:left="720" w:hanging="720"/>
        <w:jc w:val="center"/>
        <w:rPr>
          <w:rFonts w:ascii="Arial" w:hAnsi="Arial" w:cs="Arial"/>
          <w:b/>
          <w:bCs/>
          <w:spacing w:val="-3"/>
          <w:sz w:val="20"/>
          <w:szCs w:val="20"/>
          <w:lang w:val="es-CR"/>
        </w:rPr>
      </w:pPr>
      <w:r w:rsidRPr="00D51E87">
        <w:rPr>
          <w:rFonts w:ascii="Arial" w:hAnsi="Arial" w:cs="Arial"/>
          <w:b/>
          <w:bCs/>
          <w:spacing w:val="-3"/>
          <w:sz w:val="20"/>
          <w:szCs w:val="20"/>
          <w:lang w:val="es-CR"/>
        </w:rPr>
        <w:t>P = MO + I + GA + U</w:t>
      </w:r>
      <w:r w:rsidRPr="00D51E87">
        <w:rPr>
          <w:rFonts w:ascii="Arial" w:hAnsi="Arial" w:cs="Arial"/>
          <w:b/>
          <w:bCs/>
          <w:spacing w:val="-3"/>
          <w:sz w:val="20"/>
          <w:szCs w:val="20"/>
          <w:lang w:val="es-CR"/>
        </w:rPr>
        <w:tab/>
      </w:r>
      <w:r w:rsidRPr="00D51E87">
        <w:rPr>
          <w:rFonts w:ascii="Arial" w:hAnsi="Arial" w:cs="Arial"/>
          <w:bCs/>
          <w:spacing w:val="-3"/>
          <w:sz w:val="20"/>
          <w:szCs w:val="20"/>
          <w:lang w:val="es-CR"/>
        </w:rPr>
        <w:t>donde:</w:t>
      </w:r>
    </w:p>
    <w:p w:rsidR="00D51E87" w:rsidRPr="00D51E87" w:rsidRDefault="00D51E87" w:rsidP="00D51E87">
      <w:pPr>
        <w:spacing w:before="60" w:after="60"/>
        <w:ind w:left="993"/>
        <w:jc w:val="both"/>
        <w:rPr>
          <w:rFonts w:ascii="Arial" w:hAnsi="Arial"/>
          <w:sz w:val="22"/>
          <w:szCs w:val="22"/>
          <w:lang w:val="es-CR"/>
        </w:rPr>
      </w:pPr>
      <w:r w:rsidRPr="00D51E87">
        <w:rPr>
          <w:rFonts w:ascii="Arial" w:hAnsi="Arial"/>
          <w:sz w:val="22"/>
          <w:szCs w:val="22"/>
          <w:lang w:val="es-CR"/>
        </w:rPr>
        <w:t xml:space="preserve">P   </w:t>
      </w:r>
      <w:r w:rsidRPr="00D51E87">
        <w:rPr>
          <w:rFonts w:ascii="Arial" w:hAnsi="Arial"/>
          <w:sz w:val="22"/>
          <w:szCs w:val="22"/>
          <w:lang w:val="es-CR"/>
        </w:rPr>
        <w:tab/>
        <w:t xml:space="preserve">= </w:t>
      </w:r>
      <w:r w:rsidRPr="00D51E87">
        <w:rPr>
          <w:rFonts w:ascii="Arial" w:hAnsi="Arial"/>
          <w:sz w:val="22"/>
          <w:szCs w:val="22"/>
          <w:lang w:val="es-CR"/>
        </w:rPr>
        <w:tab/>
        <w:t>100% referido al precio cotizado.</w:t>
      </w:r>
    </w:p>
    <w:p w:rsidR="00D51E87" w:rsidRPr="00D51E87" w:rsidRDefault="00D51E87" w:rsidP="00D51E87">
      <w:pPr>
        <w:spacing w:before="60" w:after="60"/>
        <w:ind w:left="993"/>
        <w:jc w:val="both"/>
        <w:rPr>
          <w:rFonts w:ascii="Arial" w:hAnsi="Arial"/>
          <w:sz w:val="22"/>
          <w:szCs w:val="22"/>
          <w:lang w:val="es-CR"/>
        </w:rPr>
      </w:pPr>
      <w:r w:rsidRPr="00D51E87">
        <w:rPr>
          <w:rFonts w:ascii="Arial" w:hAnsi="Arial"/>
          <w:sz w:val="22"/>
          <w:szCs w:val="22"/>
          <w:lang w:val="es-CR"/>
        </w:rPr>
        <w:t>MO</w:t>
      </w:r>
      <w:r w:rsidRPr="00D51E87">
        <w:rPr>
          <w:rFonts w:ascii="Arial" w:hAnsi="Arial"/>
          <w:sz w:val="22"/>
          <w:szCs w:val="22"/>
          <w:lang w:val="es-CR"/>
        </w:rPr>
        <w:tab/>
        <w:t xml:space="preserve">= </w:t>
      </w:r>
      <w:r w:rsidRPr="00D51E87">
        <w:rPr>
          <w:rFonts w:ascii="Arial" w:hAnsi="Arial"/>
          <w:sz w:val="22"/>
          <w:szCs w:val="22"/>
          <w:lang w:val="es-CR"/>
        </w:rPr>
        <w:tab/>
        <w:t>Porcentaje de costo de mano de obra del precio de cotización.</w:t>
      </w:r>
    </w:p>
    <w:p w:rsidR="00D51E87" w:rsidRPr="00D51E87" w:rsidRDefault="00D51E87" w:rsidP="00D51E87">
      <w:pPr>
        <w:spacing w:before="60" w:after="60"/>
        <w:ind w:left="993"/>
        <w:jc w:val="both"/>
        <w:rPr>
          <w:rFonts w:ascii="Arial" w:hAnsi="Arial"/>
          <w:sz w:val="22"/>
          <w:szCs w:val="22"/>
          <w:lang w:val="es-CR"/>
        </w:rPr>
      </w:pPr>
      <w:r w:rsidRPr="00D51E87">
        <w:rPr>
          <w:rFonts w:ascii="Arial" w:hAnsi="Arial"/>
          <w:sz w:val="22"/>
          <w:szCs w:val="22"/>
          <w:lang w:val="es-CR"/>
        </w:rPr>
        <w:t xml:space="preserve">I     </w:t>
      </w:r>
      <w:r w:rsidRPr="00D51E87">
        <w:rPr>
          <w:rFonts w:ascii="Arial" w:hAnsi="Arial"/>
          <w:sz w:val="22"/>
          <w:szCs w:val="22"/>
          <w:lang w:val="es-CR"/>
        </w:rPr>
        <w:tab/>
        <w:t xml:space="preserve">= </w:t>
      </w:r>
      <w:r w:rsidRPr="00D51E87">
        <w:rPr>
          <w:rFonts w:ascii="Arial" w:hAnsi="Arial"/>
          <w:sz w:val="22"/>
          <w:szCs w:val="22"/>
          <w:lang w:val="es-CR"/>
        </w:rPr>
        <w:tab/>
        <w:t>Porcentaje de insumos del precio cotizado.</w:t>
      </w:r>
    </w:p>
    <w:p w:rsidR="00D51E87" w:rsidRPr="00D51E87" w:rsidRDefault="00D51E87" w:rsidP="00D51E87">
      <w:pPr>
        <w:spacing w:before="60" w:after="60"/>
        <w:ind w:left="993"/>
        <w:jc w:val="both"/>
        <w:rPr>
          <w:rFonts w:ascii="Arial" w:hAnsi="Arial"/>
          <w:sz w:val="22"/>
          <w:szCs w:val="22"/>
          <w:lang w:val="es-CR"/>
        </w:rPr>
      </w:pPr>
      <w:r w:rsidRPr="00D51E87">
        <w:rPr>
          <w:rFonts w:ascii="Arial" w:hAnsi="Arial"/>
          <w:sz w:val="22"/>
          <w:szCs w:val="22"/>
          <w:lang w:val="es-CR"/>
        </w:rPr>
        <w:t>GA</w:t>
      </w:r>
      <w:r w:rsidRPr="00D51E87">
        <w:rPr>
          <w:rFonts w:ascii="Arial" w:hAnsi="Arial"/>
          <w:sz w:val="22"/>
          <w:szCs w:val="22"/>
          <w:lang w:val="es-CR"/>
        </w:rPr>
        <w:tab/>
        <w:t xml:space="preserve">= </w:t>
      </w:r>
      <w:r w:rsidRPr="00D51E87">
        <w:rPr>
          <w:rFonts w:ascii="Arial" w:hAnsi="Arial"/>
          <w:sz w:val="22"/>
          <w:szCs w:val="22"/>
          <w:lang w:val="es-CR"/>
        </w:rPr>
        <w:tab/>
        <w:t>Porcentaje de gastos administrativos del precio cotizado.</w:t>
      </w:r>
    </w:p>
    <w:p w:rsidR="00D51E87" w:rsidRPr="00D51E87" w:rsidRDefault="00D51E87" w:rsidP="00D51E87">
      <w:pPr>
        <w:spacing w:before="60" w:after="60"/>
        <w:ind w:left="993"/>
        <w:jc w:val="both"/>
        <w:rPr>
          <w:rFonts w:ascii="Arial" w:hAnsi="Arial"/>
          <w:sz w:val="22"/>
          <w:szCs w:val="22"/>
          <w:lang w:val="es-CR"/>
        </w:rPr>
      </w:pPr>
      <w:proofErr w:type="gramStart"/>
      <w:r w:rsidRPr="00D51E87">
        <w:rPr>
          <w:rFonts w:ascii="Arial" w:hAnsi="Arial"/>
          <w:sz w:val="22"/>
          <w:szCs w:val="22"/>
          <w:lang w:val="es-CR"/>
        </w:rPr>
        <w:t xml:space="preserve">U  </w:t>
      </w:r>
      <w:r w:rsidRPr="00D51E87">
        <w:rPr>
          <w:rFonts w:ascii="Arial" w:hAnsi="Arial"/>
          <w:sz w:val="22"/>
          <w:szCs w:val="22"/>
          <w:lang w:val="es-CR"/>
        </w:rPr>
        <w:tab/>
      </w:r>
      <w:proofErr w:type="gramEnd"/>
      <w:r w:rsidRPr="00D51E87">
        <w:rPr>
          <w:rFonts w:ascii="Arial" w:hAnsi="Arial"/>
          <w:sz w:val="22"/>
          <w:szCs w:val="22"/>
          <w:lang w:val="es-CR"/>
        </w:rPr>
        <w:t xml:space="preserve">= </w:t>
      </w:r>
      <w:r w:rsidRPr="00D51E87">
        <w:rPr>
          <w:rFonts w:ascii="Arial" w:hAnsi="Arial"/>
          <w:sz w:val="22"/>
          <w:szCs w:val="22"/>
          <w:lang w:val="es-CR"/>
        </w:rPr>
        <w:tab/>
        <w:t>Porcentaje de utilidad del precio cotizado.</w:t>
      </w:r>
    </w:p>
    <w:p w:rsidR="00D51E87" w:rsidRPr="00D51E87" w:rsidRDefault="00D51E87" w:rsidP="00D51E87">
      <w:pPr>
        <w:suppressAutoHyphens/>
        <w:ind w:left="720" w:hanging="360"/>
        <w:jc w:val="both"/>
        <w:rPr>
          <w:rFonts w:ascii="Arial" w:hAnsi="Arial"/>
          <w:iCs/>
          <w:spacing w:val="-3"/>
          <w:sz w:val="22"/>
          <w:lang w:val="es-CR"/>
        </w:rPr>
      </w:pPr>
      <w:r w:rsidRPr="00D51E87">
        <w:rPr>
          <w:rFonts w:ascii="Arial" w:hAnsi="Arial"/>
          <w:iCs/>
          <w:spacing w:val="-3"/>
          <w:sz w:val="22"/>
          <w:lang w:val="es-CR"/>
        </w:rPr>
        <w:t>Los elementos “MO”, “I” y “GA” se entenderán referidos sobre el precio cotizado originalmente en caso de no haberse dado ya una revisión, y sobre el último precio reajustado en caso de haberse producido anteriormente una revisión del precio.</w:t>
      </w:r>
    </w:p>
    <w:p w:rsidR="00D51E87" w:rsidRPr="00D51E87" w:rsidRDefault="00D51E87" w:rsidP="00D51E87">
      <w:pPr>
        <w:suppressAutoHyphens/>
        <w:ind w:left="720" w:hanging="360"/>
        <w:jc w:val="both"/>
        <w:rPr>
          <w:rFonts w:ascii="Arial" w:hAnsi="Arial"/>
          <w:iCs/>
          <w:spacing w:val="-3"/>
          <w:sz w:val="22"/>
          <w:lang w:val="es-CR"/>
        </w:rPr>
      </w:pPr>
      <w:r w:rsidRPr="00D51E87">
        <w:rPr>
          <w:rFonts w:ascii="Arial" w:hAnsi="Arial"/>
          <w:iCs/>
          <w:spacing w:val="-3"/>
          <w:sz w:val="22"/>
          <w:lang w:val="es-CR"/>
        </w:rPr>
        <w:t>Con estos elementos se plantea la fórmula de variación de precios de la siguiente manera.</w:t>
      </w:r>
    </w:p>
    <w:p w:rsidR="00D51E87" w:rsidRPr="00D51E87" w:rsidRDefault="00D51E87" w:rsidP="00D51E87">
      <w:pPr>
        <w:rPr>
          <w:rFonts w:ascii="Arial" w:hAnsi="Arial" w:cs="Arial"/>
          <w:b/>
          <w:sz w:val="16"/>
          <w:szCs w:val="16"/>
          <w:lang w:val="es-CR"/>
        </w:rPr>
      </w:pPr>
    </w:p>
    <w:p w:rsidR="00D51E87" w:rsidRPr="00D51E87" w:rsidRDefault="00D51E87" w:rsidP="00D51E87">
      <w:pPr>
        <w:ind w:left="426"/>
        <w:rPr>
          <w:rFonts w:ascii="Arial" w:hAnsi="Arial" w:cs="Arial"/>
          <w:b/>
          <w:noProof/>
          <w:spacing w:val="-3"/>
          <w:sz w:val="20"/>
          <w:szCs w:val="20"/>
          <w:lang w:val="es-CR" w:eastAsia="es-CR"/>
        </w:rPr>
      </w:pPr>
      <w:r w:rsidRPr="00D51E87">
        <w:rPr>
          <w:rFonts w:ascii="Arial" w:hAnsi="Arial" w:cs="Arial"/>
          <w:b/>
          <w:sz w:val="20"/>
          <w:szCs w:val="20"/>
          <w:lang w:val="es-CR"/>
        </w:rPr>
        <w:t>EXPRESIÓN ALGEBRAICA:</w:t>
      </w:r>
      <w:r w:rsidRPr="00D51E87">
        <w:rPr>
          <w:rFonts w:ascii="Arial" w:hAnsi="Arial" w:cs="Arial"/>
          <w:b/>
          <w:noProof/>
          <w:spacing w:val="-3"/>
          <w:sz w:val="20"/>
          <w:szCs w:val="20"/>
          <w:lang w:val="es-CR" w:eastAsia="es-CR"/>
        </w:rPr>
        <w:t xml:space="preserve"> </w:t>
      </w:r>
    </w:p>
    <w:p w:rsidR="00D51E87" w:rsidRPr="00D51E87" w:rsidRDefault="00D51E87" w:rsidP="00D51E87">
      <w:pPr>
        <w:tabs>
          <w:tab w:val="left" w:pos="2700"/>
        </w:tabs>
        <w:jc w:val="both"/>
        <w:rPr>
          <w:spacing w:val="-3"/>
          <w:sz w:val="10"/>
          <w:szCs w:val="10"/>
          <w:lang w:val="es-CR"/>
        </w:rPr>
      </w:pPr>
      <w:r w:rsidRPr="00D51E87">
        <w:rPr>
          <w:rFonts w:ascii="Arial" w:hAnsi="Arial" w:cs="Arial"/>
          <w:spacing w:val="-3"/>
          <w:sz w:val="10"/>
          <w:szCs w:val="10"/>
          <w:lang w:val="es-CR"/>
        </w:rPr>
        <w:t xml:space="preserve">  </w:t>
      </w:r>
    </w:p>
    <w:p w:rsidR="00D51E87" w:rsidRPr="00D51E87" w:rsidRDefault="00D51E87" w:rsidP="00D51E87">
      <w:pPr>
        <w:tabs>
          <w:tab w:val="left" w:pos="2700"/>
        </w:tabs>
        <w:jc w:val="both"/>
        <w:rPr>
          <w:rFonts w:ascii="Arial" w:hAnsi="Arial" w:cs="Arial"/>
          <w:spacing w:val="-3"/>
          <w:sz w:val="20"/>
          <w:szCs w:val="20"/>
          <w:lang w:val="es-CR"/>
        </w:rPr>
      </w:pPr>
      <w:r w:rsidRPr="00D51E87">
        <w:rPr>
          <w:noProof/>
          <w:sz w:val="20"/>
          <w:szCs w:val="20"/>
          <w:lang w:val="es-CR" w:eastAsia="es-CR"/>
        </w:rPr>
        <mc:AlternateContent>
          <mc:Choice Requires="wpg">
            <w:drawing>
              <wp:anchor distT="0" distB="0" distL="114300" distR="114300" simplePos="0" relativeHeight="251661312" behindDoc="0" locked="0" layoutInCell="1" allowOverlap="1">
                <wp:simplePos x="0" y="0"/>
                <wp:positionH relativeFrom="column">
                  <wp:posOffset>903605</wp:posOffset>
                </wp:positionH>
                <wp:positionV relativeFrom="paragraph">
                  <wp:posOffset>48260</wp:posOffset>
                </wp:positionV>
                <wp:extent cx="3515995" cy="732155"/>
                <wp:effectExtent l="0" t="0" r="27305" b="1079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995" cy="732155"/>
                          <a:chOff x="2863" y="3044"/>
                          <a:chExt cx="5520" cy="1800"/>
                        </a:xfrm>
                      </wpg:grpSpPr>
                      <wps:wsp>
                        <wps:cNvPr id="13" name="AutoShape 12"/>
                        <wps:cNvSpPr>
                          <a:spLocks/>
                        </wps:cNvSpPr>
                        <wps:spPr bwMode="auto">
                          <a:xfrm>
                            <a:off x="2863" y="3044"/>
                            <a:ext cx="180" cy="18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3"/>
                        <wps:cNvSpPr>
                          <a:spLocks/>
                        </wps:cNvSpPr>
                        <wps:spPr bwMode="auto">
                          <a:xfrm>
                            <a:off x="3448" y="3234"/>
                            <a:ext cx="180" cy="126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4"/>
                        <wps:cNvSpPr>
                          <a:spLocks/>
                        </wps:cNvSpPr>
                        <wps:spPr bwMode="auto">
                          <a:xfrm>
                            <a:off x="4093" y="3249"/>
                            <a:ext cx="180" cy="126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5"/>
                        <wps:cNvSpPr>
                          <a:spLocks/>
                        </wps:cNvSpPr>
                        <wps:spPr bwMode="auto">
                          <a:xfrm>
                            <a:off x="4963" y="3234"/>
                            <a:ext cx="180" cy="126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6"/>
                        <wps:cNvSpPr>
                          <a:spLocks/>
                        </wps:cNvSpPr>
                        <wps:spPr bwMode="auto">
                          <a:xfrm>
                            <a:off x="5593" y="3234"/>
                            <a:ext cx="180" cy="126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7"/>
                        <wps:cNvSpPr>
                          <a:spLocks/>
                        </wps:cNvSpPr>
                        <wps:spPr bwMode="auto">
                          <a:xfrm>
                            <a:off x="6583" y="3234"/>
                            <a:ext cx="180" cy="126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8"/>
                        <wps:cNvSpPr>
                          <a:spLocks/>
                        </wps:cNvSpPr>
                        <wps:spPr bwMode="auto">
                          <a:xfrm>
                            <a:off x="7318" y="3234"/>
                            <a:ext cx="180" cy="126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9"/>
                        <wps:cNvSpPr>
                          <a:spLocks/>
                        </wps:cNvSpPr>
                        <wps:spPr bwMode="auto">
                          <a:xfrm>
                            <a:off x="8203" y="3044"/>
                            <a:ext cx="180" cy="18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5E965" id="Grupo 12" o:spid="_x0000_s1026" style="position:absolute;margin-left:71.15pt;margin-top:3.8pt;width:276.85pt;height:57.65pt;z-index:251661312" coordorigin="2863,3044" coordsize="5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2863;top:3044;width:1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"/>
                <v:shape id="AutoShape 13" o:spid="_x0000_s1028" type="#_x0000_t85" style="position:absolute;left:3448;top:3234;width: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9" type="#_x0000_t86" style="position:absolute;left:4093;top:3249;width: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"/>
                <v:shape id="AutoShape 15" o:spid="_x0000_s1030" type="#_x0000_t85" style="position:absolute;left:4963;top:3234;width: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"/>
                <v:shape id="AutoShape 16" o:spid="_x0000_s1031" type="#_x0000_t86" style="position:absolute;left:5593;top:3234;width: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"/>
                <v:shape id="AutoShape 17" o:spid="_x0000_s1032" type="#_x0000_t85" style="position:absolute;left:6583;top:3234;width: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"/>
                <v:shape id="AutoShape 18" o:spid="_x0000_s1033" type="#_x0000_t86" style="position:absolute;left:7318;top:3234;width: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"/>
                <v:shape id="AutoShape 19" o:spid="_x0000_s1034" type="#_x0000_t86" style="position:absolute;left:8203;top:3044;width:1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"/>
              </v:group>
            </w:pict>
          </mc:Fallback>
        </mc:AlternateContent>
      </w:r>
      <w:r w:rsidRPr="00D51E87">
        <w:rPr>
          <w:rFonts w:ascii="Arial" w:hAnsi="Arial" w:cs="Arial"/>
          <w:spacing w:val="-3"/>
          <w:sz w:val="20"/>
          <w:szCs w:val="20"/>
          <w:lang w:val="es-CR"/>
        </w:rPr>
        <w:tab/>
        <w:t xml:space="preserve">       </w:t>
      </w:r>
    </w:p>
    <w:p w:rsidR="00D51E87" w:rsidRPr="00D51E87" w:rsidRDefault="00D51E87" w:rsidP="00D51E87">
      <w:pPr>
        <w:tabs>
          <w:tab w:val="left" w:pos="2700"/>
        </w:tabs>
        <w:jc w:val="both"/>
        <w:rPr>
          <w:rFonts w:ascii="Arial" w:hAnsi="Arial" w:cs="Arial"/>
          <w:spacing w:val="-3"/>
          <w:sz w:val="20"/>
          <w:szCs w:val="20"/>
          <w:lang w:val="es-CR"/>
        </w:rPr>
      </w:pPr>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iMO</w:t>
      </w:r>
      <w:proofErr w:type="spellEnd"/>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tm</w:t>
      </w:r>
      <w:proofErr w:type="spellEnd"/>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iI</w:t>
      </w:r>
      <w:proofErr w:type="spellEnd"/>
      <w:r w:rsidRPr="00D51E87">
        <w:rPr>
          <w:rFonts w:ascii="Arial" w:hAnsi="Arial" w:cs="Arial"/>
          <w:spacing w:val="-3"/>
          <w:sz w:val="20"/>
          <w:szCs w:val="20"/>
          <w:lang w:val="es-CR"/>
        </w:rPr>
        <w:t xml:space="preserve"> ti                       </w:t>
      </w:r>
      <w:proofErr w:type="spellStart"/>
      <w:proofErr w:type="gramStart"/>
      <w:r w:rsidRPr="00D51E87">
        <w:rPr>
          <w:rFonts w:ascii="Arial" w:hAnsi="Arial" w:cs="Arial"/>
          <w:spacing w:val="-3"/>
          <w:sz w:val="20"/>
          <w:szCs w:val="20"/>
          <w:lang w:val="es-CR"/>
        </w:rPr>
        <w:t>iGA</w:t>
      </w:r>
      <w:proofErr w:type="spellEnd"/>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tg</w:t>
      </w:r>
      <w:proofErr w:type="spellEnd"/>
      <w:proofErr w:type="gramEnd"/>
    </w:p>
    <w:p w:rsidR="00D51E87" w:rsidRPr="00D51E87" w:rsidRDefault="00D51E87" w:rsidP="00D51E87">
      <w:pPr>
        <w:tabs>
          <w:tab w:val="left" w:pos="2700"/>
        </w:tabs>
        <w:jc w:val="both"/>
        <w:rPr>
          <w:rFonts w:ascii="Arial" w:hAnsi="Arial" w:cs="Arial"/>
          <w:spacing w:val="-3"/>
          <w:sz w:val="20"/>
          <w:szCs w:val="20"/>
          <w:lang w:val="es-CR"/>
        </w:rPr>
      </w:pPr>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Pv</w:t>
      </w:r>
      <w:proofErr w:type="spellEnd"/>
      <w:r w:rsidRPr="00D51E87">
        <w:rPr>
          <w:rFonts w:ascii="Arial" w:hAnsi="Arial" w:cs="Arial"/>
          <w:spacing w:val="-3"/>
          <w:sz w:val="20"/>
          <w:szCs w:val="20"/>
          <w:lang w:val="es-CR"/>
        </w:rPr>
        <w:t xml:space="preserve"> = Pc      MO     ----------   </w:t>
      </w:r>
      <w:proofErr w:type="gramStart"/>
      <w:r w:rsidRPr="00D51E87">
        <w:rPr>
          <w:rFonts w:ascii="Arial" w:hAnsi="Arial" w:cs="Arial"/>
          <w:spacing w:val="-3"/>
          <w:sz w:val="20"/>
          <w:szCs w:val="20"/>
          <w:lang w:val="es-CR"/>
        </w:rPr>
        <w:t>+  I</w:t>
      </w:r>
      <w:proofErr w:type="gramEnd"/>
      <w:r w:rsidRPr="00D51E87">
        <w:rPr>
          <w:rFonts w:ascii="Arial" w:hAnsi="Arial" w:cs="Arial"/>
          <w:spacing w:val="-3"/>
          <w:sz w:val="20"/>
          <w:szCs w:val="20"/>
          <w:lang w:val="es-CR"/>
        </w:rPr>
        <w:t xml:space="preserve">        --------     + GA        --------          +  U  </w:t>
      </w:r>
    </w:p>
    <w:p w:rsidR="00D51E87" w:rsidRPr="00D51E87" w:rsidRDefault="00D51E87" w:rsidP="00D51E87">
      <w:pPr>
        <w:tabs>
          <w:tab w:val="left" w:pos="2700"/>
        </w:tabs>
        <w:jc w:val="both"/>
        <w:rPr>
          <w:rFonts w:ascii="Arial" w:hAnsi="Arial" w:cs="Arial"/>
          <w:spacing w:val="-3"/>
          <w:sz w:val="20"/>
          <w:szCs w:val="20"/>
          <w:lang w:val="es-CR"/>
        </w:rPr>
      </w:pPr>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iMO</w:t>
      </w:r>
      <w:proofErr w:type="spellEnd"/>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tc</w:t>
      </w:r>
      <w:proofErr w:type="spellEnd"/>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iItc</w:t>
      </w:r>
      <w:proofErr w:type="spellEnd"/>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iGA</w:t>
      </w:r>
      <w:proofErr w:type="spellEnd"/>
      <w:r w:rsidRPr="00D51E87">
        <w:rPr>
          <w:rFonts w:ascii="Arial" w:hAnsi="Arial" w:cs="Arial"/>
          <w:spacing w:val="-3"/>
          <w:sz w:val="20"/>
          <w:szCs w:val="20"/>
          <w:lang w:val="es-CR"/>
        </w:rPr>
        <w:t xml:space="preserve"> </w:t>
      </w:r>
      <w:proofErr w:type="spellStart"/>
      <w:r w:rsidRPr="00D51E87">
        <w:rPr>
          <w:rFonts w:ascii="Arial" w:hAnsi="Arial" w:cs="Arial"/>
          <w:spacing w:val="-3"/>
          <w:sz w:val="20"/>
          <w:szCs w:val="20"/>
          <w:lang w:val="es-CR"/>
        </w:rPr>
        <w:t>tc</w:t>
      </w:r>
      <w:proofErr w:type="spellEnd"/>
      <w:r w:rsidRPr="00D51E87">
        <w:rPr>
          <w:rFonts w:ascii="Arial" w:hAnsi="Arial" w:cs="Arial"/>
          <w:spacing w:val="-3"/>
          <w:sz w:val="20"/>
          <w:szCs w:val="20"/>
          <w:lang w:val="es-CR"/>
        </w:rPr>
        <w:t xml:space="preserve">  </w:t>
      </w:r>
    </w:p>
    <w:p w:rsidR="00D51E87" w:rsidRPr="00D51E87" w:rsidRDefault="00D51E87" w:rsidP="00D51E87">
      <w:pPr>
        <w:tabs>
          <w:tab w:val="left" w:pos="2700"/>
        </w:tabs>
        <w:jc w:val="both"/>
        <w:rPr>
          <w:rFonts w:ascii="Arial" w:hAnsi="Arial" w:cs="Arial"/>
          <w:spacing w:val="-3"/>
          <w:sz w:val="20"/>
          <w:szCs w:val="20"/>
          <w:lang w:val="es-CR"/>
        </w:rPr>
      </w:pPr>
      <w:r w:rsidRPr="00D51E87">
        <w:rPr>
          <w:rFonts w:ascii="Arial" w:hAnsi="Arial" w:cs="Arial"/>
          <w:spacing w:val="-3"/>
          <w:sz w:val="20"/>
          <w:szCs w:val="20"/>
          <w:lang w:val="es-CR"/>
        </w:rPr>
        <w:t xml:space="preserve"> </w:t>
      </w:r>
    </w:p>
    <w:p w:rsidR="00D51E87" w:rsidRPr="00D51E87" w:rsidRDefault="00D51E87" w:rsidP="00D51E87">
      <w:pPr>
        <w:autoSpaceDE w:val="0"/>
        <w:autoSpaceDN w:val="0"/>
        <w:adjustRightInd w:val="0"/>
        <w:jc w:val="both"/>
        <w:rPr>
          <w:rFonts w:ascii="Tahoma" w:eastAsia="Calibri" w:hAnsi="Tahoma" w:cs="Tahoma"/>
          <w:sz w:val="22"/>
          <w:szCs w:val="22"/>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8641"/>
      </w:tblGrid>
      <w:tr w:rsidR="00D51E87" w:rsidRPr="00D51E87" w:rsidTr="008E6D4D">
        <w:trPr>
          <w:trHeight w:val="258"/>
          <w:jc w:val="center"/>
        </w:trPr>
        <w:tc>
          <w:tcPr>
            <w:tcW w:w="9918" w:type="dxa"/>
            <w:gridSpan w:val="2"/>
            <w:vAlign w:val="center"/>
          </w:tcPr>
          <w:p w:rsidR="00D51E87" w:rsidRPr="00D51E87" w:rsidRDefault="00D51E87" w:rsidP="00D51E87">
            <w:pPr>
              <w:ind w:left="708"/>
              <w:rPr>
                <w:rFonts w:cs="Arial"/>
                <w:b/>
                <w:i/>
                <w:sz w:val="20"/>
                <w:szCs w:val="22"/>
                <w:lang w:val="es-CR"/>
              </w:rPr>
            </w:pPr>
            <w:r w:rsidRPr="00D51E87">
              <w:rPr>
                <w:rFonts w:cs="Arial"/>
                <w:b/>
                <w:i/>
                <w:sz w:val="20"/>
                <w:szCs w:val="22"/>
                <w:lang w:val="es-CR"/>
              </w:rPr>
              <w:lastRenderedPageBreak/>
              <w:t>Donde:</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PV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Precio variado</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PC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Precio de cotización o último revisado</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MO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Porcentaje de costo de mano de obra del precio de cotización.</w:t>
            </w:r>
          </w:p>
        </w:tc>
      </w:tr>
      <w:tr w:rsidR="00D51E87" w:rsidRPr="00D51E87" w:rsidTr="008E6D4D">
        <w:trPr>
          <w:trHeight w:val="266"/>
          <w:jc w:val="center"/>
        </w:trPr>
        <w:tc>
          <w:tcPr>
            <w:tcW w:w="1277" w:type="dxa"/>
            <w:vAlign w:val="center"/>
          </w:tcPr>
          <w:p w:rsidR="00D51E87" w:rsidRPr="00D51E87" w:rsidRDefault="00D51E87" w:rsidP="00D51E87">
            <w:pPr>
              <w:ind w:left="708"/>
              <w:rPr>
                <w:rFonts w:cs="Arial"/>
                <w:sz w:val="20"/>
                <w:szCs w:val="22"/>
                <w:lang w:val="es-CR"/>
              </w:rPr>
            </w:pPr>
            <w:proofErr w:type="spellStart"/>
            <w:r w:rsidRPr="00D51E87">
              <w:rPr>
                <w:rFonts w:cs="Arial"/>
                <w:sz w:val="20"/>
                <w:szCs w:val="22"/>
                <w:lang w:val="es-CR"/>
              </w:rPr>
              <w:t>iMO</w:t>
            </w:r>
            <w:proofErr w:type="spellEnd"/>
            <w:r w:rsidRPr="00D51E87">
              <w:rPr>
                <w:rFonts w:cs="Arial"/>
                <w:sz w:val="20"/>
                <w:szCs w:val="22"/>
                <w:lang w:val="es-CR"/>
              </w:rPr>
              <w:t xml:space="preserve"> </w:t>
            </w:r>
            <w:proofErr w:type="spellStart"/>
            <w:r w:rsidRPr="00D51E87">
              <w:rPr>
                <w:rFonts w:cs="Arial"/>
                <w:sz w:val="20"/>
                <w:szCs w:val="22"/>
                <w:lang w:val="es-CR"/>
              </w:rPr>
              <w:t>tm</w:t>
            </w:r>
            <w:proofErr w:type="spellEnd"/>
            <w:r w:rsidRPr="00D51E87">
              <w:rPr>
                <w:rFonts w:cs="Arial"/>
                <w:sz w:val="20"/>
                <w:szCs w:val="22"/>
                <w:lang w:val="es-CR"/>
              </w:rPr>
              <w:t xml:space="preserve">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Índice del costo de la mano de obra en el momento considerado para la variación.</w:t>
            </w:r>
          </w:p>
        </w:tc>
      </w:tr>
      <w:tr w:rsidR="00D51E87" w:rsidRPr="00D51E87" w:rsidTr="008E6D4D">
        <w:trPr>
          <w:trHeight w:val="125"/>
          <w:jc w:val="center"/>
        </w:trPr>
        <w:tc>
          <w:tcPr>
            <w:tcW w:w="1277" w:type="dxa"/>
            <w:vAlign w:val="center"/>
          </w:tcPr>
          <w:p w:rsidR="00D51E87" w:rsidRPr="00D51E87" w:rsidRDefault="00D51E87" w:rsidP="00D51E87">
            <w:pPr>
              <w:ind w:left="708"/>
              <w:rPr>
                <w:rFonts w:cs="Arial"/>
                <w:sz w:val="20"/>
                <w:szCs w:val="22"/>
                <w:lang w:val="es-CR"/>
              </w:rPr>
            </w:pPr>
            <w:proofErr w:type="spellStart"/>
            <w:r w:rsidRPr="00D51E87">
              <w:rPr>
                <w:rFonts w:cs="Arial"/>
                <w:sz w:val="20"/>
                <w:szCs w:val="22"/>
                <w:lang w:val="es-CR"/>
              </w:rPr>
              <w:t>iMO</w:t>
            </w:r>
            <w:proofErr w:type="spellEnd"/>
            <w:r w:rsidRPr="00D51E87">
              <w:rPr>
                <w:rFonts w:cs="Arial"/>
                <w:sz w:val="20"/>
                <w:szCs w:val="22"/>
                <w:lang w:val="es-CR"/>
              </w:rPr>
              <w:t xml:space="preserve"> </w:t>
            </w:r>
            <w:proofErr w:type="spellStart"/>
            <w:r w:rsidRPr="00D51E87">
              <w:rPr>
                <w:rFonts w:cs="Arial"/>
                <w:sz w:val="20"/>
                <w:szCs w:val="22"/>
                <w:lang w:val="es-CR"/>
              </w:rPr>
              <w:t>tc</w:t>
            </w:r>
            <w:proofErr w:type="spellEnd"/>
            <w:r w:rsidRPr="00D51E87">
              <w:rPr>
                <w:rFonts w:cs="Arial"/>
                <w:sz w:val="20"/>
                <w:szCs w:val="22"/>
                <w:lang w:val="es-CR"/>
              </w:rPr>
              <w:t xml:space="preserve">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Índice del costo de la mano de obra en el momento de la cotización o último revisado.</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I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Porcentaje de insumo del precio de cotización.</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proofErr w:type="spellStart"/>
            <w:r w:rsidRPr="00D51E87">
              <w:rPr>
                <w:rFonts w:cs="Arial"/>
                <w:sz w:val="20"/>
                <w:szCs w:val="22"/>
                <w:lang w:val="es-CR"/>
              </w:rPr>
              <w:t>iI</w:t>
            </w:r>
            <w:proofErr w:type="spellEnd"/>
            <w:r w:rsidRPr="00D51E87">
              <w:rPr>
                <w:rFonts w:cs="Arial"/>
                <w:sz w:val="20"/>
                <w:szCs w:val="22"/>
                <w:lang w:val="es-CR"/>
              </w:rPr>
              <w:t xml:space="preserve"> ti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Índice del costo de insumos en el momento considerado para la variación</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proofErr w:type="spellStart"/>
            <w:r w:rsidRPr="00D51E87">
              <w:rPr>
                <w:rFonts w:cs="Arial"/>
                <w:sz w:val="20"/>
                <w:szCs w:val="22"/>
                <w:lang w:val="es-CR"/>
              </w:rPr>
              <w:t>iI</w:t>
            </w:r>
            <w:proofErr w:type="spellEnd"/>
            <w:r w:rsidRPr="00D51E87">
              <w:rPr>
                <w:rFonts w:cs="Arial"/>
                <w:sz w:val="20"/>
                <w:szCs w:val="22"/>
                <w:lang w:val="es-CR"/>
              </w:rPr>
              <w:t xml:space="preserve"> </w:t>
            </w:r>
            <w:proofErr w:type="spellStart"/>
            <w:r w:rsidRPr="00D51E87">
              <w:rPr>
                <w:rFonts w:cs="Arial"/>
                <w:sz w:val="20"/>
                <w:szCs w:val="22"/>
                <w:lang w:val="es-CR"/>
              </w:rPr>
              <w:t>tc</w:t>
            </w:r>
            <w:proofErr w:type="spellEnd"/>
            <w:r w:rsidRPr="00D51E87">
              <w:rPr>
                <w:rFonts w:cs="Arial"/>
                <w:sz w:val="20"/>
                <w:szCs w:val="22"/>
                <w:lang w:val="es-CR"/>
              </w:rPr>
              <w:t xml:space="preserve">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Índice del costo de insumos en el momento de la cotización o último revisado.</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proofErr w:type="spellStart"/>
            <w:r w:rsidRPr="00D51E87">
              <w:rPr>
                <w:rFonts w:cs="Arial"/>
                <w:sz w:val="20"/>
                <w:szCs w:val="22"/>
                <w:lang w:val="es-CR"/>
              </w:rPr>
              <w:t>iGA</w:t>
            </w:r>
            <w:proofErr w:type="spellEnd"/>
            <w:r w:rsidRPr="00D51E87">
              <w:rPr>
                <w:rFonts w:cs="Arial"/>
                <w:sz w:val="20"/>
                <w:szCs w:val="22"/>
                <w:lang w:val="es-CR"/>
              </w:rPr>
              <w:t xml:space="preserve"> </w:t>
            </w:r>
            <w:proofErr w:type="spellStart"/>
            <w:r w:rsidRPr="00D51E87">
              <w:rPr>
                <w:rFonts w:cs="Arial"/>
                <w:sz w:val="20"/>
                <w:szCs w:val="22"/>
                <w:lang w:val="es-CR"/>
              </w:rPr>
              <w:t>tg</w:t>
            </w:r>
            <w:proofErr w:type="spellEnd"/>
            <w:r w:rsidRPr="00D51E87">
              <w:rPr>
                <w:rFonts w:cs="Arial"/>
                <w:sz w:val="20"/>
                <w:szCs w:val="22"/>
                <w:lang w:val="es-CR"/>
              </w:rPr>
              <w:t xml:space="preserve">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Índice del costo de gastos administrativos en el momento considerado para la variación.</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proofErr w:type="spellStart"/>
            <w:r w:rsidRPr="00D51E87">
              <w:rPr>
                <w:rFonts w:cs="Arial"/>
                <w:sz w:val="20"/>
                <w:szCs w:val="22"/>
                <w:lang w:val="es-CR"/>
              </w:rPr>
              <w:t>iGA</w:t>
            </w:r>
            <w:proofErr w:type="spellEnd"/>
            <w:r w:rsidRPr="00D51E87">
              <w:rPr>
                <w:rFonts w:cs="Arial"/>
                <w:sz w:val="20"/>
                <w:szCs w:val="22"/>
                <w:lang w:val="es-CR"/>
              </w:rPr>
              <w:t xml:space="preserve"> </w:t>
            </w:r>
            <w:proofErr w:type="spellStart"/>
            <w:r w:rsidRPr="00D51E87">
              <w:rPr>
                <w:rFonts w:cs="Arial"/>
                <w:sz w:val="20"/>
                <w:szCs w:val="22"/>
                <w:lang w:val="es-CR"/>
              </w:rPr>
              <w:t>tc</w:t>
            </w:r>
            <w:proofErr w:type="spellEnd"/>
            <w:r w:rsidRPr="00D51E87">
              <w:rPr>
                <w:rFonts w:cs="Arial"/>
                <w:sz w:val="20"/>
                <w:szCs w:val="22"/>
                <w:lang w:val="es-CR"/>
              </w:rPr>
              <w:t xml:space="preserve">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Índice del costo de gastos administrativos en el momento de la cotización o último revisado.</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GA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Porcentaje de gastos administrativos del precio de cotización.</w:t>
            </w:r>
          </w:p>
        </w:tc>
      </w:tr>
      <w:tr w:rsidR="00D51E87" w:rsidRPr="00D51E87" w:rsidTr="008E6D4D">
        <w:trPr>
          <w:trHeight w:val="258"/>
          <w:jc w:val="center"/>
        </w:trPr>
        <w:tc>
          <w:tcPr>
            <w:tcW w:w="1277"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U           =</w:t>
            </w:r>
          </w:p>
        </w:tc>
        <w:tc>
          <w:tcPr>
            <w:tcW w:w="8641" w:type="dxa"/>
            <w:vAlign w:val="center"/>
          </w:tcPr>
          <w:p w:rsidR="00D51E87" w:rsidRPr="00D51E87" w:rsidRDefault="00D51E87" w:rsidP="00D51E87">
            <w:pPr>
              <w:ind w:left="708"/>
              <w:rPr>
                <w:rFonts w:cs="Arial"/>
                <w:sz w:val="20"/>
                <w:szCs w:val="22"/>
                <w:lang w:val="es-CR"/>
              </w:rPr>
            </w:pPr>
            <w:r w:rsidRPr="00D51E87">
              <w:rPr>
                <w:rFonts w:cs="Arial"/>
                <w:sz w:val="20"/>
                <w:szCs w:val="22"/>
                <w:lang w:val="es-CR"/>
              </w:rPr>
              <w:t>Porcentaje de utilidad del precio de cotización.</w:t>
            </w:r>
          </w:p>
        </w:tc>
      </w:tr>
    </w:tbl>
    <w:p w:rsidR="00D51E87" w:rsidRPr="00D51E87" w:rsidRDefault="00D51E87" w:rsidP="00D51E87">
      <w:pPr>
        <w:tabs>
          <w:tab w:val="num" w:pos="780"/>
          <w:tab w:val="center" w:pos="4680"/>
        </w:tabs>
        <w:suppressAutoHyphens/>
        <w:jc w:val="both"/>
        <w:rPr>
          <w:rFonts w:ascii="Arial" w:hAnsi="Arial" w:cs="Arial"/>
          <w:b/>
          <w:bCs/>
          <w:sz w:val="10"/>
          <w:szCs w:val="10"/>
          <w:lang w:val="es-CR"/>
        </w:rPr>
      </w:pPr>
    </w:p>
    <w:p w:rsidR="00D51E87" w:rsidRPr="00D51E87" w:rsidRDefault="00D51E87" w:rsidP="00D51E87">
      <w:pPr>
        <w:tabs>
          <w:tab w:val="num" w:pos="780"/>
          <w:tab w:val="center" w:pos="4680"/>
        </w:tabs>
        <w:suppressAutoHyphens/>
        <w:spacing w:before="120" w:after="120"/>
        <w:jc w:val="both"/>
        <w:rPr>
          <w:rFonts w:ascii="Arial" w:hAnsi="Arial" w:cs="Arial"/>
          <w:b/>
          <w:bCs/>
          <w:sz w:val="22"/>
          <w:szCs w:val="22"/>
          <w:lang w:val="es-CR"/>
        </w:rPr>
      </w:pPr>
      <w:r w:rsidRPr="00D51E87">
        <w:rPr>
          <w:rFonts w:ascii="Arial" w:hAnsi="Arial" w:cs="Arial"/>
          <w:b/>
          <w:bCs/>
          <w:sz w:val="22"/>
          <w:szCs w:val="22"/>
          <w:lang w:val="es-CR"/>
        </w:rPr>
        <w:t>Índices Oficiales: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
        <w:gridCol w:w="8932"/>
      </w:tblGrid>
      <w:tr w:rsidR="00D51E87" w:rsidRPr="00D51E87" w:rsidTr="008E6D4D">
        <w:trPr>
          <w:trHeight w:val="503"/>
          <w:jc w:val="center"/>
        </w:trPr>
        <w:tc>
          <w:tcPr>
            <w:tcW w:w="986" w:type="dxa"/>
            <w:vAlign w:val="center"/>
          </w:tcPr>
          <w:p w:rsidR="00D51E87" w:rsidRPr="00D51E87" w:rsidRDefault="00D51E87" w:rsidP="00803853">
            <w:pPr>
              <w:numPr>
                <w:ilvl w:val="0"/>
                <w:numId w:val="2"/>
              </w:numPr>
              <w:tabs>
                <w:tab w:val="clear" w:pos="360"/>
                <w:tab w:val="left" w:pos="1134"/>
                <w:tab w:val="left" w:pos="2700"/>
              </w:tabs>
              <w:spacing w:before="120" w:after="120"/>
              <w:jc w:val="both"/>
              <w:rPr>
                <w:rFonts w:ascii="Arial" w:hAnsi="Arial" w:cs="Arial"/>
                <w:b/>
                <w:iCs/>
                <w:sz w:val="22"/>
                <w:szCs w:val="22"/>
                <w:lang w:val="es-CR"/>
              </w:rPr>
            </w:pPr>
            <w:r w:rsidRPr="00D51E87">
              <w:rPr>
                <w:rFonts w:ascii="Arial" w:hAnsi="Arial" w:cs="Arial"/>
                <w:b/>
                <w:bCs/>
                <w:iCs/>
                <w:sz w:val="22"/>
                <w:szCs w:val="22"/>
                <w:lang w:val="es-CR"/>
              </w:rPr>
              <w:t>MO:</w:t>
            </w:r>
          </w:p>
        </w:tc>
        <w:tc>
          <w:tcPr>
            <w:tcW w:w="8932" w:type="dxa"/>
            <w:vAlign w:val="center"/>
          </w:tcPr>
          <w:p w:rsidR="00D51E87" w:rsidRPr="00D51E87" w:rsidRDefault="00D51E87" w:rsidP="00803853">
            <w:pPr>
              <w:numPr>
                <w:ilvl w:val="0"/>
                <w:numId w:val="2"/>
              </w:numPr>
              <w:tabs>
                <w:tab w:val="clear" w:pos="360"/>
                <w:tab w:val="left" w:pos="1134"/>
                <w:tab w:val="left" w:pos="2700"/>
              </w:tabs>
              <w:jc w:val="both"/>
              <w:rPr>
                <w:rFonts w:ascii="Arial" w:hAnsi="Arial" w:cs="Arial"/>
                <w:b/>
                <w:iCs/>
                <w:sz w:val="22"/>
                <w:szCs w:val="22"/>
                <w:lang w:val="es-CR"/>
              </w:rPr>
            </w:pPr>
            <w:r w:rsidRPr="00D51E87">
              <w:rPr>
                <w:rFonts w:ascii="Arial" w:hAnsi="Arial" w:cs="Arial"/>
                <w:b/>
                <w:bCs/>
                <w:iCs/>
                <w:sz w:val="22"/>
                <w:szCs w:val="22"/>
                <w:lang w:val="es-CR"/>
              </w:rPr>
              <w:t>Se calculará de acuerdo a las variaciones que registre el renglón “Trabajador No calificado genérico que abarca conserje, misceláneo o encargado de limpieza en general, del Decreto de Salarios Mínimos, emitido por el Ministerio de Trabajo y Seguridad Social y publicado en el Diario Oficial La Gaceta.</w:t>
            </w:r>
          </w:p>
        </w:tc>
      </w:tr>
      <w:tr w:rsidR="00D51E87" w:rsidRPr="00D51E87" w:rsidTr="008E6D4D">
        <w:trPr>
          <w:trHeight w:val="701"/>
          <w:jc w:val="center"/>
        </w:trPr>
        <w:tc>
          <w:tcPr>
            <w:tcW w:w="986" w:type="dxa"/>
            <w:vAlign w:val="center"/>
          </w:tcPr>
          <w:p w:rsidR="00D51E87" w:rsidRPr="00D51E87" w:rsidRDefault="00D51E87" w:rsidP="00803853">
            <w:pPr>
              <w:numPr>
                <w:ilvl w:val="0"/>
                <w:numId w:val="2"/>
              </w:numPr>
              <w:tabs>
                <w:tab w:val="clear" w:pos="360"/>
                <w:tab w:val="left" w:pos="1134"/>
                <w:tab w:val="left" w:pos="2700"/>
              </w:tabs>
              <w:spacing w:before="120" w:after="120"/>
              <w:jc w:val="both"/>
              <w:rPr>
                <w:rFonts w:ascii="Arial" w:hAnsi="Arial" w:cs="Arial"/>
                <w:b/>
                <w:iCs/>
                <w:sz w:val="22"/>
                <w:szCs w:val="22"/>
                <w:lang w:val="es-CR"/>
              </w:rPr>
            </w:pPr>
            <w:r w:rsidRPr="00D51E87">
              <w:rPr>
                <w:rFonts w:ascii="Arial" w:hAnsi="Arial" w:cs="Arial"/>
                <w:b/>
                <w:bCs/>
                <w:iCs/>
                <w:sz w:val="22"/>
                <w:szCs w:val="22"/>
                <w:lang w:val="es-CR"/>
              </w:rPr>
              <w:t>I:</w:t>
            </w:r>
          </w:p>
        </w:tc>
        <w:tc>
          <w:tcPr>
            <w:tcW w:w="8932" w:type="dxa"/>
            <w:vAlign w:val="center"/>
          </w:tcPr>
          <w:p w:rsidR="00D51E87" w:rsidRPr="00D51E87" w:rsidRDefault="00D51E87" w:rsidP="00803853">
            <w:pPr>
              <w:numPr>
                <w:ilvl w:val="0"/>
                <w:numId w:val="2"/>
              </w:numPr>
              <w:tabs>
                <w:tab w:val="clear" w:pos="360"/>
                <w:tab w:val="left" w:pos="1134"/>
                <w:tab w:val="left" w:pos="2700"/>
              </w:tabs>
              <w:jc w:val="both"/>
              <w:rPr>
                <w:rFonts w:ascii="Arial" w:hAnsi="Arial" w:cs="Arial"/>
                <w:b/>
                <w:iCs/>
                <w:sz w:val="22"/>
                <w:szCs w:val="22"/>
                <w:lang w:val="es-CR"/>
              </w:rPr>
            </w:pPr>
            <w:r w:rsidRPr="00D51E87">
              <w:rPr>
                <w:rFonts w:ascii="Arial" w:hAnsi="Arial" w:cs="Arial"/>
                <w:b/>
                <w:bCs/>
                <w:iCs/>
                <w:sz w:val="22"/>
              </w:rPr>
              <w:t>Se calcularán con base en las variaciones que registre el Índice General de Precios al Productor Industrial (IPP MAN)-nivel general-, que elabora el Banco Central de Costa Rica.</w:t>
            </w:r>
          </w:p>
        </w:tc>
      </w:tr>
      <w:tr w:rsidR="00D51E87" w:rsidRPr="00D51E87" w:rsidTr="008E6D4D">
        <w:trPr>
          <w:trHeight w:val="316"/>
          <w:jc w:val="center"/>
        </w:trPr>
        <w:tc>
          <w:tcPr>
            <w:tcW w:w="986" w:type="dxa"/>
            <w:vAlign w:val="center"/>
          </w:tcPr>
          <w:p w:rsidR="00D51E87" w:rsidRPr="00D51E87" w:rsidRDefault="00D51E87" w:rsidP="00803853">
            <w:pPr>
              <w:numPr>
                <w:ilvl w:val="0"/>
                <w:numId w:val="2"/>
              </w:numPr>
              <w:tabs>
                <w:tab w:val="clear" w:pos="360"/>
                <w:tab w:val="left" w:pos="1134"/>
                <w:tab w:val="left" w:pos="2700"/>
              </w:tabs>
              <w:spacing w:before="120" w:after="120"/>
              <w:jc w:val="both"/>
              <w:rPr>
                <w:rFonts w:ascii="Arial" w:hAnsi="Arial" w:cs="Arial"/>
                <w:b/>
                <w:iCs/>
                <w:sz w:val="22"/>
                <w:szCs w:val="22"/>
                <w:lang w:val="es-CR"/>
              </w:rPr>
            </w:pPr>
            <w:r w:rsidRPr="00D51E87">
              <w:rPr>
                <w:rFonts w:ascii="Arial" w:hAnsi="Arial" w:cs="Arial"/>
                <w:b/>
                <w:bCs/>
                <w:iCs/>
                <w:sz w:val="22"/>
                <w:szCs w:val="22"/>
                <w:lang w:val="es-CR"/>
              </w:rPr>
              <w:t>GA:</w:t>
            </w:r>
          </w:p>
        </w:tc>
        <w:tc>
          <w:tcPr>
            <w:tcW w:w="8932" w:type="dxa"/>
            <w:vAlign w:val="center"/>
          </w:tcPr>
          <w:p w:rsidR="00D51E87" w:rsidRPr="00D51E87" w:rsidRDefault="00D51E87" w:rsidP="00803853">
            <w:pPr>
              <w:numPr>
                <w:ilvl w:val="0"/>
                <w:numId w:val="2"/>
              </w:numPr>
              <w:tabs>
                <w:tab w:val="clear" w:pos="360"/>
                <w:tab w:val="left" w:pos="1134"/>
                <w:tab w:val="left" w:pos="2700"/>
              </w:tabs>
              <w:jc w:val="both"/>
              <w:rPr>
                <w:rFonts w:ascii="Arial" w:hAnsi="Arial" w:cs="Arial"/>
                <w:b/>
                <w:iCs/>
                <w:sz w:val="22"/>
                <w:szCs w:val="22"/>
                <w:lang w:val="es-CR"/>
              </w:rPr>
            </w:pPr>
            <w:r w:rsidRPr="00D51E87">
              <w:rPr>
                <w:rFonts w:ascii="Arial" w:hAnsi="Arial" w:cs="Arial"/>
                <w:b/>
                <w:bCs/>
                <w:iCs/>
                <w:sz w:val="22"/>
              </w:rPr>
              <w:t>Se calculará con base en las variaciones que registre el Índice General de Precios al Consumidor (IPC) -niveles y variaciones- elaborado por el Instituto Nacional de Estadísticas y Censos</w:t>
            </w:r>
          </w:p>
        </w:tc>
      </w:tr>
    </w:tbl>
    <w:p w:rsidR="00D51E87" w:rsidRPr="00D51E87" w:rsidRDefault="00D51E87" w:rsidP="00D51E87">
      <w:pPr>
        <w:keepNext/>
        <w:tabs>
          <w:tab w:val="left" w:pos="360"/>
        </w:tabs>
        <w:spacing w:before="240" w:after="60"/>
        <w:jc w:val="both"/>
        <w:outlineLvl w:val="1"/>
        <w:rPr>
          <w:rFonts w:ascii="Arial" w:hAnsi="Arial" w:cs="Arial"/>
          <w:b/>
          <w:bCs/>
          <w:iCs/>
          <w:sz w:val="23"/>
          <w:szCs w:val="23"/>
          <w:lang w:val="es-CR"/>
        </w:rPr>
      </w:pPr>
      <w:bookmarkStart w:id="32" w:name="_Toc526433860"/>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
          <w:iCs/>
          <w:sz w:val="23"/>
          <w:szCs w:val="23"/>
          <w:lang w:val="es-CR"/>
        </w:rPr>
      </w:pPr>
      <w:r w:rsidRPr="00D51E87">
        <w:rPr>
          <w:rFonts w:ascii="Arial" w:hAnsi="Arial" w:cs="Arial"/>
          <w:b/>
          <w:bCs/>
          <w:i/>
          <w:iCs/>
          <w:sz w:val="23"/>
          <w:szCs w:val="23"/>
          <w:lang w:val="es-CR"/>
        </w:rPr>
        <w:t>FORMA DE PAGO</w:t>
      </w:r>
      <w:bookmarkEnd w:id="29"/>
      <w:bookmarkEnd w:id="32"/>
    </w:p>
    <w:p w:rsidR="00D51E87" w:rsidRPr="00D51E87" w:rsidRDefault="00D51E87" w:rsidP="00D51E87">
      <w:pPr>
        <w:rPr>
          <w:sz w:val="20"/>
          <w:szCs w:val="20"/>
          <w:lang w:val="es-CR"/>
        </w:rPr>
      </w:pPr>
    </w:p>
    <w:p w:rsidR="00D51E87" w:rsidRPr="00D51E87" w:rsidRDefault="00D51E87" w:rsidP="00803853">
      <w:pPr>
        <w:numPr>
          <w:ilvl w:val="0"/>
          <w:numId w:val="13"/>
        </w:numPr>
        <w:jc w:val="both"/>
        <w:rPr>
          <w:rFonts w:ascii="Arial" w:hAnsi="Arial" w:cs="Arial"/>
          <w:sz w:val="22"/>
          <w:szCs w:val="22"/>
          <w:lang w:val="es-CR"/>
        </w:rPr>
      </w:pPr>
      <w:bookmarkStart w:id="33" w:name="_Toc160606631"/>
      <w:r w:rsidRPr="00D51E87">
        <w:rPr>
          <w:rFonts w:ascii="Arial" w:hAnsi="Arial" w:cs="Arial"/>
          <w:sz w:val="22"/>
          <w:szCs w:val="22"/>
          <w:lang w:val="es-CR"/>
        </w:rPr>
        <w:t xml:space="preserve">El pago se realizará de la siguiente forma para cada año: </w:t>
      </w:r>
    </w:p>
    <w:p w:rsidR="00D51E87" w:rsidRPr="00D51E87" w:rsidRDefault="00D51E87" w:rsidP="00D51E87">
      <w:pPr>
        <w:ind w:left="1440"/>
        <w:jc w:val="both"/>
        <w:rPr>
          <w:rFonts w:ascii="Arial" w:hAnsi="Arial" w:cs="Arial"/>
          <w:sz w:val="22"/>
          <w:szCs w:val="22"/>
          <w:lang w:val="es-CR"/>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469"/>
      </w:tblGrid>
      <w:tr w:rsidR="00D51E87" w:rsidRPr="00D51E87" w:rsidTr="008E6D4D">
        <w:trPr>
          <w:trHeight w:val="296"/>
        </w:trPr>
        <w:tc>
          <w:tcPr>
            <w:tcW w:w="5480" w:type="dxa"/>
            <w:shd w:val="clear" w:color="auto" w:fill="auto"/>
          </w:tcPr>
          <w:p w:rsidR="00D51E87" w:rsidRPr="00D51E87" w:rsidRDefault="00D51E87" w:rsidP="00D51E87">
            <w:pPr>
              <w:jc w:val="center"/>
              <w:rPr>
                <w:rFonts w:ascii="Arial" w:hAnsi="Arial" w:cs="Arial"/>
                <w:b/>
                <w:sz w:val="22"/>
                <w:szCs w:val="22"/>
                <w:lang w:val="es-CR"/>
              </w:rPr>
            </w:pPr>
            <w:r w:rsidRPr="00D51E87">
              <w:rPr>
                <w:rFonts w:ascii="Arial" w:hAnsi="Arial" w:cs="Arial"/>
                <w:b/>
                <w:sz w:val="22"/>
                <w:szCs w:val="22"/>
                <w:lang w:val="es-CR"/>
              </w:rPr>
              <w:t>Informe</w:t>
            </w:r>
          </w:p>
        </w:tc>
        <w:tc>
          <w:tcPr>
            <w:tcW w:w="1469" w:type="dxa"/>
            <w:shd w:val="clear" w:color="auto" w:fill="auto"/>
          </w:tcPr>
          <w:p w:rsidR="00D51E87" w:rsidRPr="00D51E87" w:rsidRDefault="00D51E87" w:rsidP="00D51E87">
            <w:pPr>
              <w:jc w:val="center"/>
              <w:rPr>
                <w:rFonts w:ascii="Arial" w:hAnsi="Arial" w:cs="Arial"/>
                <w:b/>
                <w:sz w:val="22"/>
                <w:szCs w:val="22"/>
                <w:lang w:val="es-CR"/>
              </w:rPr>
            </w:pPr>
            <w:r w:rsidRPr="00D51E87">
              <w:rPr>
                <w:rFonts w:ascii="Arial" w:hAnsi="Arial" w:cs="Arial"/>
                <w:b/>
                <w:sz w:val="22"/>
                <w:szCs w:val="22"/>
                <w:lang w:val="es-CR"/>
              </w:rPr>
              <w:t>Porcentaje</w:t>
            </w:r>
          </w:p>
        </w:tc>
      </w:tr>
      <w:tr w:rsidR="00D51E87" w:rsidRPr="00D51E87" w:rsidTr="008E6D4D">
        <w:trPr>
          <w:trHeight w:val="593"/>
        </w:trPr>
        <w:tc>
          <w:tcPr>
            <w:tcW w:w="5480" w:type="dxa"/>
            <w:shd w:val="clear" w:color="auto" w:fill="auto"/>
          </w:tcPr>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Cartas de Gerencia de I y II visita (30% c/u), incluye informe de Tecnología de Información.</w:t>
            </w:r>
          </w:p>
        </w:tc>
        <w:tc>
          <w:tcPr>
            <w:tcW w:w="1469" w:type="dxa"/>
            <w:shd w:val="clear" w:color="auto" w:fill="auto"/>
          </w:tcPr>
          <w:p w:rsidR="00D51E87" w:rsidRPr="00D51E87" w:rsidRDefault="00D51E87" w:rsidP="00D51E87">
            <w:pPr>
              <w:jc w:val="center"/>
              <w:rPr>
                <w:rFonts w:ascii="Arial" w:hAnsi="Arial" w:cs="Arial"/>
                <w:sz w:val="22"/>
                <w:szCs w:val="22"/>
                <w:lang w:val="es-CR"/>
              </w:rPr>
            </w:pPr>
            <w:r w:rsidRPr="00D51E87">
              <w:rPr>
                <w:rFonts w:ascii="Arial" w:hAnsi="Arial" w:cs="Arial"/>
                <w:sz w:val="22"/>
                <w:szCs w:val="22"/>
                <w:lang w:val="es-CR"/>
              </w:rPr>
              <w:t>60%</w:t>
            </w:r>
          </w:p>
        </w:tc>
      </w:tr>
      <w:tr w:rsidR="00D51E87" w:rsidRPr="00D51E87" w:rsidTr="008E6D4D">
        <w:trPr>
          <w:trHeight w:val="283"/>
        </w:trPr>
        <w:tc>
          <w:tcPr>
            <w:tcW w:w="5480" w:type="dxa"/>
            <w:shd w:val="clear" w:color="auto" w:fill="auto"/>
          </w:tcPr>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Opinión de los Estados Financieros en firme</w:t>
            </w:r>
          </w:p>
        </w:tc>
        <w:tc>
          <w:tcPr>
            <w:tcW w:w="1469" w:type="dxa"/>
            <w:shd w:val="clear" w:color="auto" w:fill="auto"/>
          </w:tcPr>
          <w:p w:rsidR="00D51E87" w:rsidRPr="00D51E87" w:rsidRDefault="00D51E87" w:rsidP="00D51E87">
            <w:pPr>
              <w:jc w:val="center"/>
              <w:rPr>
                <w:rFonts w:ascii="Arial" w:hAnsi="Arial" w:cs="Arial"/>
                <w:sz w:val="22"/>
                <w:szCs w:val="22"/>
                <w:lang w:val="es-CR"/>
              </w:rPr>
            </w:pPr>
            <w:r w:rsidRPr="00D51E87">
              <w:rPr>
                <w:rFonts w:ascii="Arial" w:hAnsi="Arial" w:cs="Arial"/>
                <w:sz w:val="22"/>
                <w:szCs w:val="22"/>
                <w:lang w:val="es-CR"/>
              </w:rPr>
              <w:t>20%</w:t>
            </w:r>
          </w:p>
        </w:tc>
      </w:tr>
      <w:tr w:rsidR="00D51E87" w:rsidRPr="00D51E87" w:rsidTr="008E6D4D">
        <w:trPr>
          <w:trHeight w:val="593"/>
        </w:trPr>
        <w:tc>
          <w:tcPr>
            <w:tcW w:w="5480" w:type="dxa"/>
            <w:shd w:val="clear" w:color="auto" w:fill="auto"/>
          </w:tcPr>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Opinión sobre la revisión de la liquidación presupuestaria en firme</w:t>
            </w:r>
          </w:p>
        </w:tc>
        <w:tc>
          <w:tcPr>
            <w:tcW w:w="1469" w:type="dxa"/>
            <w:shd w:val="clear" w:color="auto" w:fill="auto"/>
          </w:tcPr>
          <w:p w:rsidR="00D51E87" w:rsidRPr="00D51E87" w:rsidRDefault="00D51E87" w:rsidP="00D51E87">
            <w:pPr>
              <w:jc w:val="center"/>
              <w:rPr>
                <w:rFonts w:ascii="Arial" w:hAnsi="Arial" w:cs="Arial"/>
                <w:sz w:val="22"/>
                <w:szCs w:val="22"/>
                <w:lang w:val="es-CR"/>
              </w:rPr>
            </w:pPr>
            <w:r w:rsidRPr="00D51E87">
              <w:rPr>
                <w:rFonts w:ascii="Arial" w:hAnsi="Arial" w:cs="Arial"/>
                <w:sz w:val="22"/>
                <w:szCs w:val="22"/>
                <w:lang w:val="es-CR"/>
              </w:rPr>
              <w:t>20%</w:t>
            </w:r>
          </w:p>
        </w:tc>
      </w:tr>
      <w:tr w:rsidR="00D51E87" w:rsidRPr="00D51E87" w:rsidTr="008E6D4D">
        <w:trPr>
          <w:trHeight w:val="296"/>
        </w:trPr>
        <w:tc>
          <w:tcPr>
            <w:tcW w:w="5480" w:type="dxa"/>
            <w:shd w:val="clear" w:color="auto" w:fill="auto"/>
          </w:tcPr>
          <w:p w:rsidR="00D51E87" w:rsidRPr="00D51E87" w:rsidRDefault="00D51E87" w:rsidP="00D51E87">
            <w:pPr>
              <w:jc w:val="both"/>
              <w:rPr>
                <w:rFonts w:ascii="Arial" w:hAnsi="Arial" w:cs="Arial"/>
                <w:b/>
                <w:sz w:val="22"/>
                <w:szCs w:val="22"/>
                <w:lang w:val="es-CR"/>
              </w:rPr>
            </w:pPr>
            <w:r w:rsidRPr="00D51E87">
              <w:rPr>
                <w:rFonts w:ascii="Arial" w:hAnsi="Arial" w:cs="Arial"/>
                <w:b/>
                <w:sz w:val="22"/>
                <w:szCs w:val="22"/>
                <w:lang w:val="es-CR"/>
              </w:rPr>
              <w:t>Total</w:t>
            </w:r>
          </w:p>
        </w:tc>
        <w:tc>
          <w:tcPr>
            <w:tcW w:w="1469" w:type="dxa"/>
            <w:shd w:val="clear" w:color="auto" w:fill="auto"/>
          </w:tcPr>
          <w:p w:rsidR="00D51E87" w:rsidRPr="00D51E87" w:rsidRDefault="00D51E87" w:rsidP="00D51E87">
            <w:pPr>
              <w:jc w:val="center"/>
              <w:rPr>
                <w:rFonts w:ascii="Arial" w:hAnsi="Arial" w:cs="Arial"/>
                <w:b/>
                <w:sz w:val="22"/>
                <w:szCs w:val="22"/>
                <w:lang w:val="es-CR"/>
              </w:rPr>
            </w:pPr>
            <w:r w:rsidRPr="00D51E87">
              <w:rPr>
                <w:rFonts w:ascii="Arial" w:hAnsi="Arial" w:cs="Arial"/>
                <w:b/>
                <w:sz w:val="22"/>
                <w:szCs w:val="22"/>
                <w:lang w:val="es-CR"/>
              </w:rPr>
              <w:t>100%</w:t>
            </w:r>
          </w:p>
        </w:tc>
      </w:tr>
    </w:tbl>
    <w:p w:rsidR="00D51E87" w:rsidRPr="00D51E87" w:rsidRDefault="00D51E87" w:rsidP="00D51E87">
      <w:pPr>
        <w:ind w:left="720"/>
        <w:jc w:val="both"/>
        <w:rPr>
          <w:rFonts w:ascii="Arial" w:hAnsi="Arial" w:cs="Arial"/>
          <w:sz w:val="22"/>
          <w:szCs w:val="22"/>
          <w:lang w:val="es-CR"/>
        </w:rPr>
      </w:pPr>
    </w:p>
    <w:p w:rsidR="00D51E87" w:rsidRPr="00D51E87" w:rsidRDefault="00D51E87" w:rsidP="00803853">
      <w:pPr>
        <w:numPr>
          <w:ilvl w:val="0"/>
          <w:numId w:val="13"/>
        </w:numPr>
        <w:jc w:val="both"/>
        <w:rPr>
          <w:rFonts w:ascii="Arial" w:hAnsi="Arial" w:cs="Arial"/>
          <w:sz w:val="22"/>
          <w:szCs w:val="22"/>
          <w:lang w:val="es-CR"/>
        </w:rPr>
      </w:pPr>
      <w:r w:rsidRPr="00D51E87">
        <w:rPr>
          <w:rFonts w:ascii="Arial" w:hAnsi="Arial" w:cs="Arial"/>
          <w:sz w:val="22"/>
          <w:szCs w:val="22"/>
          <w:lang w:val="es-CR"/>
        </w:rPr>
        <w:lastRenderedPageBreak/>
        <w:t xml:space="preserve">El pago se efectuará dentro de los 30 días naturales siguientes al recibido de las facturas presentadas a cobro, con el Visto Bueno del Administrador de Contrato, una vez recibidos a satisfacción los informes definitivos por parte del ITCR de acuerdo con el Anexo 1 de entregables. </w:t>
      </w:r>
    </w:p>
    <w:p w:rsidR="00D51E87" w:rsidRPr="00D51E87" w:rsidRDefault="00D51E87" w:rsidP="00803853">
      <w:pPr>
        <w:numPr>
          <w:ilvl w:val="0"/>
          <w:numId w:val="13"/>
        </w:numPr>
        <w:jc w:val="both"/>
        <w:rPr>
          <w:rFonts w:ascii="Arial" w:hAnsi="Arial" w:cs="Arial"/>
          <w:sz w:val="22"/>
          <w:szCs w:val="22"/>
          <w:lang w:val="es-CR"/>
        </w:rPr>
      </w:pPr>
      <w:r w:rsidRPr="00D51E87">
        <w:rPr>
          <w:rFonts w:ascii="Arial" w:hAnsi="Arial" w:cs="Arial"/>
          <w:sz w:val="22"/>
          <w:szCs w:val="22"/>
          <w:lang w:val="es-CR"/>
        </w:rPr>
        <w:t>El pago se realizará por medio de transferencia electrónica a la cuenta corriente o cuenta de ahorros del contratista.</w:t>
      </w:r>
    </w:p>
    <w:p w:rsidR="00D51E87" w:rsidRPr="00D51E87" w:rsidRDefault="00D51E87" w:rsidP="00803853">
      <w:pPr>
        <w:numPr>
          <w:ilvl w:val="0"/>
          <w:numId w:val="13"/>
        </w:numPr>
        <w:jc w:val="both"/>
        <w:rPr>
          <w:rFonts w:ascii="Arial" w:hAnsi="Arial" w:cs="Arial"/>
          <w:sz w:val="22"/>
          <w:szCs w:val="22"/>
          <w:lang w:val="es-CR"/>
        </w:rPr>
      </w:pPr>
      <w:r w:rsidRPr="00D51E87">
        <w:rPr>
          <w:rFonts w:ascii="Arial" w:hAnsi="Arial" w:cs="Arial"/>
          <w:sz w:val="22"/>
          <w:szCs w:val="22"/>
          <w:lang w:val="es-CR"/>
        </w:rPr>
        <w:t xml:space="preserve">Toda transacción deberá de respaldarse con facturas o comprobantes que reúnan los requisitos establecidos por la Dirección General de Tributación Directa. Si la empresa está dispensa del </w:t>
      </w:r>
      <w:proofErr w:type="spellStart"/>
      <w:r w:rsidRPr="00D51E87">
        <w:rPr>
          <w:rFonts w:ascii="Arial" w:hAnsi="Arial" w:cs="Arial"/>
          <w:sz w:val="22"/>
          <w:szCs w:val="22"/>
          <w:lang w:val="es-CR"/>
        </w:rPr>
        <w:t>timbraje</w:t>
      </w:r>
      <w:proofErr w:type="spellEnd"/>
      <w:r w:rsidRPr="00D51E87">
        <w:rPr>
          <w:rFonts w:ascii="Arial" w:hAnsi="Arial" w:cs="Arial"/>
          <w:sz w:val="22"/>
          <w:szCs w:val="22"/>
          <w:lang w:val="es-CR"/>
        </w:rPr>
        <w:t xml:space="preserve"> de facturas, deberá hacer referencia en las mismas al número de resolución que le exime de tal obligación. El ITCR no se responsabiliza por atrasos que pueda sufrir la cancelación de pago por el incumplimiento de estos aspectos.</w:t>
      </w:r>
    </w:p>
    <w:p w:rsidR="00D51E87" w:rsidRPr="00D51E87" w:rsidRDefault="00D51E87" w:rsidP="00803853">
      <w:pPr>
        <w:numPr>
          <w:ilvl w:val="0"/>
          <w:numId w:val="13"/>
        </w:numPr>
        <w:jc w:val="both"/>
        <w:rPr>
          <w:rFonts w:ascii="Arial" w:hAnsi="Arial" w:cs="Arial"/>
          <w:sz w:val="22"/>
          <w:szCs w:val="22"/>
          <w:lang w:val="es-CR"/>
        </w:rPr>
      </w:pPr>
      <w:r w:rsidRPr="00D51E87">
        <w:rPr>
          <w:rFonts w:ascii="Arial" w:hAnsi="Arial" w:cs="Arial"/>
          <w:sz w:val="22"/>
          <w:szCs w:val="22"/>
          <w:lang w:val="es-CR"/>
        </w:rPr>
        <w:t>Toda factura electrónica debe ser remitida al correo electrónico: pagostecapro@tec.ac.cr para su debido trámite</w:t>
      </w:r>
    </w:p>
    <w:p w:rsidR="00D51E87" w:rsidRPr="00D51E87" w:rsidRDefault="00D51E87" w:rsidP="00803853">
      <w:pPr>
        <w:numPr>
          <w:ilvl w:val="0"/>
          <w:numId w:val="13"/>
        </w:numPr>
        <w:jc w:val="both"/>
        <w:rPr>
          <w:rFonts w:ascii="Arial" w:hAnsi="Arial" w:cs="Arial"/>
          <w:sz w:val="22"/>
          <w:szCs w:val="22"/>
          <w:lang w:val="es-CR"/>
        </w:rPr>
      </w:pPr>
      <w:r w:rsidRPr="00D51E87">
        <w:rPr>
          <w:rFonts w:ascii="Arial" w:hAnsi="Arial" w:cs="Arial"/>
          <w:sz w:val="22"/>
          <w:szCs w:val="22"/>
          <w:lang w:val="es-CR"/>
        </w:rPr>
        <w:t>Independiente de la moneda en que se cotice, el oferente deberá aportar la estructura del precio ofertado de conformidad al siguiente desglose:</w:t>
      </w:r>
    </w:p>
    <w:p w:rsidR="00D51E87" w:rsidRPr="00D51E87" w:rsidRDefault="00D51E87" w:rsidP="00D51E87">
      <w:pPr>
        <w:ind w:left="348"/>
        <w:jc w:val="both"/>
        <w:rPr>
          <w:rFonts w:ascii="Arial" w:hAnsi="Arial" w:cs="Arial"/>
          <w:sz w:val="22"/>
          <w:szCs w:val="22"/>
          <w:lang w:val="es-CR"/>
        </w:rPr>
      </w:pPr>
    </w:p>
    <w:p w:rsidR="00D51E87" w:rsidRPr="00D51E87" w:rsidRDefault="00D51E87" w:rsidP="00803853">
      <w:pPr>
        <w:numPr>
          <w:ilvl w:val="0"/>
          <w:numId w:val="16"/>
        </w:numPr>
        <w:jc w:val="both"/>
        <w:rPr>
          <w:rFonts w:ascii="Arial" w:hAnsi="Arial" w:cs="Arial"/>
          <w:sz w:val="22"/>
          <w:szCs w:val="22"/>
          <w:lang w:val="es-CR"/>
        </w:rPr>
      </w:pPr>
      <w:r w:rsidRPr="00D51E87">
        <w:rPr>
          <w:rFonts w:ascii="Arial" w:hAnsi="Arial" w:cs="Arial"/>
          <w:sz w:val="22"/>
          <w:szCs w:val="22"/>
          <w:lang w:val="es-CR"/>
        </w:rPr>
        <w:t>Mano de obra: deberá considerar el detalle de las cargas sociales mínimas establecidas de ley y cualquier otro factor por ustedes incluido en este rubro para cada periodo (contribución patronal, aguinaldo, vacaciones, cuota cesantía, póliza de trabajo del INS)</w:t>
      </w:r>
    </w:p>
    <w:p w:rsidR="00D51E87" w:rsidRPr="00D51E87" w:rsidRDefault="00D51E87" w:rsidP="00803853">
      <w:pPr>
        <w:numPr>
          <w:ilvl w:val="0"/>
          <w:numId w:val="16"/>
        </w:numPr>
        <w:jc w:val="both"/>
        <w:rPr>
          <w:rFonts w:ascii="Arial" w:hAnsi="Arial" w:cs="Arial"/>
          <w:sz w:val="22"/>
          <w:szCs w:val="22"/>
          <w:lang w:val="es-CR"/>
        </w:rPr>
      </w:pPr>
      <w:r w:rsidRPr="00D51E87">
        <w:rPr>
          <w:rFonts w:ascii="Arial" w:hAnsi="Arial" w:cs="Arial"/>
          <w:sz w:val="22"/>
          <w:szCs w:val="22"/>
          <w:lang w:val="es-CR"/>
        </w:rPr>
        <w:t>Insumos</w:t>
      </w:r>
    </w:p>
    <w:p w:rsidR="00D51E87" w:rsidRPr="00D51E87" w:rsidRDefault="00D51E87" w:rsidP="00803853">
      <w:pPr>
        <w:numPr>
          <w:ilvl w:val="0"/>
          <w:numId w:val="16"/>
        </w:numPr>
        <w:jc w:val="both"/>
        <w:rPr>
          <w:rFonts w:ascii="Arial" w:hAnsi="Arial" w:cs="Arial"/>
          <w:sz w:val="22"/>
          <w:szCs w:val="22"/>
          <w:lang w:val="es-CR"/>
        </w:rPr>
      </w:pPr>
      <w:r w:rsidRPr="00D51E87">
        <w:rPr>
          <w:rFonts w:ascii="Arial" w:hAnsi="Arial" w:cs="Arial"/>
          <w:sz w:val="22"/>
          <w:szCs w:val="22"/>
          <w:lang w:val="es-CR"/>
        </w:rPr>
        <w:t>Gastos Administrativos</w:t>
      </w:r>
    </w:p>
    <w:p w:rsidR="00D51E87" w:rsidRPr="00D51E87" w:rsidRDefault="00D51E87" w:rsidP="00803853">
      <w:pPr>
        <w:numPr>
          <w:ilvl w:val="0"/>
          <w:numId w:val="16"/>
        </w:numPr>
        <w:jc w:val="both"/>
        <w:rPr>
          <w:rFonts w:ascii="Arial" w:hAnsi="Arial" w:cs="Arial"/>
          <w:sz w:val="22"/>
          <w:szCs w:val="22"/>
          <w:lang w:val="es-CR"/>
        </w:rPr>
      </w:pPr>
      <w:r w:rsidRPr="00D51E87">
        <w:rPr>
          <w:rFonts w:ascii="Arial" w:hAnsi="Arial" w:cs="Arial"/>
          <w:sz w:val="22"/>
          <w:szCs w:val="22"/>
          <w:lang w:val="es-CR"/>
        </w:rPr>
        <w:t>Utilidad</w:t>
      </w:r>
    </w:p>
    <w:p w:rsidR="00D51E87" w:rsidRPr="00D51E87" w:rsidRDefault="00D51E87" w:rsidP="00D51E87">
      <w:pPr>
        <w:ind w:left="1117"/>
        <w:jc w:val="both"/>
        <w:rPr>
          <w:rFonts w:ascii="Arial" w:hAnsi="Arial" w:cs="Arial"/>
          <w:sz w:val="22"/>
          <w:szCs w:val="22"/>
          <w:lang w:val="es-CR"/>
        </w:rPr>
      </w:pPr>
    </w:p>
    <w:p w:rsidR="00D51E87" w:rsidRPr="00D51E87" w:rsidRDefault="00D51E87" w:rsidP="00803853">
      <w:pPr>
        <w:numPr>
          <w:ilvl w:val="0"/>
          <w:numId w:val="13"/>
        </w:numPr>
        <w:jc w:val="both"/>
        <w:rPr>
          <w:rFonts w:ascii="Arial" w:hAnsi="Arial" w:cs="Arial"/>
          <w:bCs/>
          <w:sz w:val="22"/>
          <w:szCs w:val="22"/>
          <w:lang w:val="es-CR"/>
        </w:rPr>
      </w:pPr>
      <w:r w:rsidRPr="00D51E87">
        <w:rPr>
          <w:rFonts w:ascii="Arial" w:hAnsi="Arial" w:cs="Arial"/>
          <w:bCs/>
          <w:sz w:val="22"/>
          <w:szCs w:val="22"/>
          <w:lang w:val="es-CR"/>
        </w:rPr>
        <w:t xml:space="preserve">El precio deberá consignarse exento de todo tipo de impuesto, dado que el Instituto goza de exoneración según Ley 7293, Artículo Nº. 6, del 31 de marzo de 1992. </w:t>
      </w:r>
    </w:p>
    <w:p w:rsidR="00D51E87" w:rsidRPr="00D51E87" w:rsidRDefault="00D51E87" w:rsidP="00803853">
      <w:pPr>
        <w:numPr>
          <w:ilvl w:val="0"/>
          <w:numId w:val="13"/>
        </w:numPr>
        <w:jc w:val="both"/>
        <w:rPr>
          <w:rFonts w:ascii="Arial" w:hAnsi="Arial" w:cs="Arial"/>
          <w:bCs/>
          <w:sz w:val="22"/>
          <w:szCs w:val="22"/>
          <w:lang w:val="es-CR"/>
        </w:rPr>
      </w:pPr>
      <w:r w:rsidRPr="00D51E87">
        <w:rPr>
          <w:rFonts w:ascii="Arial" w:hAnsi="Arial" w:cs="Arial"/>
          <w:bCs/>
          <w:sz w:val="22"/>
          <w:szCs w:val="22"/>
          <w:lang w:val="es-CR"/>
        </w:rPr>
        <w:t>En todo pago se rebajará un 2% correspondiente al impuesto sobre la renta, de acuerdo con el artículo 3 de la Ley sobre el Impuesto sobre la Renta No. 7092.</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34" w:name="_Toc526433861"/>
      <w:r w:rsidRPr="00D51E87">
        <w:rPr>
          <w:rFonts w:ascii="Arial" w:hAnsi="Arial" w:cs="Arial"/>
          <w:b/>
          <w:bCs/>
          <w:i/>
          <w:iCs/>
          <w:sz w:val="23"/>
          <w:szCs w:val="23"/>
          <w:lang w:val="es-CR"/>
        </w:rPr>
        <w:t>ADJUDICACIÓN</w:t>
      </w:r>
      <w:bookmarkEnd w:id="33"/>
      <w:bookmarkEnd w:id="34"/>
    </w:p>
    <w:p w:rsidR="00D51E87" w:rsidRPr="00D51E87" w:rsidRDefault="00D51E87" w:rsidP="00D51E87">
      <w:pPr>
        <w:jc w:val="both"/>
        <w:rPr>
          <w:rFonts w:ascii="Arial" w:hAnsi="Arial" w:cs="Arial"/>
          <w:sz w:val="22"/>
          <w:szCs w:val="21"/>
          <w:lang w:val="es-CR"/>
        </w:rPr>
      </w:pPr>
      <w:bookmarkStart w:id="35" w:name="_Toc139008994"/>
      <w:bookmarkStart w:id="36" w:name="_Toc160606632"/>
      <w:r w:rsidRPr="00D51E87">
        <w:rPr>
          <w:rFonts w:ascii="Arial" w:hAnsi="Arial" w:cs="Arial"/>
          <w:sz w:val="22"/>
          <w:szCs w:val="21"/>
          <w:lang w:val="es-CR"/>
        </w:rPr>
        <w:t>El Instituto procederá a adjudicar dentro de los veinte (20) días hábiles siguientes a la apertura de las ofertas.</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37" w:name="_Toc485630340"/>
      <w:bookmarkStart w:id="38" w:name="_Toc526433862"/>
      <w:r w:rsidRPr="00D51E87">
        <w:rPr>
          <w:rFonts w:ascii="Arial" w:hAnsi="Arial" w:cs="Arial"/>
          <w:b/>
          <w:bCs/>
          <w:i/>
          <w:iCs/>
          <w:sz w:val="23"/>
          <w:szCs w:val="23"/>
          <w:lang w:val="es-CR"/>
        </w:rPr>
        <w:t>ESPECIES FISCALES</w:t>
      </w:r>
      <w:bookmarkEnd w:id="37"/>
      <w:bookmarkEnd w:id="38"/>
    </w:p>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El Instituto de conformidad con el artículo 9 de la Ley 6321 se encuentra exento del pago de especies fiscales.</w:t>
      </w:r>
    </w:p>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El Contratista deberá cancelar un monto equivalente al resultado de la siguiente ecuación:</w:t>
      </w:r>
    </w:p>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E*0,0025+625</w:t>
      </w:r>
    </w:p>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Dónde: E= valor adjudicado</w:t>
      </w:r>
    </w:p>
    <w:p w:rsidR="00D51E87" w:rsidRPr="00D51E87" w:rsidRDefault="00D51E87" w:rsidP="00D51E87">
      <w:pPr>
        <w:jc w:val="both"/>
        <w:rPr>
          <w:rFonts w:ascii="Arial" w:hAnsi="Arial" w:cs="Arial"/>
          <w:sz w:val="22"/>
          <w:szCs w:val="22"/>
          <w:lang w:val="es-CR"/>
        </w:rPr>
      </w:pPr>
      <w:r w:rsidRPr="00D51E87">
        <w:rPr>
          <w:rFonts w:ascii="Arial" w:hAnsi="Arial" w:cs="Arial"/>
          <w:sz w:val="22"/>
          <w:szCs w:val="22"/>
          <w:lang w:val="es-CR"/>
        </w:rPr>
        <w:t>¢625 por reintegro</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39" w:name="_Toc295313139"/>
      <w:bookmarkStart w:id="40" w:name="_Toc526433863"/>
      <w:bookmarkStart w:id="41" w:name="_Toc222043651"/>
      <w:bookmarkStart w:id="42" w:name="_Toc222043684"/>
      <w:bookmarkStart w:id="43" w:name="_Toc228182552"/>
      <w:bookmarkEnd w:id="13"/>
      <w:bookmarkEnd w:id="35"/>
      <w:bookmarkEnd w:id="36"/>
      <w:r w:rsidRPr="00D51E87">
        <w:rPr>
          <w:rFonts w:ascii="Arial" w:hAnsi="Arial" w:cs="Arial"/>
          <w:b/>
          <w:bCs/>
          <w:i/>
          <w:iCs/>
          <w:sz w:val="23"/>
          <w:szCs w:val="23"/>
          <w:lang w:val="es-CR"/>
        </w:rPr>
        <w:t>GARANTÍA</w:t>
      </w:r>
      <w:bookmarkEnd w:id="39"/>
      <w:r w:rsidRPr="00D51E87">
        <w:rPr>
          <w:rFonts w:ascii="Arial" w:hAnsi="Arial" w:cs="Arial"/>
          <w:b/>
          <w:bCs/>
          <w:i/>
          <w:iCs/>
          <w:sz w:val="23"/>
          <w:szCs w:val="23"/>
          <w:lang w:val="es-CR"/>
        </w:rPr>
        <w:t xml:space="preserve"> DE CUMPLIMIENTO</w:t>
      </w:r>
      <w:bookmarkEnd w:id="40"/>
    </w:p>
    <w:p w:rsidR="00D51E87" w:rsidRPr="00D51E87" w:rsidRDefault="00D51E87" w:rsidP="00D51E87">
      <w:pPr>
        <w:jc w:val="both"/>
        <w:rPr>
          <w:rFonts w:ascii="Arial" w:hAnsi="Arial" w:cs="Arial"/>
          <w:sz w:val="22"/>
          <w:szCs w:val="21"/>
          <w:lang w:val="es-CR"/>
        </w:rPr>
      </w:pPr>
      <w:r w:rsidRPr="00D51E87">
        <w:rPr>
          <w:rFonts w:ascii="Arial" w:hAnsi="Arial" w:cs="Arial"/>
          <w:sz w:val="22"/>
          <w:szCs w:val="21"/>
          <w:lang w:val="es-CR"/>
        </w:rPr>
        <w:t>El adjudicatario debe presentar una garantía de cumplimiento de un 5% del total adjudicado, con una vigencia de cuarenta y cinco (45) días hábiles, adicionales al plazo de entrega indicado.</w:t>
      </w:r>
    </w:p>
    <w:p w:rsidR="00D51E87" w:rsidRPr="00D51E87" w:rsidRDefault="00D51E87" w:rsidP="00D51E87">
      <w:pPr>
        <w:jc w:val="both"/>
        <w:rPr>
          <w:rFonts w:ascii="Arial" w:hAnsi="Arial" w:cs="Arial"/>
          <w:sz w:val="22"/>
          <w:szCs w:val="21"/>
          <w:lang w:val="es-CR"/>
        </w:rPr>
      </w:pPr>
      <w:r w:rsidRPr="00D51E87">
        <w:rPr>
          <w:rFonts w:ascii="Arial" w:hAnsi="Arial" w:cs="Arial"/>
          <w:sz w:val="22"/>
          <w:szCs w:val="21"/>
          <w:lang w:val="es-CR"/>
        </w:rPr>
        <w:t xml:space="preserve">En caso de presentarse un recurso en contra del acto de adjudicación, o que el adjudicatario no rindiere la garantía de cumplimiento, los oferentes que deseen conservar su interés legítimo, debe mantener, y si fuera del caso prorrogar la vigencia de sus ofertas hasta tanto la adjudicación o </w:t>
      </w:r>
      <w:proofErr w:type="spellStart"/>
      <w:r w:rsidRPr="00D51E87">
        <w:rPr>
          <w:rFonts w:ascii="Arial" w:hAnsi="Arial" w:cs="Arial"/>
          <w:sz w:val="22"/>
          <w:szCs w:val="21"/>
          <w:lang w:val="es-CR"/>
        </w:rPr>
        <w:t>readjudicación</w:t>
      </w:r>
      <w:proofErr w:type="spellEnd"/>
      <w:r w:rsidRPr="00D51E87">
        <w:rPr>
          <w:rFonts w:ascii="Arial" w:hAnsi="Arial" w:cs="Arial"/>
          <w:sz w:val="22"/>
          <w:szCs w:val="21"/>
          <w:lang w:val="es-CR"/>
        </w:rPr>
        <w:t xml:space="preserve"> adquiera firmeza en vía administrativa, o se declare desierto el concurso. </w:t>
      </w:r>
    </w:p>
    <w:p w:rsidR="00D51E87" w:rsidRPr="00D51E87" w:rsidRDefault="00D51E87" w:rsidP="00D51E87">
      <w:pPr>
        <w:jc w:val="both"/>
        <w:rPr>
          <w:rFonts w:ascii="Arial" w:hAnsi="Arial" w:cs="Arial"/>
          <w:sz w:val="22"/>
          <w:szCs w:val="21"/>
          <w:lang w:val="es-CR"/>
        </w:rPr>
      </w:pPr>
      <w:r w:rsidRPr="00D51E87">
        <w:rPr>
          <w:rFonts w:ascii="Arial" w:hAnsi="Arial" w:cs="Arial"/>
          <w:sz w:val="22"/>
          <w:szCs w:val="21"/>
          <w:lang w:val="es-CR"/>
        </w:rPr>
        <w:t>La garantía de cumplimiento debe ser rendida, según lo indicado en el Artículo Nº 42 del Reglamento de la Ley de Contratación Administrativa.</w:t>
      </w:r>
    </w:p>
    <w:p w:rsidR="00D51E87" w:rsidRPr="00D51E87" w:rsidRDefault="00D51E87" w:rsidP="00D51E87">
      <w:pPr>
        <w:jc w:val="both"/>
        <w:rPr>
          <w:rFonts w:ascii="Arial" w:hAnsi="Arial" w:cs="Arial"/>
          <w:sz w:val="22"/>
          <w:szCs w:val="21"/>
          <w:lang w:val="es-CR"/>
        </w:rPr>
      </w:pPr>
    </w:p>
    <w:p w:rsidR="00D51E87" w:rsidRPr="00D51E87" w:rsidRDefault="00D51E87" w:rsidP="00D51E87">
      <w:pPr>
        <w:jc w:val="both"/>
        <w:rPr>
          <w:rFonts w:ascii="Arial" w:hAnsi="Arial" w:cs="Arial"/>
          <w:b/>
          <w:sz w:val="22"/>
          <w:szCs w:val="21"/>
          <w:lang w:val="es-CR"/>
        </w:rPr>
      </w:pPr>
      <w:r w:rsidRPr="00D51E87">
        <w:rPr>
          <w:rFonts w:ascii="Arial" w:hAnsi="Arial" w:cs="Arial"/>
          <w:b/>
          <w:sz w:val="22"/>
          <w:szCs w:val="21"/>
          <w:lang w:val="es-CR"/>
        </w:rPr>
        <w:t>Devolución de la garantía</w:t>
      </w:r>
    </w:p>
    <w:p w:rsidR="00D51E87" w:rsidRPr="00D51E87" w:rsidRDefault="00D51E87" w:rsidP="00D51E87">
      <w:pPr>
        <w:jc w:val="both"/>
        <w:rPr>
          <w:rFonts w:ascii="Arial" w:hAnsi="Arial" w:cs="Arial"/>
          <w:sz w:val="22"/>
          <w:szCs w:val="21"/>
          <w:lang w:val="es-CR"/>
        </w:rPr>
      </w:pPr>
      <w:r w:rsidRPr="00D51E87">
        <w:rPr>
          <w:rFonts w:ascii="Arial" w:hAnsi="Arial" w:cs="Arial"/>
          <w:sz w:val="22"/>
          <w:szCs w:val="21"/>
          <w:lang w:val="es-CR"/>
        </w:rPr>
        <w:t xml:space="preserve">Los interesados deben solicitar la devolución de la garantía mediante nota dirigida al Departamento de Aprovisionamiento, en la cual indicarán el número de concurso, número de recibo, monto y tipo de garantía. Dicha solicitud debe venir firmada por la persona que suscribió la oferta. </w:t>
      </w:r>
    </w:p>
    <w:p w:rsidR="00D51E87" w:rsidRPr="00D51E87" w:rsidRDefault="00D51E87" w:rsidP="00D51E87">
      <w:pPr>
        <w:jc w:val="both"/>
        <w:rPr>
          <w:rFonts w:ascii="Arial" w:hAnsi="Arial" w:cs="Arial"/>
          <w:sz w:val="22"/>
          <w:szCs w:val="21"/>
          <w:lang w:val="es-CR"/>
        </w:rPr>
      </w:pPr>
      <w:r w:rsidRPr="00D51E87">
        <w:rPr>
          <w:rFonts w:ascii="Arial" w:hAnsi="Arial" w:cs="Arial"/>
          <w:sz w:val="22"/>
          <w:szCs w:val="21"/>
          <w:lang w:val="es-CR"/>
        </w:rPr>
        <w:t>La garantía de cumplimiento será devuelta dentro de los 20 días hábiles siguientes a la recepción definitiva del Equipo.</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44" w:name="_Toc526433864"/>
      <w:r w:rsidRPr="00D51E87">
        <w:rPr>
          <w:rFonts w:ascii="Arial" w:hAnsi="Arial" w:cs="Arial"/>
          <w:b/>
          <w:bCs/>
          <w:i/>
          <w:iCs/>
          <w:sz w:val="23"/>
          <w:szCs w:val="23"/>
          <w:lang w:val="es-CR"/>
        </w:rPr>
        <w:t>CONTRATO</w:t>
      </w:r>
      <w:bookmarkEnd w:id="44"/>
    </w:p>
    <w:p w:rsidR="00D51E87" w:rsidRPr="00D51E87" w:rsidRDefault="00D51E87" w:rsidP="00803853">
      <w:pPr>
        <w:numPr>
          <w:ilvl w:val="0"/>
          <w:numId w:val="40"/>
        </w:numPr>
        <w:contextualSpacing/>
        <w:jc w:val="both"/>
        <w:rPr>
          <w:rFonts w:ascii="Arial" w:hAnsi="Arial" w:cs="Arial"/>
          <w:sz w:val="22"/>
          <w:szCs w:val="22"/>
          <w:lang w:val="es-CR"/>
        </w:rPr>
      </w:pPr>
      <w:r w:rsidRPr="00D51E87">
        <w:rPr>
          <w:rFonts w:ascii="Arial" w:hAnsi="Arial" w:cs="Arial"/>
          <w:sz w:val="22"/>
          <w:szCs w:val="22"/>
          <w:lang w:val="es-CR"/>
        </w:rPr>
        <w:t>El adjudicatario debe comparecer a formalizar el contrato a más tardar dentro de los tres (3) días hábiles siguientes a la comunicación de la adjudicación y superado el tiempo de revocatoria.</w:t>
      </w:r>
    </w:p>
    <w:p w:rsidR="00D51E87" w:rsidRPr="00D51E87" w:rsidRDefault="00D51E87" w:rsidP="00803853">
      <w:pPr>
        <w:numPr>
          <w:ilvl w:val="0"/>
          <w:numId w:val="40"/>
        </w:numPr>
        <w:contextualSpacing/>
        <w:jc w:val="both"/>
        <w:rPr>
          <w:rFonts w:ascii="Arial" w:hAnsi="Arial" w:cs="Arial"/>
          <w:sz w:val="22"/>
          <w:szCs w:val="22"/>
          <w:lang w:val="es-CR"/>
        </w:rPr>
      </w:pPr>
      <w:r w:rsidRPr="00D51E87">
        <w:rPr>
          <w:rFonts w:ascii="Arial" w:hAnsi="Arial" w:cs="Arial"/>
          <w:sz w:val="22"/>
          <w:szCs w:val="22"/>
          <w:lang w:val="es-CR"/>
        </w:rPr>
        <w:t xml:space="preserve">El plazo del contrato será por un periodo de un año dando inicio una vez firmada el acta de inicio, prorrogable por tres periodos iguales a solicitud del ITCR, para un máximo de cuatro años incluyendo el plazo original y las prórrogas. </w:t>
      </w:r>
    </w:p>
    <w:p w:rsidR="00D51E87" w:rsidRPr="00D51E87" w:rsidRDefault="00D51E87" w:rsidP="00803853">
      <w:pPr>
        <w:numPr>
          <w:ilvl w:val="0"/>
          <w:numId w:val="40"/>
        </w:numPr>
        <w:contextualSpacing/>
        <w:jc w:val="both"/>
        <w:rPr>
          <w:rFonts w:ascii="Arial" w:hAnsi="Arial" w:cs="Arial"/>
          <w:b/>
          <w:sz w:val="22"/>
          <w:szCs w:val="22"/>
          <w:lang w:val="es-CR"/>
        </w:rPr>
      </w:pPr>
      <w:r w:rsidRPr="00D51E87">
        <w:rPr>
          <w:rFonts w:ascii="Arial" w:hAnsi="Arial" w:cs="Arial"/>
          <w:b/>
          <w:sz w:val="22"/>
          <w:szCs w:val="22"/>
          <w:lang w:val="es-CR"/>
        </w:rPr>
        <w:t>En caso de proceder la prórroga, será para realizar los servicios de auditoría de los años siguientes: 2019, 2020 y 2021 según corresponda.</w:t>
      </w:r>
    </w:p>
    <w:p w:rsidR="00D51E87" w:rsidRPr="00D51E87" w:rsidRDefault="00D51E87" w:rsidP="00803853">
      <w:pPr>
        <w:numPr>
          <w:ilvl w:val="0"/>
          <w:numId w:val="40"/>
        </w:numPr>
        <w:contextualSpacing/>
        <w:jc w:val="both"/>
        <w:rPr>
          <w:rFonts w:ascii="Arial" w:hAnsi="Arial" w:cs="Arial"/>
          <w:sz w:val="22"/>
          <w:szCs w:val="22"/>
          <w:lang w:val="es-CR"/>
        </w:rPr>
      </w:pPr>
      <w:r w:rsidRPr="00D51E87">
        <w:rPr>
          <w:rFonts w:ascii="Arial" w:hAnsi="Arial" w:cs="Arial"/>
          <w:sz w:val="22"/>
          <w:szCs w:val="22"/>
          <w:lang w:val="es-CR"/>
        </w:rPr>
        <w:t>Las prórrogas serán facultativas de la Vicerrectoría de Administración siempre y cuando se considere que las labores realizadas durante el periodo fueron satisfactorias y se dispone de los recursos económicos.</w:t>
      </w:r>
    </w:p>
    <w:p w:rsidR="00D51E87" w:rsidRPr="00D51E87" w:rsidRDefault="00D51E87" w:rsidP="00803853">
      <w:pPr>
        <w:numPr>
          <w:ilvl w:val="0"/>
          <w:numId w:val="40"/>
        </w:numPr>
        <w:contextualSpacing/>
        <w:jc w:val="both"/>
        <w:rPr>
          <w:rFonts w:ascii="Arial" w:hAnsi="Arial" w:cs="Arial"/>
          <w:sz w:val="22"/>
          <w:szCs w:val="22"/>
          <w:lang w:val="es-CR"/>
        </w:rPr>
      </w:pPr>
      <w:r w:rsidRPr="00D51E87">
        <w:rPr>
          <w:rFonts w:ascii="Arial" w:hAnsi="Arial" w:cs="Arial"/>
          <w:sz w:val="22"/>
          <w:szCs w:val="22"/>
          <w:lang w:val="es-CR"/>
        </w:rPr>
        <w:t xml:space="preserve">La solicitud de prorrogar o no el contrato, quedará condicionada a la presentación de los productos requeridos en esta contratación y a satisfacción de la Institución. La misma se realizará al menos un mes de anticipo al vencimiento del período de ejecución, de forma escrita y deberá </w:t>
      </w:r>
      <w:r w:rsidRPr="00D51E87">
        <w:rPr>
          <w:rFonts w:ascii="Arial" w:hAnsi="Arial" w:cs="Arial"/>
          <w:sz w:val="22"/>
          <w:szCs w:val="21"/>
          <w:lang w:val="es-CR"/>
        </w:rPr>
        <w:t>constar en el expediente respectivo.</w:t>
      </w:r>
    </w:p>
    <w:p w:rsidR="00D51E87" w:rsidRPr="00D51E87" w:rsidRDefault="00D51E87" w:rsidP="00803853">
      <w:pPr>
        <w:numPr>
          <w:ilvl w:val="0"/>
          <w:numId w:val="40"/>
        </w:numPr>
        <w:contextualSpacing/>
        <w:jc w:val="both"/>
        <w:rPr>
          <w:rFonts w:ascii="Arial" w:hAnsi="Arial" w:cs="Arial"/>
          <w:sz w:val="22"/>
          <w:szCs w:val="22"/>
          <w:lang w:val="es-CR"/>
        </w:rPr>
      </w:pPr>
      <w:r w:rsidRPr="00D51E87">
        <w:rPr>
          <w:rFonts w:ascii="Arial" w:hAnsi="Arial" w:cs="Arial"/>
          <w:sz w:val="22"/>
          <w:szCs w:val="22"/>
          <w:lang w:val="es-CR"/>
        </w:rPr>
        <w:t>La ejecución contractual inicia una vez se coordine con la Vicerrectoría de Administración y el Contratista, la suscripción del Acta de Inicio en el plazo acordado. Una vez firmada el Acta de Inicio se procede a proveer en el plazo indicado en el Anexo los informes correspondientes.</w:t>
      </w:r>
    </w:p>
    <w:p w:rsidR="00D51E87" w:rsidRPr="00D51E87" w:rsidRDefault="00D51E87" w:rsidP="00803853">
      <w:pPr>
        <w:numPr>
          <w:ilvl w:val="0"/>
          <w:numId w:val="40"/>
        </w:numPr>
        <w:contextualSpacing/>
        <w:jc w:val="both"/>
        <w:rPr>
          <w:rFonts w:ascii="Arial" w:hAnsi="Arial" w:cs="Arial"/>
          <w:sz w:val="22"/>
          <w:szCs w:val="21"/>
          <w:lang w:val="es-CR"/>
        </w:rPr>
      </w:pPr>
      <w:r w:rsidRPr="00D51E87">
        <w:rPr>
          <w:rFonts w:ascii="Arial" w:hAnsi="Arial" w:cs="Arial"/>
          <w:sz w:val="22"/>
          <w:szCs w:val="21"/>
          <w:lang w:val="es-CR"/>
        </w:rPr>
        <w:t>El plazo de la contratación podrá ser suspendido a solicitud del ITCR previa coordinación entre las partes.</w:t>
      </w:r>
    </w:p>
    <w:p w:rsidR="00D51E87" w:rsidRPr="00D51E87" w:rsidRDefault="00D51E87" w:rsidP="00803853">
      <w:pPr>
        <w:numPr>
          <w:ilvl w:val="0"/>
          <w:numId w:val="40"/>
        </w:numPr>
        <w:contextualSpacing/>
        <w:jc w:val="both"/>
        <w:rPr>
          <w:rFonts w:ascii="Arial" w:hAnsi="Arial" w:cs="Arial"/>
          <w:sz w:val="22"/>
          <w:szCs w:val="21"/>
          <w:lang w:val="es-CR"/>
        </w:rPr>
      </w:pPr>
      <w:r w:rsidRPr="00D51E87">
        <w:rPr>
          <w:rFonts w:ascii="Arial" w:hAnsi="Arial" w:cs="Arial"/>
          <w:sz w:val="22"/>
          <w:szCs w:val="21"/>
          <w:lang w:val="es-CR"/>
        </w:rPr>
        <w:t>Siempre que fuere necesario, el ITCR podrá aplicar las disposiciones referidas a la rescisión y resolución contractual, de conformidad con lo establecido en los artículos 11 de la Ley de Contratación Administrativa y así como 212 y 214 de su Reglamento.</w:t>
      </w:r>
    </w:p>
    <w:p w:rsidR="00D51E87" w:rsidRPr="00D51E87" w:rsidRDefault="00D51E87" w:rsidP="00803853">
      <w:pPr>
        <w:keepNext/>
        <w:numPr>
          <w:ilvl w:val="0"/>
          <w:numId w:val="8"/>
        </w:numPr>
        <w:tabs>
          <w:tab w:val="left" w:pos="360"/>
        </w:tabs>
        <w:spacing w:before="240" w:after="60"/>
        <w:ind w:left="540" w:hanging="540"/>
        <w:jc w:val="both"/>
        <w:outlineLvl w:val="1"/>
        <w:rPr>
          <w:rFonts w:ascii="Arial" w:hAnsi="Arial" w:cs="Arial"/>
          <w:b/>
          <w:bCs/>
          <w:iCs/>
          <w:sz w:val="23"/>
          <w:szCs w:val="23"/>
          <w:lang w:val="es-CR"/>
        </w:rPr>
      </w:pPr>
      <w:bookmarkStart w:id="45" w:name="_Toc160606633"/>
      <w:bookmarkStart w:id="46" w:name="_Toc127761381"/>
      <w:bookmarkStart w:id="47" w:name="_Toc160606636"/>
      <w:bookmarkStart w:id="48" w:name="_Toc356311861"/>
      <w:bookmarkStart w:id="49" w:name="_Toc356377655"/>
      <w:bookmarkStart w:id="50" w:name="_Toc367861416"/>
      <w:bookmarkStart w:id="51" w:name="_Toc526433865"/>
      <w:r w:rsidRPr="00D51E87">
        <w:rPr>
          <w:rFonts w:ascii="Arial" w:hAnsi="Arial" w:cs="Arial"/>
          <w:b/>
          <w:bCs/>
          <w:i/>
          <w:iCs/>
          <w:sz w:val="23"/>
          <w:szCs w:val="23"/>
          <w:lang w:val="es-CR"/>
        </w:rPr>
        <w:t>DERECHOS DEL INSTITUTO</w:t>
      </w:r>
      <w:bookmarkEnd w:id="47"/>
      <w:bookmarkEnd w:id="48"/>
      <w:bookmarkEnd w:id="49"/>
      <w:bookmarkEnd w:id="50"/>
      <w:bookmarkEnd w:id="51"/>
    </w:p>
    <w:p w:rsidR="00D51E87" w:rsidRPr="00D51E87" w:rsidRDefault="00D51E87" w:rsidP="00D51E87">
      <w:pPr>
        <w:jc w:val="both"/>
        <w:rPr>
          <w:rFonts w:ascii="Arial" w:hAnsi="Arial" w:cs="Arial"/>
          <w:sz w:val="21"/>
          <w:szCs w:val="21"/>
          <w:lang w:val="es-CR"/>
        </w:rPr>
      </w:pPr>
      <w:r w:rsidRPr="00D51E87">
        <w:rPr>
          <w:rFonts w:ascii="Arial" w:hAnsi="Arial" w:cs="Arial"/>
          <w:sz w:val="21"/>
          <w:szCs w:val="21"/>
          <w:lang w:val="es-CR"/>
        </w:rPr>
        <w:t xml:space="preserve">El oferente autoriza expresamente al Departamento de Aprovisionamiento para que verifique si toda la información brindada por él en su oferta se ajusta a la realidad. </w:t>
      </w:r>
    </w:p>
    <w:p w:rsidR="00D51E87" w:rsidRPr="00D51E87" w:rsidRDefault="00D51E87" w:rsidP="00D51E87">
      <w:pPr>
        <w:jc w:val="both"/>
        <w:rPr>
          <w:rFonts w:ascii="Arial" w:hAnsi="Arial" w:cs="Arial"/>
          <w:b/>
          <w:sz w:val="21"/>
          <w:szCs w:val="21"/>
          <w:lang w:val="es-CR"/>
        </w:rPr>
      </w:pPr>
    </w:p>
    <w:p w:rsidR="00D51E87" w:rsidRPr="00D51E87" w:rsidRDefault="00D51E87" w:rsidP="00D51E87">
      <w:pPr>
        <w:jc w:val="both"/>
        <w:rPr>
          <w:rFonts w:ascii="Arial" w:hAnsi="Arial" w:cs="Arial"/>
          <w:b/>
          <w:sz w:val="21"/>
          <w:szCs w:val="21"/>
          <w:lang w:val="es-CR"/>
        </w:rPr>
      </w:pPr>
      <w:r w:rsidRPr="00D51E87">
        <w:rPr>
          <w:rFonts w:ascii="Arial" w:hAnsi="Arial" w:cs="Arial"/>
          <w:b/>
          <w:sz w:val="21"/>
          <w:szCs w:val="21"/>
          <w:lang w:val="es-CR"/>
        </w:rPr>
        <w:t>Si se detecta que alguna de la información consignada por el oferente es falsa, será excluida automáticamente del proceso de contratación.</w:t>
      </w:r>
    </w:p>
    <w:p w:rsidR="00D51E87" w:rsidRPr="00D51E87" w:rsidRDefault="00D51E87" w:rsidP="00D51E87">
      <w:pPr>
        <w:keepNext/>
        <w:tabs>
          <w:tab w:val="left" w:pos="360"/>
        </w:tabs>
        <w:spacing w:before="240" w:after="60"/>
        <w:jc w:val="both"/>
        <w:outlineLvl w:val="1"/>
        <w:rPr>
          <w:rFonts w:ascii="Arial" w:hAnsi="Arial" w:cs="Arial"/>
          <w:b/>
          <w:bCs/>
          <w:iCs/>
          <w:sz w:val="23"/>
          <w:szCs w:val="23"/>
          <w:lang w:val="es-CR"/>
        </w:rPr>
      </w:pPr>
      <w:bookmarkStart w:id="52" w:name="_Toc526433866"/>
      <w:bookmarkEnd w:id="45"/>
      <w:bookmarkEnd w:id="46"/>
      <w:r w:rsidRPr="00D51E87">
        <w:rPr>
          <w:rFonts w:ascii="Arial" w:hAnsi="Arial" w:cs="Arial"/>
          <w:b/>
          <w:bCs/>
          <w:i/>
          <w:iCs/>
          <w:sz w:val="23"/>
          <w:szCs w:val="23"/>
          <w:lang w:val="es-CR"/>
        </w:rPr>
        <w:t>CONDICIONES ESPECÍFICAS</w:t>
      </w:r>
      <w:bookmarkEnd w:id="52"/>
    </w:p>
    <w:p w:rsidR="00D51E87" w:rsidRPr="00D51E87" w:rsidRDefault="00D51E87" w:rsidP="00803853">
      <w:pPr>
        <w:keepNext/>
        <w:numPr>
          <w:ilvl w:val="0"/>
          <w:numId w:val="9"/>
        </w:numPr>
        <w:tabs>
          <w:tab w:val="left" w:pos="360"/>
        </w:tabs>
        <w:suppressAutoHyphens/>
        <w:spacing w:before="240" w:after="60"/>
        <w:jc w:val="both"/>
        <w:outlineLvl w:val="1"/>
        <w:rPr>
          <w:rFonts w:ascii="Arial" w:hAnsi="Arial" w:cs="Arial"/>
          <w:b/>
          <w:bCs/>
          <w:iCs/>
          <w:sz w:val="22"/>
          <w:szCs w:val="22"/>
          <w:lang w:val="es-CR"/>
        </w:rPr>
      </w:pPr>
      <w:bookmarkStart w:id="53" w:name="_Toc260666750"/>
      <w:bookmarkStart w:id="54" w:name="_Toc526433867"/>
      <w:r w:rsidRPr="00D51E87">
        <w:rPr>
          <w:rFonts w:ascii="Arial" w:hAnsi="Arial" w:cs="Arial"/>
          <w:b/>
          <w:bCs/>
          <w:i/>
          <w:iCs/>
          <w:sz w:val="22"/>
          <w:szCs w:val="22"/>
          <w:lang w:val="es-CR"/>
        </w:rPr>
        <w:t>ESPECIFICACIONES TECNICAS</w:t>
      </w:r>
      <w:bookmarkEnd w:id="53"/>
      <w:bookmarkEnd w:id="54"/>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55" w:name="_Toc526433868"/>
      <w:r w:rsidRPr="00D51E87">
        <w:rPr>
          <w:rFonts w:ascii="Arial" w:hAnsi="Arial" w:cs="Arial"/>
          <w:b/>
          <w:bCs/>
          <w:i/>
          <w:iCs/>
          <w:sz w:val="22"/>
          <w:szCs w:val="22"/>
          <w:lang w:val="es-CR"/>
        </w:rPr>
        <w:t>OBJETIVO Y ALCANCE DE LOS SERVICIOS DE AUDITORIA</w:t>
      </w:r>
      <w:bookmarkEnd w:id="55"/>
    </w:p>
    <w:p w:rsidR="00D51E87" w:rsidRPr="00D51E87" w:rsidRDefault="00D51E87" w:rsidP="00D51E87">
      <w:pPr>
        <w:rPr>
          <w:sz w:val="10"/>
          <w:szCs w:val="10"/>
          <w:lang w:val="es-CR"/>
        </w:rPr>
      </w:pPr>
    </w:p>
    <w:p w:rsidR="00D51E87" w:rsidRPr="00D51E87" w:rsidRDefault="00D51E87" w:rsidP="00D51E87">
      <w:pPr>
        <w:ind w:left="357"/>
        <w:jc w:val="both"/>
        <w:rPr>
          <w:rFonts w:ascii="Arial" w:hAnsi="Arial" w:cs="Arial"/>
          <w:sz w:val="22"/>
          <w:szCs w:val="22"/>
          <w:lang w:val="es-EC"/>
        </w:rPr>
      </w:pPr>
      <w:r w:rsidRPr="00D51E87">
        <w:rPr>
          <w:rFonts w:ascii="Arial" w:hAnsi="Arial" w:cs="Arial"/>
          <w:sz w:val="22"/>
          <w:szCs w:val="22"/>
          <w:lang w:val="es-EC"/>
        </w:rPr>
        <w:t xml:space="preserve">El Instituto Tecnológico de Costa Rica en adelante (ITCR ) requiere contratar los servicios de Auditoria Externa para que realice la auditoria anual y brinde la opinión del Contador Público Independiente de los Estados Financieros y sus notas, en relación con las Normas Internacionales de Contabilidad para el Sector Público (NICSP), en acatamiento al Decreto Ejecutivo 34918-H “Adopción e Implementación de las Normas Internacionales de Contabilidad del Sector Público (NICSP), en el Ámbito Costarricense”, publicado en el Diario Oficial La Gaceta #238 del 09 de diciembre de 2008 y sus reformas,  Plan de </w:t>
      </w:r>
      <w:r w:rsidRPr="00D51E87">
        <w:rPr>
          <w:rFonts w:ascii="Arial" w:hAnsi="Arial" w:cs="Arial"/>
          <w:sz w:val="22"/>
          <w:szCs w:val="22"/>
          <w:lang w:val="es-EC"/>
        </w:rPr>
        <w:lastRenderedPageBreak/>
        <w:t>Cuentas Contables emitido por la Dirección General de Contabilidad Nacional (DGCN), Políticas Contables Específicas emitidas para el ITCR así como las Disposiciones Generales establecidas por la DGCN como Órgano Rector del Subsistema de Contabilidad y demás normativa emitida por la DGCN.</w:t>
      </w:r>
    </w:p>
    <w:p w:rsidR="00D51E87" w:rsidRPr="00D51E87" w:rsidRDefault="00D51E87" w:rsidP="00D51E87">
      <w:pPr>
        <w:ind w:left="357"/>
        <w:jc w:val="both"/>
        <w:rPr>
          <w:rFonts w:ascii="Arial" w:hAnsi="Arial" w:cs="Arial"/>
          <w:sz w:val="10"/>
          <w:szCs w:val="10"/>
          <w:lang w:val="es-EC"/>
        </w:rPr>
      </w:pPr>
    </w:p>
    <w:p w:rsidR="00D51E87" w:rsidRPr="00D51E87" w:rsidRDefault="00D51E87" w:rsidP="00D51E87">
      <w:pPr>
        <w:ind w:left="357"/>
        <w:jc w:val="both"/>
        <w:rPr>
          <w:rFonts w:ascii="Arial" w:hAnsi="Arial" w:cs="Arial"/>
          <w:sz w:val="22"/>
          <w:szCs w:val="22"/>
          <w:lang w:val="es-EC"/>
        </w:rPr>
      </w:pPr>
      <w:r w:rsidRPr="00D51E87">
        <w:rPr>
          <w:rFonts w:ascii="Arial" w:hAnsi="Arial" w:cs="Arial"/>
          <w:sz w:val="22"/>
          <w:szCs w:val="22"/>
          <w:lang w:val="es-EC"/>
        </w:rPr>
        <w:t>La auditoría deberá llevarse a cabo según las Normas Generales de Auditoría para el Sector Público publicado en La Gaceta #184 del 25 de setiembre de 2014, Ley 8292 de Control Interno, normativa relacionada para el Sector Público aplicable a la Institución y Normas Internacionales de Auditoria.</w:t>
      </w:r>
    </w:p>
    <w:p w:rsidR="00D51E87" w:rsidRPr="00D51E87" w:rsidRDefault="00D51E87" w:rsidP="00D51E87">
      <w:pPr>
        <w:ind w:left="357"/>
        <w:jc w:val="both"/>
        <w:rPr>
          <w:rFonts w:ascii="Arial" w:hAnsi="Arial" w:cs="Arial"/>
          <w:sz w:val="10"/>
          <w:szCs w:val="10"/>
          <w:lang w:val="es-EC"/>
        </w:rPr>
      </w:pPr>
    </w:p>
    <w:p w:rsidR="00D51E87" w:rsidRPr="00D51E87" w:rsidRDefault="00D51E87" w:rsidP="00D51E87">
      <w:pPr>
        <w:ind w:left="357"/>
        <w:jc w:val="both"/>
        <w:rPr>
          <w:rFonts w:ascii="Arial" w:hAnsi="Arial" w:cs="Arial"/>
          <w:i/>
          <w:sz w:val="22"/>
          <w:szCs w:val="22"/>
          <w:lang w:val="es-EC"/>
        </w:rPr>
      </w:pPr>
      <w:r w:rsidRPr="00D51E87">
        <w:rPr>
          <w:rFonts w:ascii="Arial" w:hAnsi="Arial" w:cs="Arial"/>
          <w:sz w:val="22"/>
          <w:szCs w:val="22"/>
          <w:lang w:val="es-EC"/>
        </w:rPr>
        <w:t xml:space="preserve">Además de la revisión de la Liquidación Presupuestaria conforme a los </w:t>
      </w:r>
      <w:r w:rsidRPr="00D51E87">
        <w:rPr>
          <w:rFonts w:ascii="Arial" w:hAnsi="Arial" w:cs="Arial"/>
          <w:i/>
          <w:sz w:val="22"/>
          <w:szCs w:val="22"/>
          <w:lang w:val="es-EC"/>
        </w:rPr>
        <w:t xml:space="preserve">Lineamientos para la contratación del trabajo para atestiguar con seguridad razonable sobre la elaboración de la liquidación presupuestaria de los entes y órganos sujetos a lo establecido en el numeral 4.3.17 de   las normas técnicas sobre presupuesto público N-1-2012-DC-DFOE. </w:t>
      </w:r>
    </w:p>
    <w:p w:rsidR="00D51E87" w:rsidRPr="00D51E87" w:rsidRDefault="00D51E87" w:rsidP="00D51E87">
      <w:pPr>
        <w:spacing w:line="276" w:lineRule="auto"/>
        <w:ind w:left="360"/>
        <w:jc w:val="both"/>
        <w:rPr>
          <w:rFonts w:ascii="Arial" w:hAnsi="Arial" w:cs="Arial"/>
          <w:sz w:val="10"/>
          <w:szCs w:val="10"/>
          <w:lang w:val="es-EC"/>
        </w:rPr>
      </w:pPr>
    </w:p>
    <w:p w:rsidR="00D51E87" w:rsidRPr="00D51E87" w:rsidRDefault="00D51E87" w:rsidP="00803853">
      <w:pPr>
        <w:numPr>
          <w:ilvl w:val="0"/>
          <w:numId w:val="19"/>
        </w:numPr>
        <w:spacing w:line="276" w:lineRule="auto"/>
        <w:jc w:val="both"/>
        <w:rPr>
          <w:rFonts w:ascii="Arial" w:hAnsi="Arial" w:cs="Arial"/>
          <w:b/>
          <w:sz w:val="22"/>
          <w:szCs w:val="22"/>
          <w:lang w:val="es-EC"/>
        </w:rPr>
      </w:pPr>
      <w:r w:rsidRPr="00D51E87">
        <w:rPr>
          <w:rFonts w:ascii="Arial" w:hAnsi="Arial" w:cs="Arial"/>
          <w:b/>
          <w:sz w:val="22"/>
          <w:szCs w:val="22"/>
          <w:lang w:val="es-EC"/>
        </w:rPr>
        <w:t>Situación actual del ITCR con el proceso de aplicación de las NICSP</w:t>
      </w:r>
    </w:p>
    <w:p w:rsidR="00D51E87" w:rsidRPr="00D51E87" w:rsidRDefault="00D51E87" w:rsidP="00D51E87">
      <w:pPr>
        <w:ind w:left="1077"/>
        <w:jc w:val="both"/>
        <w:rPr>
          <w:rFonts w:ascii="Arial" w:hAnsi="Arial" w:cs="Arial"/>
          <w:sz w:val="22"/>
          <w:szCs w:val="22"/>
          <w:lang w:val="es-EC"/>
        </w:rPr>
      </w:pPr>
      <w:r w:rsidRPr="00D51E87">
        <w:rPr>
          <w:rFonts w:ascii="Arial" w:hAnsi="Arial" w:cs="Arial"/>
          <w:sz w:val="22"/>
          <w:szCs w:val="22"/>
          <w:lang w:val="es-EC"/>
        </w:rPr>
        <w:t>El ITCR adoptó las NICSP en el periodo 2016, para lo cual se definieron políticas contables específicas aprobadas por la Dirección General de Contabilidad Nacional (DGCN), y en el 2017 la institución inició con el proceso de aplicación de las NICSP acogiéndose a los plazos establecidos por la DGCN en cuanto a transitorios y cierre de brechas según Decreto Ejecutivo No.41039-MH Cierre de Brechas Alcance No.92 del 07 de mayo del 2018.</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56" w:name="_Toc526433869"/>
      <w:r w:rsidRPr="00D51E87">
        <w:rPr>
          <w:rFonts w:ascii="Arial" w:hAnsi="Arial" w:cs="Arial"/>
          <w:b/>
          <w:bCs/>
          <w:i/>
          <w:iCs/>
          <w:sz w:val="22"/>
          <w:szCs w:val="22"/>
          <w:lang w:val="es-CR"/>
        </w:rPr>
        <w:t>ESPECIFICACIONES TÉCNICAS DEL SERVICIO (OBSERVANCIA DE LA NORMATIVA):</w:t>
      </w:r>
      <w:bookmarkEnd w:id="56"/>
      <w:r w:rsidRPr="00D51E87">
        <w:rPr>
          <w:rFonts w:ascii="Arial" w:hAnsi="Arial" w:cs="Arial"/>
          <w:b/>
          <w:bCs/>
          <w:i/>
          <w:iCs/>
          <w:sz w:val="22"/>
          <w:szCs w:val="22"/>
          <w:lang w:val="es-CR"/>
        </w:rPr>
        <w:t xml:space="preserve"> </w:t>
      </w:r>
    </w:p>
    <w:p w:rsidR="00D51E87" w:rsidRPr="00D51E87" w:rsidRDefault="00D51E87" w:rsidP="00803853">
      <w:pPr>
        <w:keepNext/>
        <w:numPr>
          <w:ilvl w:val="1"/>
          <w:numId w:val="23"/>
        </w:numPr>
        <w:spacing w:before="240" w:after="60"/>
        <w:jc w:val="both"/>
        <w:outlineLvl w:val="1"/>
        <w:rPr>
          <w:rFonts w:ascii="Arial" w:hAnsi="Arial" w:cs="Arial"/>
          <w:b/>
          <w:bCs/>
          <w:iCs/>
          <w:sz w:val="22"/>
          <w:szCs w:val="22"/>
          <w:lang w:val="es-CR"/>
        </w:rPr>
      </w:pPr>
      <w:bookmarkStart w:id="57" w:name="_Toc526433870"/>
      <w:r w:rsidRPr="00D51E87">
        <w:rPr>
          <w:rFonts w:ascii="Arial" w:hAnsi="Arial" w:cs="Arial"/>
          <w:b/>
          <w:bCs/>
          <w:i/>
          <w:iCs/>
          <w:sz w:val="22"/>
          <w:szCs w:val="22"/>
          <w:lang w:val="es-CR"/>
        </w:rPr>
        <w:t>ESTADOS FINANCIEROS</w:t>
      </w:r>
      <w:bookmarkEnd w:id="57"/>
    </w:p>
    <w:p w:rsidR="00D51E87" w:rsidRPr="00D51E87" w:rsidRDefault="00D51E87" w:rsidP="00D51E87">
      <w:pPr>
        <w:ind w:left="357"/>
        <w:jc w:val="both"/>
        <w:rPr>
          <w:rFonts w:ascii="Arial" w:hAnsi="Arial" w:cs="Arial"/>
          <w:sz w:val="22"/>
          <w:szCs w:val="22"/>
          <w:lang w:val="es-EC"/>
        </w:rPr>
      </w:pPr>
    </w:p>
    <w:p w:rsidR="00D51E87" w:rsidRPr="00D51E87" w:rsidRDefault="00D51E87" w:rsidP="00D51E87">
      <w:pPr>
        <w:ind w:left="357"/>
        <w:jc w:val="both"/>
        <w:rPr>
          <w:rFonts w:ascii="Arial" w:hAnsi="Arial" w:cs="Arial"/>
          <w:sz w:val="22"/>
          <w:szCs w:val="22"/>
          <w:lang w:val="es-EC"/>
        </w:rPr>
      </w:pPr>
      <w:r w:rsidRPr="00D51E87">
        <w:rPr>
          <w:rFonts w:ascii="Arial" w:hAnsi="Arial" w:cs="Arial"/>
          <w:sz w:val="22"/>
          <w:szCs w:val="22"/>
          <w:lang w:val="es-EC"/>
        </w:rPr>
        <w:t>El contratista se compromete para la auditoria de los estados financieros a:</w:t>
      </w:r>
    </w:p>
    <w:p w:rsidR="00D51E87" w:rsidRPr="00D51E87" w:rsidRDefault="00D51E87" w:rsidP="00D51E87">
      <w:pPr>
        <w:rPr>
          <w:sz w:val="20"/>
          <w:szCs w:val="20"/>
          <w:lang w:val="es-CR"/>
        </w:rPr>
      </w:pPr>
    </w:p>
    <w:p w:rsidR="00D51E87" w:rsidRPr="00D51E87" w:rsidRDefault="00D51E87" w:rsidP="00803853">
      <w:pPr>
        <w:numPr>
          <w:ilvl w:val="1"/>
          <w:numId w:val="18"/>
        </w:numPr>
        <w:ind w:left="1077" w:hanging="357"/>
        <w:jc w:val="both"/>
        <w:rPr>
          <w:rFonts w:ascii="Arial" w:hAnsi="Arial" w:cs="Arial"/>
          <w:sz w:val="22"/>
          <w:szCs w:val="22"/>
          <w:lang w:val="es-EC"/>
        </w:rPr>
      </w:pPr>
      <w:r w:rsidRPr="00D51E87">
        <w:rPr>
          <w:rFonts w:ascii="Arial" w:hAnsi="Arial" w:cs="Arial"/>
          <w:sz w:val="22"/>
          <w:szCs w:val="22"/>
          <w:lang w:val="es-EC"/>
        </w:rPr>
        <w:t>Brindar opinión del Contador Público Independiente de los Estados Financieros: Estado de Situación Financiera, Estado de Rendimiento Financiero, Estado de Cambios en el Patrimonio, Estado de Flujo de Efectivo y sus correspondientes notas, que cumplan con las NICSP, medidas de control interno y administrativas requeridas con el objeto de procurar la confiabilidad de la información financiera.</w:t>
      </w:r>
    </w:p>
    <w:p w:rsidR="00D51E87" w:rsidRPr="00D51E87" w:rsidRDefault="00D51E87" w:rsidP="00803853">
      <w:pPr>
        <w:numPr>
          <w:ilvl w:val="1"/>
          <w:numId w:val="18"/>
        </w:numPr>
        <w:ind w:left="1077" w:hanging="357"/>
        <w:jc w:val="both"/>
        <w:rPr>
          <w:rFonts w:ascii="Arial" w:hAnsi="Arial" w:cs="Arial"/>
          <w:sz w:val="22"/>
          <w:szCs w:val="22"/>
          <w:lang w:val="es-EC"/>
        </w:rPr>
      </w:pPr>
      <w:r w:rsidRPr="00D51E87">
        <w:rPr>
          <w:rFonts w:ascii="Arial" w:hAnsi="Arial" w:cs="Arial"/>
          <w:sz w:val="22"/>
          <w:szCs w:val="22"/>
          <w:lang w:val="es-EC"/>
        </w:rPr>
        <w:t>Brindar un informe relacionado con la evaluación del control interno sobre el sistema de tecnología de información.</w:t>
      </w:r>
    </w:p>
    <w:p w:rsidR="00D51E87" w:rsidRPr="00D51E87" w:rsidRDefault="00D51E87" w:rsidP="00803853">
      <w:pPr>
        <w:numPr>
          <w:ilvl w:val="1"/>
          <w:numId w:val="18"/>
        </w:numPr>
        <w:ind w:left="1077" w:hanging="357"/>
        <w:jc w:val="both"/>
        <w:rPr>
          <w:rFonts w:ascii="Arial" w:hAnsi="Arial" w:cs="Arial"/>
          <w:sz w:val="22"/>
          <w:szCs w:val="22"/>
          <w:lang w:val="es-EC"/>
        </w:rPr>
      </w:pPr>
      <w:r w:rsidRPr="00D51E87">
        <w:rPr>
          <w:rFonts w:ascii="Arial" w:hAnsi="Arial" w:cs="Arial"/>
          <w:sz w:val="22"/>
          <w:szCs w:val="22"/>
          <w:lang w:val="es-EC"/>
        </w:rPr>
        <w:t xml:space="preserve">Brindar un informe anual sobre la revisión de las declaraciones de impuestos efectuadas durante el periodo. </w:t>
      </w:r>
    </w:p>
    <w:p w:rsidR="00D51E87" w:rsidRPr="00D51E87" w:rsidRDefault="00D51E87" w:rsidP="00803853">
      <w:pPr>
        <w:numPr>
          <w:ilvl w:val="1"/>
          <w:numId w:val="18"/>
        </w:numPr>
        <w:ind w:left="1077" w:hanging="357"/>
        <w:jc w:val="both"/>
        <w:rPr>
          <w:rFonts w:ascii="Arial" w:hAnsi="Arial" w:cs="Arial"/>
          <w:sz w:val="22"/>
          <w:szCs w:val="22"/>
          <w:lang w:val="es-EC"/>
        </w:rPr>
      </w:pPr>
      <w:r w:rsidRPr="00D51E87">
        <w:rPr>
          <w:rFonts w:ascii="Arial" w:hAnsi="Arial" w:cs="Arial"/>
          <w:sz w:val="22"/>
          <w:szCs w:val="22"/>
          <w:lang w:val="es-EC"/>
        </w:rPr>
        <w:t>Evaluar el sistema de control interno al menos: administrativo, contable, presupuestario, tributario e informático, tomando como criterio la Ley N°8292 Ley General de Control Interno y las Normas de Control Interno para el Sector Público (N-2-2009-CO-DFOE) aplicable a la Contraloría General de la República, los entes u órganos sujetos a su fiscalización y cualquier otra disposición que dicte sobre la materia, así como las normas y procedimientos de auditoria emitidas por el Colegio de Contadores Públicos de Costa Rica.</w:t>
      </w:r>
    </w:p>
    <w:p w:rsidR="00D51E87" w:rsidRPr="00D51E87" w:rsidRDefault="00D51E87" w:rsidP="00803853">
      <w:pPr>
        <w:numPr>
          <w:ilvl w:val="1"/>
          <w:numId w:val="18"/>
        </w:numPr>
        <w:ind w:left="1077" w:hanging="357"/>
        <w:jc w:val="both"/>
        <w:rPr>
          <w:rFonts w:ascii="Arial" w:hAnsi="Arial" w:cs="Arial"/>
          <w:sz w:val="22"/>
          <w:szCs w:val="22"/>
          <w:lang w:val="es-EC"/>
        </w:rPr>
      </w:pPr>
      <w:r w:rsidRPr="00D51E87">
        <w:rPr>
          <w:rFonts w:ascii="Arial" w:hAnsi="Arial" w:cs="Arial"/>
          <w:sz w:val="22"/>
          <w:szCs w:val="22"/>
          <w:lang w:val="es-EC"/>
        </w:rPr>
        <w:t xml:space="preserve">Realizar dos visitas al año para efectuar el trabajo de campo con corte al 30 de junio y 30 de diciembre. </w:t>
      </w:r>
    </w:p>
    <w:p w:rsidR="00D51E87" w:rsidRPr="00D51E87" w:rsidRDefault="00D51E87" w:rsidP="00803853">
      <w:pPr>
        <w:numPr>
          <w:ilvl w:val="1"/>
          <w:numId w:val="18"/>
        </w:numPr>
        <w:ind w:left="1077" w:hanging="357"/>
        <w:jc w:val="both"/>
        <w:rPr>
          <w:rFonts w:ascii="Arial" w:hAnsi="Arial" w:cs="Arial"/>
          <w:sz w:val="22"/>
          <w:szCs w:val="22"/>
          <w:lang w:val="es-EC"/>
        </w:rPr>
      </w:pPr>
      <w:r w:rsidRPr="00D51E87">
        <w:rPr>
          <w:rFonts w:ascii="Arial" w:hAnsi="Arial" w:cs="Arial"/>
          <w:sz w:val="22"/>
          <w:szCs w:val="22"/>
          <w:lang w:val="es-EC"/>
        </w:rPr>
        <w:t>Emitir las Cartas de Gerencia sobre las condiciones del cumplimiento de la normativa contable y de control interno.</w:t>
      </w:r>
    </w:p>
    <w:p w:rsidR="00D51E87" w:rsidRPr="00D51E87" w:rsidRDefault="00D51E87" w:rsidP="00803853">
      <w:pPr>
        <w:numPr>
          <w:ilvl w:val="1"/>
          <w:numId w:val="18"/>
        </w:numPr>
        <w:ind w:left="1077" w:hanging="357"/>
        <w:jc w:val="both"/>
        <w:rPr>
          <w:rFonts w:ascii="Arial" w:hAnsi="Arial" w:cs="Arial"/>
          <w:sz w:val="22"/>
          <w:szCs w:val="22"/>
          <w:lang w:val="es-EC"/>
        </w:rPr>
      </w:pPr>
      <w:r w:rsidRPr="00D51E87">
        <w:rPr>
          <w:rFonts w:ascii="Arial" w:hAnsi="Arial" w:cs="Arial"/>
          <w:sz w:val="22"/>
          <w:szCs w:val="22"/>
          <w:lang w:val="es-EC"/>
        </w:rPr>
        <w:t>Aclarar todas aquellas consultas que se presenten por parte del Consejo Institucional, Rectoría, Vicerrectoría de Administración y Departamentos del ITCR, relacionadas con temas concordantes con la materia de trabajo. Las consultas verbales requerirán la atención inmediata de un socio del Despacho y las consultas por escrito, deberá ser atendidas en un plazo no mayor a cinco días hábiles posteriores a su solicitud.</w:t>
      </w:r>
    </w:p>
    <w:p w:rsidR="00D51E87" w:rsidRPr="00D51E87" w:rsidRDefault="00D51E87" w:rsidP="00803853">
      <w:pPr>
        <w:keepNext/>
        <w:numPr>
          <w:ilvl w:val="1"/>
          <w:numId w:val="23"/>
        </w:numPr>
        <w:spacing w:before="240" w:after="60"/>
        <w:jc w:val="both"/>
        <w:outlineLvl w:val="1"/>
        <w:rPr>
          <w:rFonts w:ascii="Arial" w:hAnsi="Arial" w:cs="Arial"/>
          <w:b/>
          <w:bCs/>
          <w:i/>
          <w:iCs/>
          <w:sz w:val="22"/>
          <w:szCs w:val="22"/>
          <w:lang w:val="es-CR"/>
        </w:rPr>
      </w:pPr>
      <w:bookmarkStart w:id="58" w:name="_Toc526433871"/>
      <w:r w:rsidRPr="00D51E87">
        <w:rPr>
          <w:rFonts w:ascii="Arial" w:hAnsi="Arial" w:cs="Arial"/>
          <w:b/>
          <w:bCs/>
          <w:i/>
          <w:iCs/>
          <w:sz w:val="22"/>
          <w:szCs w:val="22"/>
          <w:lang w:val="es-CR"/>
        </w:rPr>
        <w:lastRenderedPageBreak/>
        <w:t>LIQUIDACIÓN PRESUPUESTARIA</w:t>
      </w:r>
      <w:bookmarkEnd w:id="58"/>
    </w:p>
    <w:p w:rsidR="00D51E87" w:rsidRPr="00D51E87" w:rsidRDefault="00D51E87" w:rsidP="00D51E87">
      <w:pPr>
        <w:rPr>
          <w:sz w:val="20"/>
          <w:szCs w:val="20"/>
          <w:lang w:val="es-CR"/>
        </w:rPr>
      </w:pPr>
    </w:p>
    <w:p w:rsidR="00D51E87" w:rsidRPr="00D51E87" w:rsidRDefault="00D51E87" w:rsidP="00803853">
      <w:pPr>
        <w:numPr>
          <w:ilvl w:val="0"/>
          <w:numId w:val="24"/>
        </w:numPr>
        <w:ind w:left="1077" w:hanging="357"/>
        <w:jc w:val="both"/>
        <w:rPr>
          <w:rFonts w:ascii="Arial" w:hAnsi="Arial" w:cs="Arial"/>
          <w:sz w:val="22"/>
          <w:szCs w:val="22"/>
          <w:lang w:val="es-EC"/>
        </w:rPr>
      </w:pPr>
      <w:r w:rsidRPr="00D51E87">
        <w:rPr>
          <w:rFonts w:ascii="Arial" w:hAnsi="Arial" w:cs="Arial"/>
          <w:sz w:val="22"/>
          <w:szCs w:val="22"/>
          <w:lang w:val="es-EC"/>
        </w:rPr>
        <w:t>El trabajo consistirá en un examen amplio, que permita a los auditores expresar su opinión sobre la calidad de la liquidación presupuestaria del Instituto Tecnológico de Costa Rica y la verificación que esta presenta razonablemente la situación financiera y el resultado económico de sus operaciones conforme a la normativa presupuestaria aplicable.</w:t>
      </w:r>
    </w:p>
    <w:p w:rsidR="00D51E87" w:rsidRPr="00D51E87" w:rsidRDefault="00D51E87" w:rsidP="00803853">
      <w:pPr>
        <w:numPr>
          <w:ilvl w:val="0"/>
          <w:numId w:val="24"/>
        </w:numPr>
        <w:ind w:left="1077" w:hanging="357"/>
        <w:jc w:val="both"/>
        <w:rPr>
          <w:rFonts w:ascii="Arial" w:hAnsi="Arial" w:cs="Arial"/>
          <w:sz w:val="22"/>
          <w:szCs w:val="22"/>
          <w:lang w:val="es-EC"/>
        </w:rPr>
      </w:pPr>
      <w:r w:rsidRPr="00D51E87">
        <w:rPr>
          <w:rFonts w:ascii="Arial" w:hAnsi="Arial" w:cs="Arial"/>
          <w:sz w:val="22"/>
          <w:szCs w:val="22"/>
          <w:lang w:val="es-EC"/>
        </w:rPr>
        <w:t xml:space="preserve">Realizar el análisis de calidad de la Liquidación Presupuestaria 2018 de conformidad con la norma 4.3.17, Exactitud y confiabilidad de la liquidación presupuestaria de las Normas Técnicas de Presupuestos Públicos. </w:t>
      </w:r>
    </w:p>
    <w:p w:rsidR="00D51E87" w:rsidRPr="00D51E87" w:rsidRDefault="00D51E87" w:rsidP="00803853">
      <w:pPr>
        <w:numPr>
          <w:ilvl w:val="0"/>
          <w:numId w:val="24"/>
        </w:numPr>
        <w:ind w:left="1077" w:hanging="357"/>
        <w:jc w:val="both"/>
        <w:rPr>
          <w:rFonts w:ascii="Arial" w:hAnsi="Arial" w:cs="Arial"/>
          <w:sz w:val="22"/>
          <w:szCs w:val="22"/>
          <w:lang w:val="es-EC"/>
        </w:rPr>
      </w:pPr>
      <w:r w:rsidRPr="00D51E87">
        <w:rPr>
          <w:rFonts w:ascii="Arial" w:hAnsi="Arial" w:cs="Arial"/>
          <w:sz w:val="22"/>
          <w:szCs w:val="22"/>
          <w:lang w:val="es-EC"/>
        </w:rPr>
        <w:t>Para lo anterior, se debe obtener la evidencia suficiente y competente a través del examen del Sistema de Control Interno en operación. El trabajo deberá comprender el análisis de las diversas cuentas que conforman el Balance General, el Estado de Resultados, el estado de cambios en el patrimonio neto y el estado de flujo de efectivo. Así mismo, será responsabilidad del Contratista conservar la documentación de la evidencia recolectada en el proceso de auditoría por el período que establece la normativa u otro que resulte procedente en virtud de los términos de prescripción que corresponda ante eventuales contingencias judiciales.</w:t>
      </w:r>
    </w:p>
    <w:p w:rsidR="00D51E87" w:rsidRPr="00D51E87" w:rsidRDefault="00D51E87" w:rsidP="00803853">
      <w:pPr>
        <w:numPr>
          <w:ilvl w:val="0"/>
          <w:numId w:val="24"/>
        </w:numPr>
        <w:ind w:left="1077" w:hanging="357"/>
        <w:jc w:val="both"/>
        <w:rPr>
          <w:rFonts w:ascii="Arial" w:hAnsi="Arial" w:cs="Arial"/>
          <w:sz w:val="22"/>
          <w:szCs w:val="22"/>
          <w:lang w:val="es-EC"/>
        </w:rPr>
      </w:pPr>
      <w:r w:rsidRPr="00D51E87">
        <w:rPr>
          <w:rFonts w:ascii="Arial" w:hAnsi="Arial" w:cs="Arial"/>
          <w:sz w:val="22"/>
          <w:szCs w:val="22"/>
          <w:lang w:val="es-EC"/>
        </w:rPr>
        <w:t>Análisis y razonabilidad del resultado informado y el cumplimiento de la normativa técnica y jurídica aplicada en la elaboración del Informe de Liquidación Presupuestaria, así como el nivel de observancia de las políticas y metodologías internas establecidas y todo lo que esto conlleva en términos de oportunidad de recibir el resultado de este producto.</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El dictamen de la Liquidación Presupuestaria debe indicar la razonabilidad de la confiabilidad, pertinencia, relevancia y oportunidad de la información contenida en la liquidación presupuestaria.</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 xml:space="preserve">Análisis, verificación y confirmación de las responsabilidades ante la formulación, preparación, registro y presentación razonable de informes presupuestarios. </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Responsabilidad en el cumplimiento de políticas y procedimientos.</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 xml:space="preserve">Revisión y cumplimiento en aspectos de control interno para efectos de prevenir o detectar posibles fraudes en el proceso de formulación, ejecución y liquidación presupuestaria. </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 xml:space="preserve">Revisión de diferentes aspectos contables y presupuestarios que se consideren significativos. </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Verificación de que los informes de ejecución se presenten razonablemente de conformidad con la normativa establecida aplicable, y los clasificadores de ingresos y gastos del Ministerio de Hacienda.</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 xml:space="preserve">Responsabilidad de conservar los registros financieros y datos relacionados para respaldar los informes mencionados. </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Verificación de transacciones significativas que no hayan sido registradas adecuadamente en el presupuesto institucional.</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Responsabilidad en el diseño e implementación de programas y controles para prevenir y detectar posibles fraudes.</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 xml:space="preserve">Detectar posible fraude o sospecha de fraude que afecte la entidad y se relacione con:  </w:t>
      </w:r>
    </w:p>
    <w:p w:rsidR="00D51E87" w:rsidRPr="00D51E87" w:rsidRDefault="00D51E87" w:rsidP="00803853">
      <w:pPr>
        <w:numPr>
          <w:ilvl w:val="0"/>
          <w:numId w:val="25"/>
        </w:numPr>
        <w:ind w:hanging="357"/>
        <w:jc w:val="both"/>
        <w:rPr>
          <w:rFonts w:ascii="Arial" w:eastAsia="Calibri" w:hAnsi="Arial" w:cs="Arial"/>
          <w:sz w:val="22"/>
          <w:szCs w:val="22"/>
          <w:lang w:val="es-CR"/>
        </w:rPr>
      </w:pPr>
      <w:r w:rsidRPr="00D51E87">
        <w:rPr>
          <w:rFonts w:ascii="Arial" w:eastAsia="Calibri" w:hAnsi="Arial" w:cs="Arial"/>
          <w:sz w:val="22"/>
          <w:szCs w:val="22"/>
          <w:lang w:val="es-CR"/>
        </w:rPr>
        <w:t>La administración.</w:t>
      </w:r>
    </w:p>
    <w:p w:rsidR="00D51E87" w:rsidRPr="00D51E87" w:rsidRDefault="00D51E87" w:rsidP="00803853">
      <w:pPr>
        <w:numPr>
          <w:ilvl w:val="0"/>
          <w:numId w:val="25"/>
        </w:numPr>
        <w:ind w:hanging="357"/>
        <w:jc w:val="both"/>
        <w:rPr>
          <w:rFonts w:ascii="Arial" w:eastAsia="Calibri" w:hAnsi="Arial" w:cs="Arial"/>
          <w:sz w:val="22"/>
          <w:szCs w:val="22"/>
          <w:lang w:val="es-CR"/>
        </w:rPr>
      </w:pPr>
      <w:r w:rsidRPr="00D51E87">
        <w:rPr>
          <w:rFonts w:ascii="Arial" w:eastAsia="Calibri" w:hAnsi="Arial" w:cs="Arial"/>
          <w:sz w:val="22"/>
          <w:szCs w:val="22"/>
          <w:lang w:val="es-CR"/>
        </w:rPr>
        <w:t>Empleados que tienen puestos significativos en el control interno, u otros donde el fraude podría tener un efecto significativo en los informes presupuestarios.</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Verificar el apropiado registro en los informes de ejecución y liquidación presupuestaria de:</w:t>
      </w:r>
    </w:p>
    <w:p w:rsidR="00D51E87" w:rsidRPr="00D51E87" w:rsidRDefault="00D51E87" w:rsidP="00803853">
      <w:pPr>
        <w:numPr>
          <w:ilvl w:val="0"/>
          <w:numId w:val="25"/>
        </w:numPr>
        <w:ind w:hanging="357"/>
        <w:jc w:val="both"/>
        <w:rPr>
          <w:rFonts w:ascii="Arial" w:eastAsia="Calibri" w:hAnsi="Arial" w:cs="Arial"/>
          <w:sz w:val="22"/>
          <w:szCs w:val="22"/>
          <w:lang w:val="es-CR"/>
        </w:rPr>
      </w:pPr>
      <w:r w:rsidRPr="00D51E87">
        <w:rPr>
          <w:rFonts w:ascii="Arial" w:eastAsia="Calibri" w:hAnsi="Arial" w:cs="Arial"/>
          <w:sz w:val="22"/>
          <w:szCs w:val="22"/>
          <w:lang w:val="es-CR"/>
        </w:rPr>
        <w:t xml:space="preserve">Los ingresos percibidos sobre la base de efectivo a nivel presupuestario y sobre la base de devengo a nivel contable. </w:t>
      </w:r>
    </w:p>
    <w:p w:rsidR="00D51E87" w:rsidRPr="00D51E87" w:rsidRDefault="00D51E87" w:rsidP="00803853">
      <w:pPr>
        <w:numPr>
          <w:ilvl w:val="0"/>
          <w:numId w:val="25"/>
        </w:numPr>
        <w:ind w:hanging="357"/>
        <w:jc w:val="both"/>
        <w:rPr>
          <w:rFonts w:ascii="Arial" w:eastAsia="Calibri" w:hAnsi="Arial" w:cs="Arial"/>
          <w:sz w:val="22"/>
          <w:szCs w:val="22"/>
          <w:lang w:val="es-CR"/>
        </w:rPr>
      </w:pPr>
      <w:r w:rsidRPr="00D51E87">
        <w:rPr>
          <w:rFonts w:ascii="Arial" w:eastAsia="Calibri" w:hAnsi="Arial" w:cs="Arial"/>
          <w:sz w:val="22"/>
          <w:szCs w:val="22"/>
          <w:lang w:val="es-CR"/>
        </w:rPr>
        <w:lastRenderedPageBreak/>
        <w:t xml:space="preserve">Los gastos realizados y pagados sobre la base de efectivo a nivel presupuestario y los gastos devengados no pagados a nivel contable. </w:t>
      </w:r>
    </w:p>
    <w:p w:rsidR="00D51E87" w:rsidRPr="00D51E87" w:rsidRDefault="00D51E87" w:rsidP="00803853">
      <w:pPr>
        <w:numPr>
          <w:ilvl w:val="0"/>
          <w:numId w:val="25"/>
        </w:numPr>
        <w:ind w:hanging="357"/>
        <w:jc w:val="both"/>
        <w:rPr>
          <w:rFonts w:ascii="Arial" w:eastAsia="Calibri" w:hAnsi="Arial" w:cs="Arial"/>
          <w:sz w:val="22"/>
          <w:szCs w:val="22"/>
          <w:lang w:val="es-CR"/>
        </w:rPr>
      </w:pPr>
      <w:r w:rsidRPr="00D51E87">
        <w:rPr>
          <w:rFonts w:ascii="Arial" w:eastAsia="Calibri" w:hAnsi="Arial" w:cs="Arial"/>
          <w:sz w:val="22"/>
          <w:szCs w:val="22"/>
          <w:lang w:val="es-CR"/>
        </w:rPr>
        <w:t>Los compromisos presupuestarios.</w:t>
      </w:r>
    </w:p>
    <w:p w:rsidR="00D51E87" w:rsidRPr="00D51E87" w:rsidRDefault="00D51E87" w:rsidP="00803853">
      <w:pPr>
        <w:numPr>
          <w:ilvl w:val="0"/>
          <w:numId w:val="25"/>
        </w:numPr>
        <w:ind w:hanging="357"/>
        <w:jc w:val="both"/>
        <w:rPr>
          <w:rFonts w:ascii="Arial" w:eastAsia="Calibri" w:hAnsi="Arial" w:cs="Arial"/>
          <w:sz w:val="22"/>
          <w:szCs w:val="22"/>
          <w:lang w:val="es-CR"/>
        </w:rPr>
      </w:pPr>
      <w:r w:rsidRPr="00D51E87">
        <w:rPr>
          <w:rFonts w:ascii="Arial" w:eastAsia="Calibri" w:hAnsi="Arial" w:cs="Arial"/>
          <w:sz w:val="22"/>
          <w:szCs w:val="22"/>
          <w:lang w:val="es-CR"/>
        </w:rPr>
        <w:t xml:space="preserve">Los superávits de periodos anteriores según la normativa. </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En caso de presentarse inconformidades o discrepancias durante la ejecución de la auditoría, le corresponderá al ente técnico Vicerrector de Administración en conjunto con el Director del Departamento Financiero Contable establecer los mecanismos de corrección de las mismas.</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El trabajo debe realizarse bajo la dirección y responsabilidad de un Contador Público autorizado y debe incluir obligatoriamente la presentación y análisis de la Liquidación Presupuestaria con base en las normas de Auditoria que tiene en vigencia el Colegio de Contadores Públicos de Costa Rica.</w:t>
      </w:r>
    </w:p>
    <w:p w:rsidR="00D51E87" w:rsidRPr="00D51E87" w:rsidRDefault="00D51E87" w:rsidP="00803853">
      <w:pPr>
        <w:numPr>
          <w:ilvl w:val="0"/>
          <w:numId w:val="24"/>
        </w:numPr>
        <w:ind w:hanging="357"/>
        <w:jc w:val="both"/>
        <w:rPr>
          <w:rFonts w:ascii="Arial" w:hAnsi="Arial" w:cs="Arial"/>
          <w:sz w:val="22"/>
          <w:szCs w:val="22"/>
          <w:lang w:val="es-EC"/>
        </w:rPr>
      </w:pPr>
      <w:r w:rsidRPr="00D51E87">
        <w:rPr>
          <w:rFonts w:ascii="Arial" w:hAnsi="Arial" w:cs="Arial"/>
          <w:sz w:val="22"/>
          <w:szCs w:val="22"/>
          <w:lang w:val="es-EC"/>
        </w:rPr>
        <w:t>Deberá considerarse que el Instituto Tecnológico de Costa Rica está en la etapa de transición de aplicación de las Normas Internacionales de Contabilidad del Sector Público, y que se ha acogido a las brechas y transitorios otorgados por la Contabilidad Nacional.</w:t>
      </w:r>
    </w:p>
    <w:p w:rsidR="00D51E87" w:rsidRPr="00D51E87" w:rsidRDefault="00D51E87" w:rsidP="00803853">
      <w:pPr>
        <w:keepNext/>
        <w:numPr>
          <w:ilvl w:val="0"/>
          <w:numId w:val="17"/>
        </w:numPr>
        <w:spacing w:before="240" w:after="60"/>
        <w:ind w:hanging="357"/>
        <w:jc w:val="both"/>
        <w:outlineLvl w:val="1"/>
        <w:rPr>
          <w:rFonts w:ascii="Arial" w:hAnsi="Arial" w:cs="Arial"/>
          <w:b/>
          <w:bCs/>
          <w:iCs/>
          <w:sz w:val="22"/>
          <w:szCs w:val="22"/>
          <w:lang w:val="es-CR"/>
        </w:rPr>
      </w:pPr>
      <w:bookmarkStart w:id="59" w:name="_Toc526433872"/>
      <w:r w:rsidRPr="00D51E87">
        <w:rPr>
          <w:rFonts w:ascii="Arial" w:hAnsi="Arial" w:cs="Arial"/>
          <w:b/>
          <w:bCs/>
          <w:i/>
          <w:iCs/>
          <w:sz w:val="22"/>
          <w:szCs w:val="22"/>
          <w:lang w:val="es-CR"/>
        </w:rPr>
        <w:t>REQUISITOS DE IDONEIDAD Y DE EXPERIENCIA</w:t>
      </w:r>
      <w:bookmarkEnd w:id="59"/>
    </w:p>
    <w:p w:rsidR="00D51E87" w:rsidRPr="00D51E87" w:rsidRDefault="00D51E87" w:rsidP="00803853">
      <w:pPr>
        <w:numPr>
          <w:ilvl w:val="0"/>
          <w:numId w:val="26"/>
        </w:numPr>
        <w:suppressAutoHyphens/>
        <w:snapToGrid w:val="0"/>
        <w:spacing w:before="60" w:after="120"/>
        <w:ind w:left="1068" w:hanging="357"/>
        <w:jc w:val="both"/>
        <w:rPr>
          <w:rFonts w:ascii="Arial" w:hAnsi="Arial" w:cs="Arial"/>
          <w:sz w:val="22"/>
          <w:szCs w:val="22"/>
          <w:lang w:val="es-CR"/>
        </w:rPr>
      </w:pPr>
      <w:r w:rsidRPr="00D51E87">
        <w:rPr>
          <w:rFonts w:ascii="Arial" w:hAnsi="Arial" w:cs="Arial"/>
          <w:sz w:val="22"/>
          <w:szCs w:val="22"/>
          <w:lang w:val="es-CR"/>
        </w:rPr>
        <w:t>El oferente debe tener al menos diez años de estar debidamente inscrito en el Colegio de Contadores Públicos de Costa Rica, para lo cual debe aportar certificación original donde se verifique dicha información y se haga constar que puede ofrecer los servicios profesionales conforme a lo establecido en el artículo 7 de la ley de Regulación de la Profesión del Contador Público. El Despacho deberá poseer el respaldo de una firma internacional a la cual represente o esté afiliado, que garantice que el Despacho cumple con las normas, medidas de control interno y administrativa requeridas con el objeto de procurar la confiabilidad de la información financiera. Dicho respaldo se verificará con la presentación de una certificación por un notario público que indique lo señalado.</w:t>
      </w:r>
    </w:p>
    <w:p w:rsidR="00D51E87" w:rsidRPr="00D51E87" w:rsidRDefault="00D51E87" w:rsidP="00803853">
      <w:pPr>
        <w:numPr>
          <w:ilvl w:val="0"/>
          <w:numId w:val="26"/>
        </w:numPr>
        <w:suppressAutoHyphens/>
        <w:snapToGrid w:val="0"/>
        <w:spacing w:before="60" w:after="120"/>
        <w:ind w:left="1068" w:hanging="357"/>
        <w:jc w:val="both"/>
        <w:rPr>
          <w:rFonts w:ascii="Arial" w:hAnsi="Arial" w:cs="Arial"/>
          <w:sz w:val="22"/>
          <w:szCs w:val="22"/>
          <w:lang w:val="es-CR"/>
        </w:rPr>
      </w:pPr>
      <w:r w:rsidRPr="00D51E87">
        <w:rPr>
          <w:rFonts w:ascii="Arial" w:hAnsi="Arial" w:cs="Arial"/>
          <w:sz w:val="22"/>
          <w:szCs w:val="22"/>
          <w:lang w:val="es-CR"/>
        </w:rPr>
        <w:t xml:space="preserve">El oferente debe haber realizado el proceso de auditoria externa para el Sector Público en el país en los últimos cinco años consecutivos. Para efectos de verificación deberá aportar cartas de experiencia en original o copias. En ellas debe constar como mínimo el nombre de la Institución, periodo (s) en que se realizó la auditoria (recuérdese que de los últimos cinco años), indicar expresamente si la auditoria fue basada en NICSP o NIIF, tipo de trabajo realizado, calidad de la labor, nombre, teléfono y puesto del encargado del contrato. </w:t>
      </w:r>
    </w:p>
    <w:p w:rsidR="00D51E87" w:rsidRPr="00D51E87" w:rsidRDefault="00D51E87" w:rsidP="00803853">
      <w:pPr>
        <w:numPr>
          <w:ilvl w:val="0"/>
          <w:numId w:val="26"/>
        </w:numPr>
        <w:suppressAutoHyphens/>
        <w:snapToGrid w:val="0"/>
        <w:ind w:left="1068" w:hanging="357"/>
        <w:jc w:val="both"/>
        <w:rPr>
          <w:rFonts w:ascii="Arial" w:hAnsi="Arial" w:cs="Arial"/>
          <w:sz w:val="22"/>
          <w:szCs w:val="22"/>
          <w:lang w:val="es-CR"/>
        </w:rPr>
      </w:pPr>
      <w:r w:rsidRPr="00D51E87">
        <w:rPr>
          <w:rFonts w:ascii="Arial" w:hAnsi="Arial" w:cs="Arial"/>
          <w:sz w:val="22"/>
          <w:szCs w:val="22"/>
          <w:lang w:val="es-CR"/>
        </w:rPr>
        <w:t>El oferente debe adjuntar en su oferta la siguiente información y documentos:</w:t>
      </w:r>
    </w:p>
    <w:p w:rsidR="00D51E87" w:rsidRPr="00D51E87" w:rsidRDefault="00D51E87" w:rsidP="00803853">
      <w:pPr>
        <w:numPr>
          <w:ilvl w:val="0"/>
          <w:numId w:val="22"/>
        </w:numPr>
        <w:suppressAutoHyphens/>
        <w:snapToGrid w:val="0"/>
        <w:ind w:left="1404" w:hanging="357"/>
        <w:jc w:val="both"/>
        <w:rPr>
          <w:rFonts w:ascii="Arial" w:hAnsi="Arial" w:cs="Arial"/>
          <w:sz w:val="22"/>
          <w:szCs w:val="22"/>
          <w:lang w:val="es-CR"/>
        </w:rPr>
      </w:pPr>
      <w:r w:rsidRPr="00D51E87">
        <w:rPr>
          <w:rFonts w:ascii="Arial" w:hAnsi="Arial" w:cs="Arial"/>
          <w:sz w:val="22"/>
          <w:szCs w:val="22"/>
          <w:lang w:val="es-CR"/>
        </w:rPr>
        <w:t>Descripción de la organización del Despacho, donde incluya al menos la fecha en que inició sus actividades y el registro legal de la firma.</w:t>
      </w:r>
    </w:p>
    <w:p w:rsidR="00D51E87" w:rsidRPr="00D51E87" w:rsidRDefault="00D51E87" w:rsidP="00803853">
      <w:pPr>
        <w:numPr>
          <w:ilvl w:val="0"/>
          <w:numId w:val="22"/>
        </w:numPr>
        <w:suppressAutoHyphens/>
        <w:snapToGrid w:val="0"/>
        <w:ind w:left="1404" w:hanging="357"/>
        <w:jc w:val="both"/>
        <w:rPr>
          <w:rFonts w:ascii="Arial" w:hAnsi="Arial" w:cs="Arial"/>
          <w:sz w:val="22"/>
          <w:szCs w:val="22"/>
          <w:lang w:val="es-CR"/>
        </w:rPr>
      </w:pPr>
      <w:r w:rsidRPr="00D51E87">
        <w:rPr>
          <w:rFonts w:ascii="Arial" w:hAnsi="Arial" w:cs="Arial"/>
          <w:sz w:val="22"/>
          <w:szCs w:val="22"/>
          <w:lang w:val="es-CR"/>
        </w:rPr>
        <w:t>Declaración jurada rendida en el cual conste el nombre de la firma internacional a la cual el oferente represente o está afiliado.</w:t>
      </w:r>
    </w:p>
    <w:p w:rsidR="00D51E87" w:rsidRPr="00D51E87" w:rsidRDefault="00D51E87" w:rsidP="00803853">
      <w:pPr>
        <w:numPr>
          <w:ilvl w:val="0"/>
          <w:numId w:val="22"/>
        </w:numPr>
        <w:suppressAutoHyphens/>
        <w:snapToGrid w:val="0"/>
        <w:ind w:left="1404" w:hanging="357"/>
        <w:jc w:val="both"/>
        <w:rPr>
          <w:rFonts w:ascii="Arial" w:hAnsi="Arial" w:cs="Arial"/>
          <w:sz w:val="22"/>
          <w:szCs w:val="22"/>
          <w:lang w:val="es-CR"/>
        </w:rPr>
      </w:pPr>
      <w:r w:rsidRPr="00D51E87">
        <w:rPr>
          <w:rFonts w:ascii="Arial" w:hAnsi="Arial" w:cs="Arial"/>
          <w:sz w:val="22"/>
          <w:szCs w:val="22"/>
          <w:lang w:val="es-CR"/>
        </w:rPr>
        <w:t>Información sobre políticas de la firma, respecto a requerimientos de actualización profesional, programas de capacitación para su personal, y en relación con procesos de control de calidad sobre los trabajos de auditoria y los procedimientos utilizados.</w:t>
      </w:r>
    </w:p>
    <w:p w:rsidR="00D51E87" w:rsidRPr="00D51E87" w:rsidRDefault="00D51E87" w:rsidP="00803853">
      <w:pPr>
        <w:numPr>
          <w:ilvl w:val="0"/>
          <w:numId w:val="22"/>
        </w:numPr>
        <w:suppressAutoHyphens/>
        <w:snapToGrid w:val="0"/>
        <w:ind w:left="1404" w:hanging="357"/>
        <w:jc w:val="both"/>
        <w:rPr>
          <w:rFonts w:ascii="Arial" w:hAnsi="Arial" w:cs="Arial"/>
          <w:sz w:val="22"/>
          <w:szCs w:val="22"/>
          <w:lang w:val="es-CR"/>
        </w:rPr>
      </w:pPr>
      <w:r w:rsidRPr="00D51E87">
        <w:rPr>
          <w:rFonts w:ascii="Arial" w:hAnsi="Arial" w:cs="Arial"/>
          <w:sz w:val="22"/>
          <w:szCs w:val="22"/>
          <w:lang w:val="es-CR"/>
        </w:rPr>
        <w:t>Un programa de trabajo con la descripción de objetivos, etapas que comprenderá la introversión, extensión, fechas estimadas, horas profesionales a emplear y cualquier otra información que permita obtener conocimiento sobre la amplitud y suficiencia del trabajo.</w:t>
      </w:r>
    </w:p>
    <w:p w:rsidR="00D51E87" w:rsidRPr="00D51E87" w:rsidRDefault="00D51E87" w:rsidP="00803853">
      <w:pPr>
        <w:keepNext/>
        <w:numPr>
          <w:ilvl w:val="0"/>
          <w:numId w:val="17"/>
        </w:numPr>
        <w:spacing w:before="240" w:after="60"/>
        <w:ind w:hanging="357"/>
        <w:jc w:val="both"/>
        <w:outlineLvl w:val="1"/>
        <w:rPr>
          <w:rFonts w:ascii="Arial" w:hAnsi="Arial" w:cs="Arial"/>
          <w:b/>
          <w:bCs/>
          <w:iCs/>
          <w:sz w:val="22"/>
          <w:szCs w:val="22"/>
          <w:lang w:val="es-CR"/>
        </w:rPr>
      </w:pPr>
      <w:bookmarkStart w:id="60" w:name="_Toc526433873"/>
      <w:r w:rsidRPr="00D51E87">
        <w:rPr>
          <w:rFonts w:ascii="Arial" w:hAnsi="Arial" w:cs="Arial"/>
          <w:b/>
          <w:bCs/>
          <w:i/>
          <w:iCs/>
          <w:sz w:val="22"/>
          <w:szCs w:val="22"/>
          <w:lang w:val="es-CR"/>
        </w:rPr>
        <w:t>REQUISITO PARA LA COMPROBACIÓN DE LA INDEPENDENCIA</w:t>
      </w:r>
      <w:bookmarkEnd w:id="60"/>
      <w:r w:rsidRPr="00D51E87">
        <w:rPr>
          <w:rFonts w:ascii="Arial" w:hAnsi="Arial" w:cs="Arial"/>
          <w:b/>
          <w:bCs/>
          <w:i/>
          <w:iCs/>
          <w:sz w:val="22"/>
          <w:szCs w:val="22"/>
          <w:lang w:val="es-CR"/>
        </w:rPr>
        <w:t xml:space="preserve"> PROFESIONAL DE LA FIRMA A CONTRATAR </w:t>
      </w:r>
    </w:p>
    <w:p w:rsidR="00D51E87" w:rsidRPr="00D51E87" w:rsidRDefault="00D51E87" w:rsidP="00D51E87">
      <w:pPr>
        <w:snapToGrid w:val="0"/>
        <w:ind w:left="805"/>
        <w:jc w:val="both"/>
        <w:rPr>
          <w:rFonts w:ascii="Arial" w:hAnsi="Arial" w:cs="Arial"/>
          <w:sz w:val="22"/>
          <w:szCs w:val="22"/>
          <w:lang w:val="es-CR"/>
        </w:rPr>
      </w:pPr>
      <w:r w:rsidRPr="00D51E87">
        <w:rPr>
          <w:rFonts w:ascii="Arial" w:hAnsi="Arial" w:cs="Arial"/>
          <w:sz w:val="22"/>
          <w:szCs w:val="22"/>
          <w:lang w:val="es-CR"/>
        </w:rPr>
        <w:t xml:space="preserve">El oferente y cada uno de los miembros del equipo de auditoría designado para realizar el trabajo, además de la declaración jurada en la que se indique que no les </w:t>
      </w:r>
      <w:r w:rsidRPr="00D51E87">
        <w:rPr>
          <w:rFonts w:ascii="Arial" w:hAnsi="Arial" w:cs="Arial"/>
          <w:sz w:val="22"/>
          <w:szCs w:val="22"/>
          <w:lang w:val="es-CR"/>
        </w:rPr>
        <w:lastRenderedPageBreak/>
        <w:t>alcanza las prohibiciones, deberá indicar las limitaciones y los impedimentos previstos en la normativa de contratación administrativa y en la que rige la propia profesión. El ITCR se reserva el derecho mediante mecanismos adicionales de verificar la comprobación de la independencia del equipo auditor.</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1" w:name="_Toc526433874"/>
      <w:r w:rsidRPr="00D51E87">
        <w:rPr>
          <w:rFonts w:ascii="Arial" w:hAnsi="Arial" w:cs="Arial"/>
          <w:b/>
          <w:bCs/>
          <w:i/>
          <w:iCs/>
          <w:sz w:val="22"/>
          <w:szCs w:val="22"/>
          <w:lang w:val="es-CR"/>
        </w:rPr>
        <w:t>REQUISITOS DE LOS EQUIPOS DE AUDITORÍA</w:t>
      </w:r>
      <w:bookmarkEnd w:id="61"/>
    </w:p>
    <w:p w:rsidR="00D51E87" w:rsidRPr="00D51E87" w:rsidRDefault="00D51E87" w:rsidP="00803853">
      <w:pPr>
        <w:numPr>
          <w:ilvl w:val="0"/>
          <w:numId w:val="27"/>
        </w:numPr>
        <w:ind w:left="720"/>
        <w:jc w:val="both"/>
        <w:rPr>
          <w:rFonts w:ascii="Arial" w:hAnsi="Arial" w:cs="Arial"/>
          <w:sz w:val="22"/>
          <w:szCs w:val="22"/>
          <w:lang w:val="es-EC"/>
        </w:rPr>
      </w:pPr>
      <w:r w:rsidRPr="00D51E87">
        <w:rPr>
          <w:rFonts w:ascii="Arial" w:hAnsi="Arial" w:cs="Arial"/>
          <w:sz w:val="22"/>
          <w:szCs w:val="22"/>
          <w:lang w:val="es-EC"/>
        </w:rPr>
        <w:t xml:space="preserve">El oferente debe aportar </w:t>
      </w:r>
      <w:proofErr w:type="spellStart"/>
      <w:r w:rsidRPr="00D51E87">
        <w:rPr>
          <w:rFonts w:ascii="Arial" w:hAnsi="Arial" w:cs="Arial"/>
          <w:sz w:val="22"/>
          <w:szCs w:val="22"/>
          <w:lang w:val="es-EC"/>
        </w:rPr>
        <w:t>curriculum</w:t>
      </w:r>
      <w:proofErr w:type="spellEnd"/>
      <w:r w:rsidRPr="00D51E87">
        <w:rPr>
          <w:rFonts w:ascii="Arial" w:hAnsi="Arial" w:cs="Arial"/>
          <w:sz w:val="22"/>
          <w:szCs w:val="22"/>
          <w:lang w:val="es-EC"/>
        </w:rPr>
        <w:t xml:space="preserve"> vitae del personal profesional que utilizará para la prestación del servicio de auditoría al ITCR, especificando la relación laboral y el tiempo de servicio a la firma.</w:t>
      </w:r>
    </w:p>
    <w:p w:rsidR="00D51E87" w:rsidRPr="00D51E87" w:rsidRDefault="00D51E87" w:rsidP="00803853">
      <w:pPr>
        <w:numPr>
          <w:ilvl w:val="0"/>
          <w:numId w:val="27"/>
        </w:numPr>
        <w:ind w:left="720"/>
        <w:jc w:val="both"/>
        <w:rPr>
          <w:rFonts w:ascii="Arial" w:hAnsi="Arial" w:cs="Arial"/>
          <w:sz w:val="22"/>
          <w:szCs w:val="22"/>
          <w:lang w:val="es-EC"/>
        </w:rPr>
      </w:pPr>
      <w:r w:rsidRPr="00D51E87">
        <w:rPr>
          <w:rFonts w:ascii="Arial" w:hAnsi="Arial" w:cs="Arial"/>
          <w:sz w:val="22"/>
          <w:szCs w:val="22"/>
          <w:lang w:val="es-EC"/>
        </w:rPr>
        <w:t>El personal designado para el trabajo debe contar con los más altos grados profesionales y con la experiencia necesaria que garantice la calidad y la oportunidad del trabajo a desarrollar, para lo cual el oferente debe indicar con toda claridad estos atributos, aportando para cada uno de ellos lo siguiente:</w:t>
      </w:r>
    </w:p>
    <w:p w:rsidR="00D51E87" w:rsidRPr="00D51E87" w:rsidRDefault="00D51E87" w:rsidP="00803853">
      <w:pPr>
        <w:numPr>
          <w:ilvl w:val="2"/>
          <w:numId w:val="18"/>
        </w:numPr>
        <w:ind w:left="995"/>
        <w:jc w:val="both"/>
        <w:rPr>
          <w:rFonts w:ascii="Arial" w:hAnsi="Arial" w:cs="Arial"/>
          <w:sz w:val="22"/>
          <w:szCs w:val="22"/>
          <w:lang w:val="es-EC"/>
        </w:rPr>
      </w:pPr>
      <w:r w:rsidRPr="00D51E87">
        <w:rPr>
          <w:rFonts w:ascii="Arial" w:hAnsi="Arial" w:cs="Arial"/>
          <w:sz w:val="22"/>
          <w:szCs w:val="22"/>
          <w:lang w:val="es-EC"/>
        </w:rPr>
        <w:t>Copias de los títulos obtenidos.</w:t>
      </w:r>
    </w:p>
    <w:p w:rsidR="00D51E87" w:rsidRPr="00D51E87" w:rsidRDefault="00D51E87" w:rsidP="00803853">
      <w:pPr>
        <w:numPr>
          <w:ilvl w:val="2"/>
          <w:numId w:val="18"/>
        </w:numPr>
        <w:ind w:left="995"/>
        <w:jc w:val="both"/>
        <w:rPr>
          <w:rFonts w:ascii="Arial" w:hAnsi="Arial" w:cs="Arial"/>
          <w:sz w:val="22"/>
          <w:szCs w:val="22"/>
          <w:lang w:val="es-EC"/>
        </w:rPr>
      </w:pPr>
      <w:r w:rsidRPr="00D51E87">
        <w:rPr>
          <w:rFonts w:ascii="Arial" w:hAnsi="Arial" w:cs="Arial"/>
          <w:sz w:val="22"/>
          <w:szCs w:val="22"/>
          <w:lang w:val="es-EC"/>
        </w:rPr>
        <w:t>Certificación original de inscripción al Colegio Profesional respectivo y donde conste que a la fecha es miembro activo del mismo.</w:t>
      </w:r>
    </w:p>
    <w:p w:rsidR="00D51E87" w:rsidRPr="00D51E87" w:rsidRDefault="00D51E87" w:rsidP="00803853">
      <w:pPr>
        <w:numPr>
          <w:ilvl w:val="2"/>
          <w:numId w:val="18"/>
        </w:numPr>
        <w:ind w:left="995"/>
        <w:jc w:val="both"/>
        <w:rPr>
          <w:rFonts w:ascii="Arial" w:hAnsi="Arial" w:cs="Arial"/>
          <w:sz w:val="22"/>
          <w:szCs w:val="22"/>
          <w:lang w:val="es-EC"/>
        </w:rPr>
      </w:pPr>
      <w:r w:rsidRPr="00D51E87">
        <w:rPr>
          <w:rFonts w:ascii="Arial" w:hAnsi="Arial" w:cs="Arial"/>
          <w:sz w:val="22"/>
          <w:szCs w:val="22"/>
          <w:lang w:val="es-EC"/>
        </w:rPr>
        <w:t>Declaración jurada donde cada uno de los profesionales asignados al ITCR haga constar el tiempo que tiene de laborar para el oferente, indicando la fecha de ingreso a la firma.</w:t>
      </w:r>
    </w:p>
    <w:p w:rsidR="00D51E87" w:rsidRPr="00D51E87" w:rsidRDefault="00D51E87" w:rsidP="00803853">
      <w:pPr>
        <w:numPr>
          <w:ilvl w:val="2"/>
          <w:numId w:val="18"/>
        </w:numPr>
        <w:ind w:left="995"/>
        <w:jc w:val="both"/>
        <w:rPr>
          <w:rFonts w:ascii="Arial" w:hAnsi="Arial" w:cs="Arial"/>
          <w:sz w:val="22"/>
          <w:szCs w:val="22"/>
          <w:lang w:val="es-EC"/>
        </w:rPr>
      </w:pPr>
      <w:r w:rsidRPr="00D51E87">
        <w:rPr>
          <w:rFonts w:ascii="Arial" w:hAnsi="Arial" w:cs="Arial"/>
          <w:sz w:val="22"/>
          <w:szCs w:val="22"/>
          <w:lang w:val="es-EC"/>
        </w:rPr>
        <w:t>Los profesionales deben aportar copias de cartas emitidas de las Instituciones Públicas, donde hayan realizado los trabajos de auditoria, en los últimos 10 años. Las mismas deben contener al menos el nombre de la institución, mención del profesional (Auditor responsable), periodo auditado,</w:t>
      </w:r>
      <w:r w:rsidRPr="00D51E87">
        <w:rPr>
          <w:rFonts w:ascii="Arial" w:hAnsi="Arial" w:cs="Arial"/>
          <w:sz w:val="22"/>
          <w:szCs w:val="22"/>
          <w:lang w:val="es-CR"/>
        </w:rPr>
        <w:t xml:space="preserve"> indicar expresamente si la auditoria fue basada en NICSP o NIIF y el</w:t>
      </w:r>
      <w:r w:rsidRPr="00D51E87">
        <w:rPr>
          <w:rFonts w:ascii="Arial" w:hAnsi="Arial" w:cs="Arial"/>
          <w:sz w:val="22"/>
          <w:szCs w:val="22"/>
          <w:lang w:val="es-EC"/>
        </w:rPr>
        <w:t xml:space="preserve"> detalle de las labores efectuados, nombre y cargo del encargado del contrato, teléfono, sello y firma. </w:t>
      </w:r>
    </w:p>
    <w:p w:rsidR="00D51E87" w:rsidRPr="00D51E87" w:rsidRDefault="00D51E87" w:rsidP="00803853">
      <w:pPr>
        <w:numPr>
          <w:ilvl w:val="0"/>
          <w:numId w:val="27"/>
        </w:numPr>
        <w:ind w:left="720"/>
        <w:jc w:val="both"/>
        <w:rPr>
          <w:rFonts w:ascii="Arial" w:hAnsi="Arial" w:cs="Arial"/>
          <w:sz w:val="22"/>
          <w:szCs w:val="22"/>
          <w:lang w:val="es-EC"/>
        </w:rPr>
      </w:pPr>
      <w:r w:rsidRPr="00D51E87">
        <w:rPr>
          <w:rFonts w:ascii="Arial" w:hAnsi="Arial" w:cs="Arial"/>
          <w:sz w:val="22"/>
          <w:szCs w:val="22"/>
          <w:lang w:val="es-EC"/>
        </w:rPr>
        <w:t>El oferente debe incluir al grupo de profesionales que seguidamente se indica:</w:t>
      </w:r>
    </w:p>
    <w:p w:rsidR="00D51E87" w:rsidRPr="00D51E87" w:rsidRDefault="00D51E87" w:rsidP="00803853">
      <w:pPr>
        <w:numPr>
          <w:ilvl w:val="0"/>
          <w:numId w:val="28"/>
        </w:numPr>
        <w:jc w:val="both"/>
        <w:rPr>
          <w:rFonts w:ascii="Arial" w:hAnsi="Arial" w:cs="Arial"/>
          <w:sz w:val="22"/>
          <w:szCs w:val="22"/>
          <w:lang w:val="es-EC"/>
        </w:rPr>
      </w:pPr>
      <w:r w:rsidRPr="00D51E87">
        <w:rPr>
          <w:rFonts w:ascii="Arial" w:hAnsi="Arial" w:cs="Arial"/>
          <w:sz w:val="22"/>
          <w:szCs w:val="22"/>
          <w:lang w:val="es-EC"/>
        </w:rPr>
        <w:t>Un socio director o Encargado quien tendrá la asignación del trabajo, con el título de Contador Público Autorizado y Certificado en NIIF y/o NICSP, con una experiencia mínima de cinco años consecutivos en trabajos de auditoria en Instituciones Públicas e incorporado al Colegio de Contadores Públicos de Costa Rica.</w:t>
      </w:r>
    </w:p>
    <w:p w:rsidR="00D51E87" w:rsidRPr="00D51E87" w:rsidRDefault="00D51E87" w:rsidP="00803853">
      <w:pPr>
        <w:numPr>
          <w:ilvl w:val="0"/>
          <w:numId w:val="28"/>
        </w:numPr>
        <w:jc w:val="both"/>
        <w:rPr>
          <w:rFonts w:ascii="Arial" w:hAnsi="Arial" w:cs="Arial"/>
          <w:sz w:val="22"/>
          <w:szCs w:val="22"/>
          <w:lang w:val="es-EC"/>
        </w:rPr>
      </w:pPr>
      <w:r w:rsidRPr="00D51E87">
        <w:rPr>
          <w:rFonts w:ascii="Arial" w:hAnsi="Arial" w:cs="Arial"/>
          <w:sz w:val="22"/>
          <w:szCs w:val="22"/>
          <w:lang w:val="es-EC"/>
        </w:rPr>
        <w:t>Un Contador Público Autorizado y Certificado en NIIF y/o NICSP como encargado del equipo de auditores, con una experiencia mínima de cinco años consecutivos en auditoria de Instituciones Públicas e incorporado al Colegio de Contadores Públicos de Costa Rica.</w:t>
      </w:r>
    </w:p>
    <w:p w:rsidR="00D51E87" w:rsidRPr="00D51E87" w:rsidRDefault="00D51E87" w:rsidP="00803853">
      <w:pPr>
        <w:numPr>
          <w:ilvl w:val="0"/>
          <w:numId w:val="28"/>
        </w:numPr>
        <w:jc w:val="both"/>
        <w:rPr>
          <w:rFonts w:ascii="Arial" w:hAnsi="Arial" w:cs="Arial"/>
          <w:sz w:val="22"/>
          <w:szCs w:val="22"/>
          <w:lang w:val="es-EC"/>
        </w:rPr>
      </w:pPr>
      <w:r w:rsidRPr="00D51E87">
        <w:rPr>
          <w:rFonts w:ascii="Arial" w:hAnsi="Arial" w:cs="Arial"/>
          <w:sz w:val="22"/>
          <w:szCs w:val="22"/>
          <w:lang w:val="es-EC"/>
        </w:rPr>
        <w:t xml:space="preserve">Dos auditores asistentes con un grado académico mínimo de Bachillerato en Contaduría Pública o Administración de Empresas con énfasis en Contaduría Pública, con una experiencia mínima de tres años consecutivos en auditorias de Instituciones Públicas. Con experiencia en NIIF o preferiblemente en NICSP. </w:t>
      </w:r>
    </w:p>
    <w:p w:rsidR="00D51E87" w:rsidRPr="00D51E87" w:rsidRDefault="00D51E87" w:rsidP="00803853">
      <w:pPr>
        <w:numPr>
          <w:ilvl w:val="0"/>
          <w:numId w:val="28"/>
        </w:numPr>
        <w:jc w:val="both"/>
        <w:rPr>
          <w:rFonts w:ascii="Arial" w:hAnsi="Arial" w:cs="Arial"/>
          <w:sz w:val="22"/>
          <w:szCs w:val="22"/>
          <w:lang w:val="es-EC"/>
        </w:rPr>
      </w:pPr>
      <w:r w:rsidRPr="00D51E87">
        <w:rPr>
          <w:rFonts w:ascii="Arial" w:hAnsi="Arial" w:cs="Arial"/>
          <w:sz w:val="22"/>
          <w:szCs w:val="22"/>
          <w:lang w:val="es-EC"/>
        </w:rPr>
        <w:t>Un profesional en Auditoria de Sistemas Certificado con un grado académico mínimo de bachillerato en Ingeniería de Sistemas o carrera afín y experiencia mínima de cinco años consecutivas en auditorias de sistemas de información en Instituciones Públicas.</w:t>
      </w:r>
    </w:p>
    <w:p w:rsidR="00D51E87" w:rsidRPr="00D51E87" w:rsidRDefault="00D51E87" w:rsidP="00803853">
      <w:pPr>
        <w:numPr>
          <w:ilvl w:val="0"/>
          <w:numId w:val="27"/>
        </w:numPr>
        <w:suppressAutoHyphens/>
        <w:snapToGrid w:val="0"/>
        <w:ind w:left="714" w:hanging="357"/>
        <w:jc w:val="both"/>
        <w:rPr>
          <w:rFonts w:ascii="Arial" w:hAnsi="Arial" w:cs="Arial"/>
          <w:sz w:val="22"/>
          <w:szCs w:val="22"/>
          <w:lang w:val="es-CR"/>
        </w:rPr>
      </w:pPr>
      <w:r w:rsidRPr="00D51E87">
        <w:rPr>
          <w:rFonts w:ascii="Arial" w:hAnsi="Arial" w:cs="Arial"/>
          <w:sz w:val="22"/>
          <w:szCs w:val="22"/>
          <w:lang w:val="es-CR"/>
        </w:rPr>
        <w:t>En caso de que el contratista requiera prescindir o sustituir a alguno de los miembros del equipo asignado, deberá informar con una antelación de al menos cinco días hábiles al Administrador del Contrato y el nuevo personal deberá cumplir en su totalidad con los requisitos solicitados para el puesto que va a sustituir.</w:t>
      </w:r>
    </w:p>
    <w:p w:rsidR="00D51E87" w:rsidRPr="00D51E87" w:rsidRDefault="00D51E87" w:rsidP="00803853">
      <w:pPr>
        <w:numPr>
          <w:ilvl w:val="0"/>
          <w:numId w:val="27"/>
        </w:numPr>
        <w:suppressAutoHyphens/>
        <w:snapToGrid w:val="0"/>
        <w:ind w:left="714" w:hanging="357"/>
        <w:jc w:val="both"/>
        <w:rPr>
          <w:rFonts w:ascii="Arial" w:hAnsi="Arial" w:cs="Arial"/>
          <w:sz w:val="22"/>
          <w:szCs w:val="22"/>
          <w:lang w:val="es-CR"/>
        </w:rPr>
      </w:pPr>
      <w:r w:rsidRPr="00D51E87">
        <w:rPr>
          <w:rFonts w:ascii="Arial" w:hAnsi="Arial" w:cs="Arial"/>
          <w:sz w:val="22"/>
          <w:szCs w:val="22"/>
          <w:lang w:val="es-CR"/>
        </w:rPr>
        <w:t>El ITCR se reserva el derecho de solicitar al Contratista el reemplazo del o los profesionales cuando no esté satisfecho con su desempeño.</w:t>
      </w:r>
    </w:p>
    <w:p w:rsidR="00D51E87" w:rsidRPr="00D51E87" w:rsidRDefault="00D51E87" w:rsidP="00803853">
      <w:pPr>
        <w:numPr>
          <w:ilvl w:val="0"/>
          <w:numId w:val="27"/>
        </w:numPr>
        <w:suppressAutoHyphens/>
        <w:snapToGrid w:val="0"/>
        <w:ind w:left="714" w:hanging="357"/>
        <w:jc w:val="both"/>
        <w:rPr>
          <w:rFonts w:ascii="Arial" w:hAnsi="Arial" w:cs="Arial"/>
          <w:sz w:val="22"/>
          <w:szCs w:val="22"/>
          <w:lang w:val="es-CR"/>
        </w:rPr>
      </w:pPr>
      <w:r w:rsidRPr="00D51E87">
        <w:rPr>
          <w:rFonts w:ascii="Arial" w:hAnsi="Arial" w:cs="Arial"/>
          <w:sz w:val="22"/>
          <w:szCs w:val="22"/>
          <w:lang w:val="es-CR"/>
        </w:rPr>
        <w:t>El ITCR se reserva el derecho de solicitar al Contratista el cambio del equipo de auditores una vez concluido dos periodos de auditoria consecutivas, con la finalidad de mantener la independencia del equipo designado. Para lo anterior el oferente debe declarar bajo juramento que contará con los colaboradores suficientes para atender este requerimiento, en el momento que sea requerido.</w:t>
      </w:r>
    </w:p>
    <w:p w:rsidR="00D51E87" w:rsidRPr="00D51E87" w:rsidRDefault="00D51E87" w:rsidP="00803853">
      <w:pPr>
        <w:numPr>
          <w:ilvl w:val="0"/>
          <w:numId w:val="27"/>
        </w:numPr>
        <w:suppressAutoHyphens/>
        <w:snapToGrid w:val="0"/>
        <w:ind w:left="714" w:hanging="357"/>
        <w:jc w:val="both"/>
        <w:rPr>
          <w:rFonts w:ascii="Arial" w:hAnsi="Arial" w:cs="Arial"/>
          <w:sz w:val="22"/>
          <w:szCs w:val="22"/>
          <w:lang w:val="es-CR"/>
        </w:rPr>
      </w:pPr>
      <w:r w:rsidRPr="00D51E87">
        <w:rPr>
          <w:rFonts w:ascii="Arial" w:hAnsi="Arial" w:cs="Arial"/>
          <w:sz w:val="22"/>
          <w:szCs w:val="22"/>
          <w:lang w:val="es-CR"/>
        </w:rPr>
        <w:lastRenderedPageBreak/>
        <w:t>El ITCR no asumirá responsabilidad alguna por demandas de carácter laboral, comercial, civil o penal, generadas entre el contratista y sus colaboradores o por actuaciones realizadas por los colaboradores del contratista o de contratos que procedan, aun cuando aquellas se deriven de la ejecución contractual.</w:t>
      </w:r>
    </w:p>
    <w:p w:rsidR="00D51E87" w:rsidRPr="00D51E87" w:rsidRDefault="00D51E87" w:rsidP="00803853">
      <w:pPr>
        <w:numPr>
          <w:ilvl w:val="0"/>
          <w:numId w:val="27"/>
        </w:numPr>
        <w:suppressAutoHyphens/>
        <w:snapToGrid w:val="0"/>
        <w:ind w:left="714" w:hanging="357"/>
        <w:jc w:val="both"/>
        <w:rPr>
          <w:rFonts w:ascii="Arial" w:hAnsi="Arial" w:cs="Arial"/>
          <w:sz w:val="22"/>
          <w:szCs w:val="22"/>
          <w:lang w:val="es-CR"/>
        </w:rPr>
      </w:pPr>
      <w:r w:rsidRPr="00D51E87">
        <w:rPr>
          <w:rFonts w:ascii="Arial" w:hAnsi="Arial" w:cs="Arial"/>
          <w:sz w:val="22"/>
          <w:szCs w:val="22"/>
          <w:lang w:val="es-CR"/>
        </w:rPr>
        <w:t>El Contratista debe hacerse responsable de la conducta y los actos de los profesionales que asignará al ITCR entorno a la Ley Contra el Hostigamiento o Acoso Sexual en el Empleo y la Docencia. Además, correrá con todos los gastos concernientes a viáticos por traslado, alimentación, peajes, hospedaje y estacionamientos que su personal incurra por la prestación del servicio al ITCR.</w:t>
      </w:r>
    </w:p>
    <w:p w:rsidR="00D51E87" w:rsidRPr="00D51E87" w:rsidRDefault="00D51E87" w:rsidP="00803853">
      <w:pPr>
        <w:numPr>
          <w:ilvl w:val="0"/>
          <w:numId w:val="27"/>
        </w:numPr>
        <w:suppressAutoHyphens/>
        <w:snapToGrid w:val="0"/>
        <w:ind w:left="714" w:hanging="357"/>
        <w:jc w:val="both"/>
        <w:rPr>
          <w:rFonts w:ascii="Arial" w:hAnsi="Arial" w:cs="Arial"/>
          <w:sz w:val="22"/>
          <w:szCs w:val="22"/>
          <w:lang w:val="es-CR"/>
        </w:rPr>
      </w:pPr>
      <w:r w:rsidRPr="00D51E87">
        <w:rPr>
          <w:rFonts w:ascii="Arial" w:hAnsi="Arial" w:cs="Arial"/>
          <w:sz w:val="22"/>
          <w:szCs w:val="22"/>
          <w:lang w:val="es-CR"/>
        </w:rPr>
        <w:t>Esta contratación no representa, ni genera ninguna relación laboral con el contratista o sus colaboradores, siendo responsabilidad del Contratista asumir las obligaciones obrero-patronales y de riesgo del trabajo.</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2" w:name="_Toc526433875"/>
      <w:r w:rsidRPr="00D51E87">
        <w:rPr>
          <w:rFonts w:ascii="Arial" w:hAnsi="Arial" w:cs="Arial"/>
          <w:b/>
          <w:bCs/>
          <w:i/>
          <w:iCs/>
          <w:sz w:val="22"/>
          <w:szCs w:val="22"/>
          <w:lang w:val="es-CR"/>
        </w:rPr>
        <w:t>PRODUCTOS DE LA AUDITORÍA</w:t>
      </w:r>
      <w:bookmarkEnd w:id="62"/>
    </w:p>
    <w:p w:rsidR="00D51E87" w:rsidRPr="00D51E87" w:rsidRDefault="00D51E87" w:rsidP="00803853">
      <w:pPr>
        <w:numPr>
          <w:ilvl w:val="0"/>
          <w:numId w:val="29"/>
        </w:numPr>
        <w:jc w:val="both"/>
        <w:rPr>
          <w:rFonts w:ascii="Arial" w:hAnsi="Arial" w:cs="Arial"/>
          <w:sz w:val="22"/>
          <w:szCs w:val="22"/>
          <w:lang w:val="es-EC"/>
        </w:rPr>
      </w:pPr>
      <w:r w:rsidRPr="00D51E87">
        <w:rPr>
          <w:rFonts w:ascii="Arial" w:hAnsi="Arial" w:cs="Arial"/>
          <w:sz w:val="22"/>
          <w:szCs w:val="22"/>
          <w:lang w:val="es-EC"/>
        </w:rPr>
        <w:t>El día de la firma del Acta de Inicio, el Contratista debe solicitar los requerimientos de la primera visita.</w:t>
      </w:r>
    </w:p>
    <w:p w:rsidR="00D51E87" w:rsidRPr="00D51E87" w:rsidRDefault="00D51E87" w:rsidP="00803853">
      <w:pPr>
        <w:numPr>
          <w:ilvl w:val="0"/>
          <w:numId w:val="29"/>
        </w:numPr>
        <w:jc w:val="both"/>
        <w:rPr>
          <w:rFonts w:ascii="Arial" w:hAnsi="Arial" w:cs="Arial"/>
          <w:sz w:val="22"/>
          <w:szCs w:val="22"/>
          <w:lang w:val="es-EC"/>
        </w:rPr>
      </w:pPr>
      <w:r w:rsidRPr="00D51E87">
        <w:rPr>
          <w:rFonts w:ascii="Arial" w:hAnsi="Arial" w:cs="Arial"/>
          <w:sz w:val="22"/>
          <w:szCs w:val="22"/>
          <w:lang w:val="es-EC"/>
        </w:rPr>
        <w:t>El Contratista previo a realizar las visitas de campo debe solicitar la información necesaria con al menos 15 días hábiles a su inicio.</w:t>
      </w:r>
    </w:p>
    <w:p w:rsidR="00D51E87" w:rsidRPr="00D51E87" w:rsidRDefault="00D51E87" w:rsidP="00803853">
      <w:pPr>
        <w:numPr>
          <w:ilvl w:val="0"/>
          <w:numId w:val="29"/>
        </w:numPr>
        <w:jc w:val="both"/>
        <w:rPr>
          <w:rFonts w:ascii="Arial" w:hAnsi="Arial" w:cs="Arial"/>
          <w:sz w:val="22"/>
          <w:szCs w:val="22"/>
          <w:lang w:val="es-EC"/>
        </w:rPr>
      </w:pPr>
      <w:r w:rsidRPr="00D51E87">
        <w:rPr>
          <w:rFonts w:ascii="Arial" w:hAnsi="Arial" w:cs="Arial"/>
          <w:sz w:val="22"/>
          <w:szCs w:val="22"/>
          <w:lang w:val="es-EC"/>
        </w:rPr>
        <w:t xml:space="preserve">Las visitas deben iniciar con al menos 20 días hábiles de anticipación a la emisión de los informes, de acuerdo con las fechas de entrega establecidas en el presente cartel. </w:t>
      </w:r>
    </w:p>
    <w:p w:rsidR="00D51E87" w:rsidRPr="00D51E87" w:rsidRDefault="00D51E87" w:rsidP="00803853">
      <w:pPr>
        <w:numPr>
          <w:ilvl w:val="0"/>
          <w:numId w:val="29"/>
        </w:numPr>
        <w:jc w:val="both"/>
        <w:rPr>
          <w:rFonts w:ascii="Arial" w:hAnsi="Arial" w:cs="Arial"/>
          <w:sz w:val="22"/>
          <w:szCs w:val="22"/>
          <w:lang w:val="es-EC"/>
        </w:rPr>
      </w:pPr>
      <w:r w:rsidRPr="00D51E87">
        <w:rPr>
          <w:rFonts w:ascii="Arial" w:hAnsi="Arial" w:cs="Arial"/>
          <w:sz w:val="22"/>
          <w:szCs w:val="22"/>
          <w:lang w:val="es-EC"/>
        </w:rPr>
        <w:t xml:space="preserve">La planificación de las visitas debe ser coordinado entre el contratista y los responsables jerárquicos de las áreas vinculadas al estudio, para lo cual se debe desarrollar una reunión de entendimiento y definición de los cronogramas de trabajo al inicio del proceso de auditoría para cada periodo contratado. </w:t>
      </w:r>
    </w:p>
    <w:p w:rsidR="00D51E87" w:rsidRPr="00D51E87" w:rsidRDefault="00D51E87" w:rsidP="00803853">
      <w:pPr>
        <w:numPr>
          <w:ilvl w:val="0"/>
          <w:numId w:val="29"/>
        </w:numPr>
        <w:jc w:val="both"/>
        <w:rPr>
          <w:rFonts w:ascii="Arial" w:hAnsi="Arial" w:cs="Arial"/>
          <w:sz w:val="22"/>
          <w:szCs w:val="22"/>
          <w:lang w:val="es-EC"/>
        </w:rPr>
      </w:pPr>
      <w:r w:rsidRPr="00D51E87">
        <w:rPr>
          <w:rFonts w:ascii="Arial" w:hAnsi="Arial" w:cs="Arial"/>
          <w:sz w:val="22"/>
          <w:szCs w:val="22"/>
          <w:lang w:val="es-EC"/>
        </w:rPr>
        <w:t>El Contratista debe presentar los informes que se detallan en el Anexo 1 del presente cartel, de conformidad a los plazos de entrega ahí indicados.</w:t>
      </w:r>
    </w:p>
    <w:p w:rsidR="00D51E87" w:rsidRPr="00D51E87" w:rsidRDefault="00D51E87" w:rsidP="00803853">
      <w:pPr>
        <w:numPr>
          <w:ilvl w:val="0"/>
          <w:numId w:val="29"/>
        </w:numPr>
        <w:jc w:val="both"/>
        <w:rPr>
          <w:rFonts w:ascii="Arial" w:hAnsi="Arial" w:cs="Arial"/>
          <w:sz w:val="22"/>
          <w:szCs w:val="22"/>
          <w:lang w:val="es-EC"/>
        </w:rPr>
      </w:pPr>
      <w:r w:rsidRPr="00D51E87">
        <w:rPr>
          <w:rFonts w:ascii="Arial" w:hAnsi="Arial" w:cs="Arial"/>
          <w:sz w:val="22"/>
          <w:szCs w:val="22"/>
          <w:lang w:val="es-EC"/>
        </w:rPr>
        <w:t>Cada uno de los informes indicados en el Anexo 1 del presente cartel se deben presentar en idioma español.</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3" w:name="_Toc526433876"/>
      <w:r w:rsidRPr="00D51E87">
        <w:rPr>
          <w:rFonts w:ascii="Arial" w:hAnsi="Arial" w:cs="Arial"/>
          <w:b/>
          <w:bCs/>
          <w:i/>
          <w:iCs/>
          <w:sz w:val="22"/>
          <w:szCs w:val="22"/>
          <w:lang w:val="es-CR"/>
        </w:rPr>
        <w:t>COMUNICACIÓN DE RESULTADOS</w:t>
      </w:r>
      <w:bookmarkEnd w:id="63"/>
    </w:p>
    <w:p w:rsidR="00D51E87" w:rsidRPr="00D51E87" w:rsidRDefault="00D51E87" w:rsidP="00803853">
      <w:pPr>
        <w:numPr>
          <w:ilvl w:val="0"/>
          <w:numId w:val="21"/>
        </w:numPr>
        <w:suppressAutoHyphens/>
        <w:ind w:left="714" w:hanging="357"/>
        <w:jc w:val="both"/>
        <w:rPr>
          <w:rFonts w:ascii="Arial" w:hAnsi="Arial" w:cs="Arial"/>
          <w:sz w:val="22"/>
          <w:szCs w:val="22"/>
          <w:lang w:val="es-CR"/>
        </w:rPr>
      </w:pPr>
      <w:r w:rsidRPr="00D51E87">
        <w:rPr>
          <w:rFonts w:ascii="Arial" w:hAnsi="Arial" w:cs="Arial"/>
          <w:sz w:val="22"/>
          <w:szCs w:val="22"/>
          <w:lang w:val="es-CR"/>
        </w:rPr>
        <w:t>El Contratista debe mantener una comunicación constante y abierta con los departamentos involucrados y la Vicerrectoría de Administración del ITCR durante la ejecución del trabajo contratado, principalmente con respecto a los resultados que se vayan obteniendo conforme se avance.</w:t>
      </w:r>
    </w:p>
    <w:p w:rsidR="00D51E87" w:rsidRPr="00D51E87" w:rsidRDefault="00D51E87" w:rsidP="00803853">
      <w:pPr>
        <w:numPr>
          <w:ilvl w:val="0"/>
          <w:numId w:val="21"/>
        </w:numPr>
        <w:ind w:left="714" w:hanging="357"/>
        <w:jc w:val="both"/>
        <w:rPr>
          <w:rFonts w:ascii="Arial" w:hAnsi="Arial" w:cs="Arial"/>
          <w:sz w:val="22"/>
          <w:szCs w:val="22"/>
          <w:lang w:val="es-EC"/>
        </w:rPr>
      </w:pPr>
      <w:r w:rsidRPr="00D51E87">
        <w:rPr>
          <w:rFonts w:ascii="Arial" w:hAnsi="Arial" w:cs="Arial"/>
          <w:sz w:val="22"/>
          <w:szCs w:val="22"/>
          <w:lang w:val="es-EC"/>
        </w:rPr>
        <w:t xml:space="preserve">Es responsabilidad del contratista la revisión y discusión de los informes detallados en el Anexo 1 del presente cartel, en un plazo de ocho días hábiles posteriores a su presentación, con los encargados de los Departamentos  que se indiquen por parte de la Vicerrectoría de Administración, así como, posteriormente realizar la exposición de aquellos informes que el ITCR le solicite, en las fechas y horas que ésta establezca, ante el Vicerrector de Administración, Rectoría, Consejo Institucional y Auditoria Interna, para su conocimiento o aprobación según corresponda. </w:t>
      </w:r>
    </w:p>
    <w:p w:rsidR="00D51E87" w:rsidRPr="00D51E87" w:rsidRDefault="00D51E87" w:rsidP="00803853">
      <w:pPr>
        <w:numPr>
          <w:ilvl w:val="0"/>
          <w:numId w:val="21"/>
        </w:numPr>
        <w:suppressAutoHyphens/>
        <w:ind w:left="714" w:hanging="357"/>
        <w:jc w:val="both"/>
        <w:rPr>
          <w:rFonts w:ascii="Arial" w:hAnsi="Arial" w:cs="Arial"/>
          <w:sz w:val="22"/>
          <w:szCs w:val="22"/>
          <w:lang w:val="es-CR"/>
        </w:rPr>
      </w:pPr>
      <w:r w:rsidRPr="00D51E87">
        <w:rPr>
          <w:rFonts w:ascii="Arial" w:hAnsi="Arial" w:cs="Arial"/>
          <w:sz w:val="22"/>
          <w:szCs w:val="22"/>
          <w:lang w:val="es-EC"/>
        </w:rPr>
        <w:t>Cinco días hábiles después de que los informes detallados en el Anexo 1 del presente cartel estén en firme, el contratista debe entregar en forma impresa, tres originales y dos copias (con sello blanco) de cada uno. Además, deberá entregarlos en archivo electrónico con firma digital en un CD, según disponga la Administración del ITCR</w:t>
      </w:r>
      <w:r w:rsidRPr="00D51E87">
        <w:rPr>
          <w:rFonts w:ascii="Arial" w:hAnsi="Arial" w:cs="Arial"/>
          <w:sz w:val="22"/>
          <w:szCs w:val="22"/>
          <w:lang w:val="es-CR"/>
        </w:rPr>
        <w:t xml:space="preserve">. </w:t>
      </w:r>
    </w:p>
    <w:p w:rsidR="00D51E87" w:rsidRPr="00D51E87" w:rsidRDefault="00D51E87" w:rsidP="00803853">
      <w:pPr>
        <w:numPr>
          <w:ilvl w:val="0"/>
          <w:numId w:val="21"/>
        </w:numPr>
        <w:suppressAutoHyphens/>
        <w:ind w:left="714" w:hanging="357"/>
        <w:jc w:val="both"/>
        <w:rPr>
          <w:rFonts w:ascii="Arial" w:hAnsi="Arial" w:cs="Arial"/>
          <w:sz w:val="22"/>
          <w:szCs w:val="22"/>
          <w:lang w:val="es-CR"/>
        </w:rPr>
      </w:pPr>
      <w:r w:rsidRPr="00D51E87">
        <w:rPr>
          <w:rFonts w:ascii="Arial" w:hAnsi="Arial" w:cs="Arial"/>
          <w:sz w:val="22"/>
          <w:szCs w:val="22"/>
          <w:lang w:val="es-CR"/>
        </w:rPr>
        <w:t>La revisión final de la ejecución contractual es responsabilidad del Administrador del Contrato, quien validará los resultados con las dependencias correspondientes previo sea comunicado oficialmente a la Vicerrectoría de Administración.</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4" w:name="_Toc526433877"/>
      <w:r w:rsidRPr="00D51E87">
        <w:rPr>
          <w:rFonts w:ascii="Arial" w:hAnsi="Arial" w:cs="Arial"/>
          <w:b/>
          <w:bCs/>
          <w:i/>
          <w:iCs/>
          <w:sz w:val="22"/>
          <w:szCs w:val="22"/>
          <w:lang w:val="es-CR"/>
        </w:rPr>
        <w:t>COMUNICACIÓN DE PRESUNTOS ACTOS O HECHOS IRREGULARES O ILEGÍTIMOS</w:t>
      </w:r>
      <w:bookmarkEnd w:id="64"/>
    </w:p>
    <w:p w:rsidR="00D51E87" w:rsidRPr="00D51E87" w:rsidRDefault="00D51E87" w:rsidP="00D51E87">
      <w:pPr>
        <w:suppressAutoHyphens/>
        <w:snapToGrid w:val="0"/>
        <w:spacing w:before="60" w:after="120"/>
        <w:ind w:left="360"/>
        <w:jc w:val="both"/>
        <w:rPr>
          <w:rFonts w:ascii="Arial" w:hAnsi="Arial" w:cs="Arial"/>
          <w:sz w:val="22"/>
          <w:szCs w:val="22"/>
          <w:lang w:val="es-CR"/>
        </w:rPr>
      </w:pPr>
      <w:r w:rsidRPr="00D51E87">
        <w:rPr>
          <w:rFonts w:ascii="Arial" w:hAnsi="Arial" w:cs="Arial"/>
          <w:sz w:val="22"/>
          <w:szCs w:val="22"/>
          <w:lang w:val="es-CR"/>
        </w:rPr>
        <w:t xml:space="preserve">El Contratista debe emitir las observaciones correspondientes a cada visita y sus respectivas recomendaciones mediante Carta de Gerencia, así como los informes parciales, según corresponda, en las fechas que el ITCR establezca; no obstante, en caso </w:t>
      </w:r>
      <w:r w:rsidRPr="00D51E87">
        <w:rPr>
          <w:rFonts w:ascii="Arial" w:hAnsi="Arial" w:cs="Arial"/>
          <w:sz w:val="22"/>
          <w:szCs w:val="22"/>
          <w:lang w:val="es-CR"/>
        </w:rPr>
        <w:lastRenderedPageBreak/>
        <w:t>de detectar posibles actos o hechos irregulares o ilegítimos, durante el desarrollo de la auditoría, independientemente del proceso en que se encuentre, deberá informar oportunamente, mediante un informe adicional.</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5" w:name="_Toc526433878"/>
      <w:r w:rsidRPr="00D51E87">
        <w:rPr>
          <w:rFonts w:ascii="Arial" w:hAnsi="Arial" w:cs="Arial"/>
          <w:b/>
          <w:bCs/>
          <w:i/>
          <w:iCs/>
          <w:sz w:val="22"/>
          <w:szCs w:val="22"/>
          <w:lang w:val="es-CR"/>
        </w:rPr>
        <w:t>RESOLUCIÓN DE EVENTUALES INCONFORMIDADES.</w:t>
      </w:r>
      <w:bookmarkEnd w:id="65"/>
    </w:p>
    <w:p w:rsidR="00D51E87" w:rsidRPr="00D51E87" w:rsidRDefault="00D51E87" w:rsidP="00D51E87">
      <w:pPr>
        <w:suppressAutoHyphens/>
        <w:snapToGrid w:val="0"/>
        <w:spacing w:before="60" w:after="120"/>
        <w:ind w:left="360"/>
        <w:jc w:val="both"/>
        <w:rPr>
          <w:rFonts w:ascii="Arial" w:hAnsi="Arial" w:cs="Arial"/>
          <w:sz w:val="22"/>
          <w:szCs w:val="22"/>
          <w:lang w:val="es-CR"/>
        </w:rPr>
      </w:pPr>
      <w:r w:rsidRPr="00D51E87">
        <w:rPr>
          <w:rFonts w:ascii="Arial" w:hAnsi="Arial" w:cs="Arial"/>
          <w:sz w:val="22"/>
          <w:szCs w:val="22"/>
          <w:lang w:val="es-CR"/>
        </w:rPr>
        <w:t>Para lo correspondiente se aplicará el procedimiento de resolución contractual establecida en el Reglamento Contratación Administrativa.</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6" w:name="_Toc526433879"/>
      <w:r w:rsidRPr="00D51E87">
        <w:rPr>
          <w:rFonts w:ascii="Arial" w:hAnsi="Arial" w:cs="Arial"/>
          <w:b/>
          <w:bCs/>
          <w:i/>
          <w:iCs/>
          <w:sz w:val="22"/>
          <w:szCs w:val="22"/>
          <w:lang w:val="es-CR"/>
        </w:rPr>
        <w:t>ACCESO A INFORMACIÓN, REGISTROS, INSTALACIONES Y OTROS.</w:t>
      </w:r>
      <w:bookmarkEnd w:id="66"/>
    </w:p>
    <w:p w:rsidR="00D51E87" w:rsidRPr="00D51E87" w:rsidRDefault="00D51E87" w:rsidP="00803853">
      <w:pPr>
        <w:numPr>
          <w:ilvl w:val="0"/>
          <w:numId w:val="20"/>
        </w:numPr>
        <w:ind w:left="567" w:hanging="357"/>
        <w:jc w:val="both"/>
        <w:rPr>
          <w:rFonts w:ascii="Arial" w:hAnsi="Arial" w:cs="Arial"/>
          <w:sz w:val="22"/>
          <w:szCs w:val="22"/>
          <w:lang w:val="es-CR"/>
        </w:rPr>
      </w:pPr>
      <w:r w:rsidRPr="00D51E87">
        <w:rPr>
          <w:rFonts w:ascii="Arial" w:hAnsi="Arial" w:cs="Arial"/>
          <w:sz w:val="22"/>
          <w:szCs w:val="22"/>
          <w:lang w:val="es-CR"/>
        </w:rPr>
        <w:t>El ITCR facilitará al Contratista la información de los diferentes sistemas institucionales, la documentación o cualquier otro tipo de información que precisen para el desarrollo de los servicios de auditoría externa, siempre y cuando no corresponda a información protegida de conformidad con el ordenamiento jurídico y las regulaciones internas de la institución.</w:t>
      </w:r>
    </w:p>
    <w:p w:rsidR="00D51E87" w:rsidRPr="00D51E87" w:rsidRDefault="00D51E87" w:rsidP="00803853">
      <w:pPr>
        <w:numPr>
          <w:ilvl w:val="0"/>
          <w:numId w:val="20"/>
        </w:numPr>
        <w:ind w:left="567" w:hanging="357"/>
        <w:jc w:val="both"/>
        <w:rPr>
          <w:rFonts w:ascii="Arial" w:hAnsi="Arial" w:cs="Arial"/>
          <w:sz w:val="22"/>
          <w:szCs w:val="22"/>
          <w:lang w:val="es-CR"/>
        </w:rPr>
      </w:pPr>
      <w:r w:rsidRPr="00D51E87">
        <w:rPr>
          <w:rFonts w:ascii="Arial" w:hAnsi="Arial" w:cs="Arial"/>
          <w:sz w:val="22"/>
          <w:szCs w:val="22"/>
          <w:lang w:val="es-CR"/>
        </w:rPr>
        <w:t>El Contratista junto con los profesionales que lleven a cabo la auditoría se comprometen a respetar la propiedad de la información que reciban o utilicen durante el cumplimiento de las labores contratadas, de emplearla únicamente en los fines de los servicios de auditoría convenidos, y de abstenerse de divulgarla sin la autorización del ITCR, caso contrario el ITCR podrá dar por incumplido el contrato y disolverlo unilateralmente  sin responsabilidad alguna para el ITCR y proceder judicialmente por daños que esto podría conllevar a la Institución.</w:t>
      </w:r>
    </w:p>
    <w:p w:rsidR="00D51E87" w:rsidRPr="00D51E87" w:rsidRDefault="00D51E87" w:rsidP="00803853">
      <w:pPr>
        <w:numPr>
          <w:ilvl w:val="0"/>
          <w:numId w:val="20"/>
        </w:numPr>
        <w:ind w:left="567" w:hanging="357"/>
        <w:jc w:val="both"/>
        <w:rPr>
          <w:rFonts w:ascii="Arial" w:hAnsi="Arial" w:cs="Arial"/>
          <w:sz w:val="22"/>
          <w:szCs w:val="22"/>
          <w:lang w:val="es-CR"/>
        </w:rPr>
      </w:pPr>
      <w:r w:rsidRPr="00D51E87">
        <w:rPr>
          <w:rFonts w:ascii="Arial" w:hAnsi="Arial" w:cs="Arial"/>
          <w:sz w:val="22"/>
          <w:szCs w:val="22"/>
          <w:lang w:val="es-CR"/>
        </w:rPr>
        <w:t>El Contratista debe guardar confidencialidad absoluta sobre la información utilizada, las condiciones laborales del ITCR y las políticas y reglamentación interna.</w:t>
      </w:r>
    </w:p>
    <w:p w:rsidR="00D51E87" w:rsidRPr="00D51E87" w:rsidRDefault="00D51E87" w:rsidP="00803853">
      <w:pPr>
        <w:numPr>
          <w:ilvl w:val="0"/>
          <w:numId w:val="20"/>
        </w:numPr>
        <w:ind w:left="567" w:hanging="357"/>
        <w:jc w:val="both"/>
        <w:rPr>
          <w:rFonts w:ascii="Arial" w:hAnsi="Arial" w:cs="Arial"/>
          <w:sz w:val="22"/>
          <w:szCs w:val="22"/>
          <w:lang w:val="es-CR"/>
        </w:rPr>
      </w:pPr>
      <w:r w:rsidRPr="00D51E87">
        <w:rPr>
          <w:rFonts w:ascii="Arial" w:hAnsi="Arial" w:cs="Arial"/>
          <w:sz w:val="22"/>
          <w:szCs w:val="22"/>
          <w:lang w:val="es-CR"/>
        </w:rPr>
        <w:t>El ITCR facilitará el espacio y mobiliario para llevar a cabo el trabajo, así como el suministro en forma oportuna de los libros y documentos que los auditores requieren consultar. En caso de que el Contratista requiera copia de la información documental como respaldo del proceso de auditoria el ITCR cobrará cada hoja impresa a ¢15,00 cuándo esta ya supere las veinte páginas, el cual deberá ser cancelado en las cajas de la Unidad de Tesorería.</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7" w:name="_Toc526433880"/>
      <w:r w:rsidRPr="00D51E87">
        <w:rPr>
          <w:rFonts w:ascii="Arial" w:hAnsi="Arial" w:cs="Arial"/>
          <w:b/>
          <w:bCs/>
          <w:i/>
          <w:iCs/>
          <w:sz w:val="22"/>
          <w:szCs w:val="22"/>
          <w:lang w:val="es-CR"/>
        </w:rPr>
        <w:t>CONSERVACIÓN Y ACCESO DE LA DOCUMENTACIÓN DE LOS SERVICIOS DE AUDITORÍA EXTERNA.</w:t>
      </w:r>
      <w:bookmarkEnd w:id="67"/>
    </w:p>
    <w:p w:rsidR="00D51E87" w:rsidRPr="00D51E87" w:rsidRDefault="00D51E87" w:rsidP="00D51E87">
      <w:pPr>
        <w:spacing w:before="60" w:after="120"/>
        <w:ind w:left="360"/>
        <w:jc w:val="both"/>
        <w:rPr>
          <w:rFonts w:ascii="Arial" w:hAnsi="Arial" w:cs="Arial"/>
          <w:sz w:val="22"/>
          <w:szCs w:val="22"/>
          <w:lang w:val="es-CR"/>
        </w:rPr>
      </w:pPr>
      <w:r w:rsidRPr="00D51E87">
        <w:rPr>
          <w:rFonts w:ascii="Arial" w:hAnsi="Arial" w:cs="Arial"/>
          <w:sz w:val="22"/>
          <w:szCs w:val="22"/>
          <w:lang w:val="es-CR"/>
        </w:rPr>
        <w:t xml:space="preserve">Se debe poner a disposición de los Órganos Supervisores Nacionales, los papeles de trabajo, el programa de auditoria aplicado y cualquier otro respaldo documental del trabajo efectuado, siempre que sea dentro de un procedimiento inspección realizado con el propósito de verificar los alcances de la auditoría, el dictamen y la información de los estados financieros auditados y sus notas. Los papeles de trabajo serán confidenciales, ellos sin perjuicio de las facultades de los órganos competentes.  </w:t>
      </w:r>
    </w:p>
    <w:p w:rsidR="00D51E87" w:rsidRPr="00D51E87" w:rsidRDefault="00D51E87" w:rsidP="00803853">
      <w:pPr>
        <w:keepNext/>
        <w:numPr>
          <w:ilvl w:val="0"/>
          <w:numId w:val="17"/>
        </w:numPr>
        <w:spacing w:before="240" w:after="60"/>
        <w:jc w:val="both"/>
        <w:outlineLvl w:val="1"/>
        <w:rPr>
          <w:rFonts w:ascii="Arial" w:hAnsi="Arial" w:cs="Arial"/>
          <w:b/>
          <w:bCs/>
          <w:iCs/>
          <w:sz w:val="22"/>
          <w:szCs w:val="22"/>
          <w:lang w:val="es-CR"/>
        </w:rPr>
      </w:pPr>
      <w:bookmarkStart w:id="68" w:name="_Toc526433881"/>
      <w:r w:rsidRPr="00D51E87">
        <w:rPr>
          <w:rFonts w:ascii="Arial" w:hAnsi="Arial" w:cs="Arial"/>
          <w:b/>
          <w:bCs/>
          <w:i/>
          <w:iCs/>
          <w:sz w:val="22"/>
          <w:szCs w:val="22"/>
          <w:lang w:val="es-CR"/>
        </w:rPr>
        <w:t>COORDINACIÓN CON LA AUDITORÍA INTERNA</w:t>
      </w:r>
      <w:bookmarkEnd w:id="68"/>
    </w:p>
    <w:p w:rsidR="00D51E87" w:rsidRPr="00D51E87" w:rsidRDefault="00D51E87" w:rsidP="00803853">
      <w:pPr>
        <w:numPr>
          <w:ilvl w:val="0"/>
          <w:numId w:val="30"/>
        </w:numPr>
        <w:ind w:left="476"/>
        <w:jc w:val="both"/>
        <w:rPr>
          <w:rFonts w:ascii="Arial" w:hAnsi="Arial" w:cs="Arial"/>
          <w:sz w:val="22"/>
          <w:szCs w:val="22"/>
          <w:lang w:val="es-CR"/>
        </w:rPr>
      </w:pPr>
      <w:r w:rsidRPr="00D51E87">
        <w:rPr>
          <w:rFonts w:ascii="Arial" w:hAnsi="Arial" w:cs="Arial"/>
          <w:sz w:val="22"/>
          <w:szCs w:val="22"/>
          <w:lang w:val="es-CR"/>
        </w:rPr>
        <w:t>En acatamiento de las normas vigentes, se debe coordinar previo al inicio del Contrato, lo que corresponda con la Auditoria Interna del Instituto Tecnológico de Costa Rica, y durante las distintas etapas de la ejecución de la auditoria.</w:t>
      </w:r>
    </w:p>
    <w:p w:rsidR="00D51E87" w:rsidRPr="00D51E87" w:rsidRDefault="00D51E87" w:rsidP="00803853">
      <w:pPr>
        <w:numPr>
          <w:ilvl w:val="0"/>
          <w:numId w:val="30"/>
        </w:numPr>
        <w:jc w:val="both"/>
        <w:rPr>
          <w:rFonts w:ascii="Arial" w:hAnsi="Arial" w:cs="Arial"/>
          <w:sz w:val="22"/>
          <w:szCs w:val="22"/>
          <w:lang w:val="es-CR"/>
        </w:rPr>
      </w:pPr>
      <w:r w:rsidRPr="00D51E87">
        <w:rPr>
          <w:rFonts w:ascii="Arial" w:hAnsi="Arial" w:cs="Arial"/>
          <w:sz w:val="22"/>
          <w:szCs w:val="22"/>
          <w:lang w:val="es-CR"/>
        </w:rPr>
        <w:t>El Contratista debe coordinar con el Auditor Interno del Instituto Tecnológico de Costa Rica, con el fin de evitar duplicidad de funciones y lograr eficiencia en el uso de los recursos.</w:t>
      </w:r>
    </w:p>
    <w:p w:rsidR="00D51E87" w:rsidRPr="00D51E87" w:rsidRDefault="00D51E87" w:rsidP="00803853">
      <w:pPr>
        <w:keepNext/>
        <w:numPr>
          <w:ilvl w:val="0"/>
          <w:numId w:val="9"/>
        </w:numPr>
        <w:tabs>
          <w:tab w:val="left" w:pos="360"/>
        </w:tabs>
        <w:suppressAutoHyphens/>
        <w:spacing w:before="240" w:after="60"/>
        <w:jc w:val="both"/>
        <w:outlineLvl w:val="1"/>
        <w:rPr>
          <w:rFonts w:ascii="Arial" w:hAnsi="Arial" w:cs="Arial"/>
          <w:b/>
          <w:bCs/>
          <w:iCs/>
          <w:sz w:val="22"/>
          <w:szCs w:val="22"/>
          <w:lang w:val="es-CR"/>
        </w:rPr>
      </w:pPr>
      <w:bookmarkStart w:id="69" w:name="_Toc526433882"/>
      <w:r w:rsidRPr="00D51E87">
        <w:rPr>
          <w:rFonts w:ascii="Arial" w:hAnsi="Arial" w:cs="Arial"/>
          <w:b/>
          <w:bCs/>
          <w:i/>
          <w:iCs/>
          <w:sz w:val="22"/>
          <w:szCs w:val="22"/>
          <w:lang w:val="es-CR"/>
        </w:rPr>
        <w:t>PERIODOS DE VACACIONES Y FERIADOS</w:t>
      </w:r>
      <w:bookmarkEnd w:id="69"/>
      <w:r w:rsidRPr="00D51E87">
        <w:rPr>
          <w:rFonts w:ascii="Arial" w:hAnsi="Arial" w:cs="Arial"/>
          <w:b/>
          <w:bCs/>
          <w:i/>
          <w:iCs/>
          <w:sz w:val="22"/>
          <w:szCs w:val="22"/>
          <w:lang w:val="es-CR"/>
        </w:rPr>
        <w:t xml:space="preserve"> </w:t>
      </w:r>
    </w:p>
    <w:p w:rsidR="00D51E87" w:rsidRPr="00D51E87" w:rsidRDefault="00D51E87" w:rsidP="00D51E87">
      <w:pPr>
        <w:ind w:left="360"/>
        <w:jc w:val="both"/>
        <w:rPr>
          <w:rFonts w:ascii="Arial" w:hAnsi="Arial" w:cs="Arial"/>
          <w:sz w:val="22"/>
          <w:szCs w:val="22"/>
          <w:lang w:val="es-CR"/>
        </w:rPr>
      </w:pPr>
      <w:r w:rsidRPr="00D51E87">
        <w:rPr>
          <w:rFonts w:ascii="Arial" w:hAnsi="Arial" w:cs="Arial"/>
          <w:sz w:val="22"/>
          <w:szCs w:val="22"/>
          <w:lang w:val="es-CR"/>
        </w:rPr>
        <w:t>El Instituto Tecnológico de Costa Rica tiene los siguientes periodos de vacaciones establecidos:</w:t>
      </w:r>
    </w:p>
    <w:p w:rsidR="00D51E87" w:rsidRPr="00D51E87" w:rsidRDefault="00D51E87" w:rsidP="00803853">
      <w:pPr>
        <w:numPr>
          <w:ilvl w:val="0"/>
          <w:numId w:val="37"/>
        </w:numPr>
        <w:jc w:val="both"/>
        <w:rPr>
          <w:rFonts w:ascii="Arial" w:hAnsi="Arial" w:cs="Arial"/>
          <w:sz w:val="22"/>
          <w:szCs w:val="22"/>
          <w:lang w:val="es-CR"/>
        </w:rPr>
      </w:pPr>
      <w:r w:rsidRPr="00D51E87">
        <w:rPr>
          <w:rFonts w:ascii="Arial" w:hAnsi="Arial" w:cs="Arial"/>
          <w:sz w:val="22"/>
          <w:szCs w:val="22"/>
          <w:lang w:val="es-CR"/>
        </w:rPr>
        <w:t>Fin y principio de año 2018-2019: 24 de diciembre 2018 al 18 de enero 2019</w:t>
      </w:r>
    </w:p>
    <w:p w:rsidR="00D51E87" w:rsidRPr="00D51E87" w:rsidRDefault="00D51E87" w:rsidP="00803853">
      <w:pPr>
        <w:numPr>
          <w:ilvl w:val="0"/>
          <w:numId w:val="37"/>
        </w:numPr>
        <w:jc w:val="both"/>
        <w:rPr>
          <w:rFonts w:ascii="Arial" w:hAnsi="Arial" w:cs="Arial"/>
          <w:sz w:val="22"/>
          <w:szCs w:val="22"/>
          <w:lang w:val="es-CR"/>
        </w:rPr>
      </w:pPr>
      <w:r w:rsidRPr="00D51E87">
        <w:rPr>
          <w:rFonts w:ascii="Arial" w:hAnsi="Arial" w:cs="Arial"/>
          <w:sz w:val="22"/>
          <w:szCs w:val="22"/>
          <w:lang w:val="es-CR"/>
        </w:rPr>
        <w:t>Semana Santa</w:t>
      </w:r>
    </w:p>
    <w:p w:rsidR="00D51E87" w:rsidRPr="00D51E87" w:rsidRDefault="00D51E87" w:rsidP="00803853">
      <w:pPr>
        <w:numPr>
          <w:ilvl w:val="0"/>
          <w:numId w:val="37"/>
        </w:numPr>
        <w:jc w:val="both"/>
        <w:rPr>
          <w:rFonts w:ascii="Arial" w:hAnsi="Arial" w:cs="Arial"/>
          <w:sz w:val="22"/>
          <w:szCs w:val="22"/>
          <w:lang w:val="es-CR"/>
        </w:rPr>
      </w:pPr>
      <w:r w:rsidRPr="00D51E87">
        <w:rPr>
          <w:rFonts w:ascii="Arial" w:hAnsi="Arial" w:cs="Arial"/>
          <w:sz w:val="22"/>
          <w:szCs w:val="22"/>
          <w:lang w:val="es-CR"/>
        </w:rPr>
        <w:lastRenderedPageBreak/>
        <w:t>Medio Año: 10 días, para los siguientes años se comunicará el periodo según corresponda.</w:t>
      </w:r>
    </w:p>
    <w:p w:rsidR="00D51E87" w:rsidRPr="00D51E87" w:rsidRDefault="00D51E87" w:rsidP="00D51E87">
      <w:pPr>
        <w:ind w:left="360"/>
        <w:jc w:val="both"/>
        <w:rPr>
          <w:rFonts w:ascii="Arial" w:hAnsi="Arial" w:cs="Arial"/>
          <w:sz w:val="22"/>
          <w:szCs w:val="22"/>
          <w:lang w:val="es-CR"/>
        </w:rPr>
      </w:pPr>
      <w:r w:rsidRPr="00D51E87">
        <w:rPr>
          <w:rFonts w:ascii="Arial" w:hAnsi="Arial" w:cs="Arial"/>
          <w:sz w:val="22"/>
          <w:szCs w:val="22"/>
          <w:lang w:val="es-CR"/>
        </w:rPr>
        <w:t>Días de asueto:</w:t>
      </w:r>
    </w:p>
    <w:p w:rsidR="00D51E87" w:rsidRPr="00D51E87" w:rsidRDefault="00D51E87" w:rsidP="00803853">
      <w:pPr>
        <w:numPr>
          <w:ilvl w:val="0"/>
          <w:numId w:val="38"/>
        </w:numPr>
        <w:jc w:val="both"/>
        <w:rPr>
          <w:rFonts w:ascii="Arial" w:hAnsi="Arial" w:cs="Arial"/>
          <w:sz w:val="22"/>
          <w:szCs w:val="22"/>
          <w:lang w:val="es-CR"/>
        </w:rPr>
      </w:pPr>
      <w:r w:rsidRPr="00D51E87">
        <w:rPr>
          <w:rFonts w:ascii="Arial" w:hAnsi="Arial" w:cs="Arial"/>
          <w:sz w:val="22"/>
          <w:szCs w:val="22"/>
          <w:lang w:val="es-CR"/>
        </w:rPr>
        <w:t>1 de enero, 11 de abril, 1 de mayo, 25 de julio, 2 de agosto, 15 de setiembre, 12 de octubre, 25 de diciembre</w:t>
      </w:r>
    </w:p>
    <w:p w:rsidR="00D51E87" w:rsidRPr="00D51E87" w:rsidRDefault="00D51E87" w:rsidP="00D51E87">
      <w:pPr>
        <w:jc w:val="both"/>
        <w:rPr>
          <w:rFonts w:ascii="Arial" w:hAnsi="Arial" w:cs="Arial"/>
          <w:sz w:val="22"/>
          <w:szCs w:val="22"/>
          <w:lang w:val="es-CR"/>
        </w:rPr>
      </w:pPr>
      <w:r w:rsidRPr="00D51E87">
        <w:rPr>
          <w:rFonts w:ascii="Arial" w:hAnsi="Arial" w:cs="Arial"/>
          <w:b/>
          <w:sz w:val="22"/>
          <w:szCs w:val="22"/>
          <w:lang w:val="es-CR"/>
        </w:rPr>
        <w:t>Nota:</w:t>
      </w:r>
      <w:r w:rsidRPr="00D51E87">
        <w:rPr>
          <w:rFonts w:ascii="Arial" w:hAnsi="Arial" w:cs="Arial"/>
          <w:sz w:val="22"/>
          <w:szCs w:val="22"/>
          <w:lang w:val="es-CR"/>
        </w:rPr>
        <w:t xml:space="preserve">  En la primera visita de entendimiento se establecerán las acciones a seguir en cuanto a las fechas para los entregables correspondientes al 2018.</w:t>
      </w:r>
    </w:p>
    <w:p w:rsidR="00D51E87" w:rsidRPr="00D51E87" w:rsidRDefault="00D51E87" w:rsidP="00803853">
      <w:pPr>
        <w:keepNext/>
        <w:numPr>
          <w:ilvl w:val="0"/>
          <w:numId w:val="9"/>
        </w:numPr>
        <w:tabs>
          <w:tab w:val="left" w:pos="360"/>
        </w:tabs>
        <w:suppressAutoHyphens/>
        <w:spacing w:before="240" w:after="60"/>
        <w:jc w:val="both"/>
        <w:outlineLvl w:val="1"/>
        <w:rPr>
          <w:rFonts w:ascii="Arial" w:hAnsi="Arial" w:cs="Arial"/>
          <w:b/>
          <w:bCs/>
          <w:iCs/>
          <w:szCs w:val="22"/>
          <w:lang w:val="es-CR"/>
        </w:rPr>
      </w:pPr>
      <w:bookmarkStart w:id="70" w:name="_Toc432616076"/>
      <w:bookmarkStart w:id="71" w:name="_Toc526433883"/>
      <w:bookmarkEnd w:id="41"/>
      <w:bookmarkEnd w:id="42"/>
      <w:bookmarkEnd w:id="43"/>
      <w:r w:rsidRPr="00D51E87">
        <w:rPr>
          <w:rFonts w:ascii="Arial" w:hAnsi="Arial" w:cs="Arial"/>
          <w:b/>
          <w:bCs/>
          <w:i/>
          <w:iCs/>
          <w:sz w:val="22"/>
          <w:szCs w:val="21"/>
          <w:lang w:val="es-CR"/>
        </w:rPr>
        <w:t>SANCIONES ECONOMICAS</w:t>
      </w:r>
      <w:bookmarkEnd w:id="70"/>
      <w:bookmarkEnd w:id="71"/>
    </w:p>
    <w:p w:rsidR="00D51E87" w:rsidRPr="00D51E87" w:rsidRDefault="00D51E87" w:rsidP="00D51E87">
      <w:pPr>
        <w:spacing w:before="120"/>
        <w:jc w:val="both"/>
        <w:rPr>
          <w:rFonts w:ascii="Arial" w:hAnsi="Arial" w:cs="Arial"/>
          <w:b/>
          <w:sz w:val="22"/>
          <w:szCs w:val="22"/>
          <w:lang w:val="es-CR"/>
        </w:rPr>
      </w:pPr>
      <w:r w:rsidRPr="00D51E87">
        <w:rPr>
          <w:rFonts w:ascii="Arial" w:hAnsi="Arial" w:cs="Arial"/>
          <w:b/>
          <w:sz w:val="22"/>
          <w:szCs w:val="22"/>
          <w:lang w:val="es-CR"/>
        </w:rPr>
        <w:t xml:space="preserve">CLÁUSULA PENAL: </w:t>
      </w:r>
    </w:p>
    <w:p w:rsidR="00D51E87" w:rsidRPr="00D51E87" w:rsidRDefault="00D51E87" w:rsidP="00803853">
      <w:pPr>
        <w:numPr>
          <w:ilvl w:val="0"/>
          <w:numId w:val="31"/>
        </w:numPr>
        <w:ind w:left="357" w:hanging="357"/>
        <w:jc w:val="both"/>
        <w:rPr>
          <w:rFonts w:ascii="Arial" w:hAnsi="Arial" w:cs="Arial"/>
          <w:sz w:val="22"/>
          <w:szCs w:val="22"/>
          <w:lang w:val="es-CR"/>
        </w:rPr>
      </w:pPr>
      <w:r w:rsidRPr="00D51E87">
        <w:rPr>
          <w:rFonts w:ascii="Arial" w:hAnsi="Arial" w:cs="Arial"/>
          <w:sz w:val="22"/>
          <w:szCs w:val="22"/>
          <w:lang w:val="es-CR"/>
        </w:rPr>
        <w:t>En caso de atraso respecto al plazo de entrega ofertado de acuerdo con el punto N° 2.1.-g del cartel, con la finalidad de aclarar todas aquellas consultas escritas que se presenten por parte del Consejo Institucional, Rectoría, Vicerrector de Administración, Auditoria Interna y Departamentos, relacionadas con temas concordantes con la materia de trabajo, se aplicará una multa de 1% por cada día hábil de atraso, hasta alcanzar un máximo del 25% del monto anual adjudicado.</w:t>
      </w:r>
    </w:p>
    <w:p w:rsidR="00D51E87" w:rsidRPr="00D51E87" w:rsidRDefault="00D51E87" w:rsidP="00803853">
      <w:pPr>
        <w:numPr>
          <w:ilvl w:val="0"/>
          <w:numId w:val="31"/>
        </w:numPr>
        <w:ind w:left="357" w:hanging="357"/>
        <w:jc w:val="both"/>
        <w:rPr>
          <w:rFonts w:ascii="Arial" w:hAnsi="Arial" w:cs="Arial"/>
          <w:sz w:val="22"/>
          <w:szCs w:val="22"/>
          <w:lang w:val="es-CR"/>
        </w:rPr>
      </w:pPr>
      <w:r w:rsidRPr="00D51E87">
        <w:rPr>
          <w:rFonts w:ascii="Arial" w:hAnsi="Arial" w:cs="Arial"/>
          <w:sz w:val="22"/>
          <w:szCs w:val="22"/>
          <w:lang w:val="es-CR"/>
        </w:rPr>
        <w:t>En caso de atraso respecto al plazo establecido en el Punto N°5-d del cartel para informar con una antelación de al menos cinco días hábiles al ITCR, del (los) nuevo(s) miembro(s) del equipo asignado(s) por el Contratista para el ITCR, se aplicará una multa de 1% por cada día hábil de atraso hasta alcanzar un máximo de 25% del monto anual adjudicado.</w:t>
      </w:r>
    </w:p>
    <w:p w:rsidR="00D51E87" w:rsidRPr="00D51E87" w:rsidRDefault="00D51E87" w:rsidP="00803853">
      <w:pPr>
        <w:numPr>
          <w:ilvl w:val="0"/>
          <w:numId w:val="31"/>
        </w:numPr>
        <w:ind w:left="357" w:hanging="357"/>
        <w:jc w:val="both"/>
        <w:rPr>
          <w:rFonts w:ascii="Arial" w:hAnsi="Arial" w:cs="Arial"/>
          <w:sz w:val="22"/>
          <w:szCs w:val="22"/>
          <w:lang w:val="es-CR"/>
        </w:rPr>
      </w:pPr>
      <w:r w:rsidRPr="00D51E87">
        <w:rPr>
          <w:rFonts w:ascii="Arial" w:hAnsi="Arial" w:cs="Arial"/>
          <w:sz w:val="22"/>
          <w:szCs w:val="22"/>
          <w:lang w:val="es-CR"/>
        </w:rPr>
        <w:t>En caso de atraso respecto al plazo establecido en los puntos N°6-b y N°6-c del cartel para realizar los requerimientos de información con al menos de 15 días hábiles de anticipación previo a la visita o bien, no realizar las visitas de trabajo de campo con al menos 20 días hábiles de anticipación a la emisión de los informes, se aplicará una multa de 2% por cada día hábil de atraso hasta alcanzar un máximo de 24% del monto anual adjudicado.</w:t>
      </w:r>
    </w:p>
    <w:p w:rsidR="00D51E87" w:rsidRPr="00D51E87" w:rsidRDefault="00D51E87" w:rsidP="00803853">
      <w:pPr>
        <w:numPr>
          <w:ilvl w:val="0"/>
          <w:numId w:val="31"/>
        </w:numPr>
        <w:ind w:left="357" w:hanging="357"/>
        <w:jc w:val="both"/>
        <w:rPr>
          <w:rFonts w:ascii="Arial" w:hAnsi="Arial" w:cs="Arial"/>
          <w:sz w:val="22"/>
          <w:szCs w:val="22"/>
          <w:lang w:val="es-CR"/>
        </w:rPr>
      </w:pPr>
      <w:r w:rsidRPr="00D51E87">
        <w:rPr>
          <w:rFonts w:ascii="Arial" w:hAnsi="Arial" w:cs="Arial"/>
          <w:sz w:val="22"/>
          <w:szCs w:val="22"/>
          <w:lang w:val="es-CR"/>
        </w:rPr>
        <w:t>En caso de atraso respecto al plazo de ocho días posteriores a la entrega de los informes indicados en el Anexo del presente cartel para la discusión con los encargados de las Departamentos que se indique por parte de la Vicerrectoría de Administración del ITCR, de conformidad a lo establecido en el punto N°7-b del presente cartel, se aplicará una multa de 2% por cada día hábil de atraso hasta alcanzar un máximo del 24% del monto anual adjudicado.</w:t>
      </w:r>
    </w:p>
    <w:p w:rsidR="00D51E87" w:rsidRPr="00D51E87" w:rsidRDefault="00D51E87" w:rsidP="00803853">
      <w:pPr>
        <w:numPr>
          <w:ilvl w:val="0"/>
          <w:numId w:val="31"/>
        </w:numPr>
        <w:ind w:left="357" w:hanging="357"/>
        <w:jc w:val="both"/>
        <w:rPr>
          <w:rFonts w:ascii="Arial" w:hAnsi="Arial" w:cs="Arial"/>
          <w:sz w:val="22"/>
          <w:szCs w:val="22"/>
          <w:lang w:val="es-CR"/>
        </w:rPr>
      </w:pPr>
      <w:r w:rsidRPr="00D51E87">
        <w:rPr>
          <w:rFonts w:ascii="Arial" w:hAnsi="Arial" w:cs="Arial"/>
          <w:sz w:val="22"/>
          <w:szCs w:val="22"/>
          <w:lang w:val="es-CR"/>
        </w:rPr>
        <w:t>En caso de atraso respecto a los plazos de entrega indicados en el Anexo 1 del cartel, se aplicará una multa de 2% por cada día hábil de atraso, hasta alcanzar un máximo de 24% del monto anual adjudicado.</w:t>
      </w:r>
    </w:p>
    <w:p w:rsidR="00D51E87" w:rsidRPr="00D51E87" w:rsidRDefault="00D51E87" w:rsidP="00803853">
      <w:pPr>
        <w:numPr>
          <w:ilvl w:val="0"/>
          <w:numId w:val="31"/>
        </w:numPr>
        <w:spacing w:before="60" w:after="120"/>
        <w:jc w:val="both"/>
        <w:rPr>
          <w:rFonts w:ascii="Arial" w:hAnsi="Arial" w:cs="Arial"/>
          <w:sz w:val="22"/>
          <w:szCs w:val="22"/>
          <w:lang w:val="es-CR"/>
        </w:rPr>
      </w:pPr>
      <w:r w:rsidRPr="00D51E87">
        <w:rPr>
          <w:rFonts w:ascii="Arial" w:hAnsi="Arial" w:cs="Arial"/>
          <w:sz w:val="22"/>
          <w:szCs w:val="22"/>
          <w:lang w:val="es-CR"/>
        </w:rPr>
        <w:t>Llegado al tope indicado en los puntos anteriores se tendrá por incumplido el contrato por parte del Contratista, sin responsabilidad para el ITCR. Toda suma por concepto de cláusula penal será rebajada de las facturas presentadas al cobro, o en su defecto, se utilizará los mecanismos que señala la Ley.</w:t>
      </w:r>
    </w:p>
    <w:p w:rsidR="00D51E87" w:rsidRPr="00D51E87" w:rsidRDefault="00D51E87" w:rsidP="00D51E87">
      <w:pPr>
        <w:keepNext/>
        <w:tabs>
          <w:tab w:val="left" w:pos="360"/>
        </w:tabs>
        <w:suppressAutoHyphens/>
        <w:spacing w:before="240" w:after="60"/>
        <w:ind w:left="720"/>
        <w:jc w:val="both"/>
        <w:outlineLvl w:val="1"/>
        <w:rPr>
          <w:rFonts w:ascii="Arial" w:hAnsi="Arial" w:cs="Arial"/>
          <w:b/>
          <w:bCs/>
          <w:iCs/>
          <w:sz w:val="21"/>
          <w:szCs w:val="21"/>
          <w:lang w:val="es-CR"/>
        </w:rPr>
      </w:pPr>
      <w:bookmarkStart w:id="72" w:name="_Toc168227397"/>
      <w:bookmarkStart w:id="73" w:name="_Toc526433884"/>
      <w:r w:rsidRPr="00D51E87">
        <w:rPr>
          <w:rFonts w:ascii="Arial" w:hAnsi="Arial" w:cs="Arial"/>
          <w:b/>
          <w:bCs/>
          <w:i/>
          <w:iCs/>
          <w:sz w:val="21"/>
          <w:szCs w:val="21"/>
          <w:lang w:val="es-CR"/>
        </w:rPr>
        <w:t>CRITERIOS Y SISTEMA DE EVALUACIÓN</w:t>
      </w:r>
      <w:bookmarkEnd w:id="72"/>
      <w:bookmarkEnd w:id="73"/>
    </w:p>
    <w:p w:rsidR="00D51E87" w:rsidRPr="00D51E87" w:rsidRDefault="00D51E87" w:rsidP="00803853">
      <w:pPr>
        <w:numPr>
          <w:ilvl w:val="0"/>
          <w:numId w:val="32"/>
        </w:numPr>
        <w:jc w:val="both"/>
        <w:rPr>
          <w:rFonts w:ascii="Arial" w:hAnsi="Arial" w:cs="Arial"/>
          <w:sz w:val="22"/>
          <w:szCs w:val="22"/>
          <w:lang w:val="es-CR"/>
        </w:rPr>
      </w:pPr>
      <w:bookmarkStart w:id="74" w:name="_Toc168227398"/>
      <w:r w:rsidRPr="00D51E87">
        <w:rPr>
          <w:rFonts w:ascii="Arial" w:hAnsi="Arial" w:cs="Arial"/>
          <w:sz w:val="22"/>
          <w:szCs w:val="22"/>
          <w:lang w:val="es-CR"/>
        </w:rPr>
        <w:t>Los factores y su respectivo peso a considerar para la calificación de las ofertas son los siguientes:</w:t>
      </w:r>
    </w:p>
    <w:p w:rsidR="00D51E87" w:rsidRPr="00D51E87" w:rsidRDefault="00D51E87" w:rsidP="00D51E87">
      <w:pPr>
        <w:jc w:val="both"/>
        <w:rPr>
          <w:rFonts w:ascii="Arial" w:hAnsi="Arial" w:cs="Arial"/>
          <w:sz w:val="22"/>
          <w:szCs w:val="22"/>
          <w:lang w:val="es-CR"/>
        </w:rPr>
      </w:pPr>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5531"/>
        <w:gridCol w:w="1426"/>
      </w:tblGrid>
      <w:tr w:rsidR="00D51E87" w:rsidRPr="00D51E87" w:rsidTr="008E6D4D">
        <w:trPr>
          <w:trHeight w:val="20"/>
          <w:jc w:val="center"/>
        </w:trPr>
        <w:tc>
          <w:tcPr>
            <w:tcW w:w="888" w:type="dxa"/>
            <w:shd w:val="clear" w:color="auto" w:fill="auto"/>
          </w:tcPr>
          <w:p w:rsidR="00D51E87" w:rsidRPr="00D51E87" w:rsidRDefault="00D51E87" w:rsidP="00D51E87">
            <w:pPr>
              <w:rPr>
                <w:rFonts w:ascii="Arial" w:hAnsi="Arial" w:cs="Arial"/>
                <w:sz w:val="20"/>
                <w:szCs w:val="20"/>
                <w:lang w:val="es-CR"/>
              </w:rPr>
            </w:pPr>
            <w:r w:rsidRPr="00D51E87">
              <w:rPr>
                <w:rFonts w:ascii="Arial" w:hAnsi="Arial" w:cs="Arial"/>
                <w:sz w:val="20"/>
                <w:szCs w:val="20"/>
                <w:lang w:val="es-CR"/>
              </w:rPr>
              <w:t>Grado</w:t>
            </w:r>
          </w:p>
        </w:tc>
        <w:tc>
          <w:tcPr>
            <w:tcW w:w="5531" w:type="dxa"/>
            <w:shd w:val="clear" w:color="auto" w:fill="auto"/>
          </w:tcPr>
          <w:p w:rsidR="00D51E87" w:rsidRPr="00D51E87" w:rsidRDefault="00D51E87" w:rsidP="00D51E87">
            <w:pPr>
              <w:rPr>
                <w:rFonts w:ascii="Arial" w:hAnsi="Arial" w:cs="Arial"/>
                <w:sz w:val="20"/>
                <w:szCs w:val="20"/>
                <w:lang w:val="es-CR"/>
              </w:rPr>
            </w:pPr>
            <w:r w:rsidRPr="00D51E87">
              <w:rPr>
                <w:rFonts w:ascii="Arial" w:hAnsi="Arial" w:cs="Arial"/>
                <w:sz w:val="20"/>
                <w:szCs w:val="20"/>
                <w:lang w:val="es-CR"/>
              </w:rPr>
              <w:t>Factor</w:t>
            </w:r>
          </w:p>
        </w:tc>
        <w:tc>
          <w:tcPr>
            <w:tcW w:w="1426" w:type="dxa"/>
            <w:shd w:val="clear" w:color="auto" w:fill="auto"/>
          </w:tcPr>
          <w:p w:rsidR="00D51E87" w:rsidRPr="00D51E87" w:rsidRDefault="00D51E87" w:rsidP="00D51E87">
            <w:pPr>
              <w:rPr>
                <w:rFonts w:ascii="Arial" w:hAnsi="Arial" w:cs="Arial"/>
                <w:sz w:val="20"/>
                <w:szCs w:val="20"/>
                <w:lang w:val="es-CR"/>
              </w:rPr>
            </w:pPr>
            <w:r w:rsidRPr="00D51E87">
              <w:rPr>
                <w:rFonts w:ascii="Arial" w:hAnsi="Arial" w:cs="Arial"/>
                <w:sz w:val="20"/>
                <w:szCs w:val="20"/>
                <w:lang w:val="es-CR"/>
              </w:rPr>
              <w:t>Peso</w:t>
            </w:r>
          </w:p>
        </w:tc>
      </w:tr>
      <w:tr w:rsidR="00D51E87" w:rsidRPr="00D51E87" w:rsidTr="008E6D4D">
        <w:trPr>
          <w:trHeight w:val="20"/>
          <w:jc w:val="center"/>
        </w:trPr>
        <w:tc>
          <w:tcPr>
            <w:tcW w:w="888" w:type="dxa"/>
            <w:shd w:val="clear" w:color="auto" w:fill="auto"/>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1</w:t>
            </w:r>
          </w:p>
        </w:tc>
        <w:tc>
          <w:tcPr>
            <w:tcW w:w="5531" w:type="dxa"/>
            <w:shd w:val="clear" w:color="auto" w:fill="auto"/>
          </w:tcPr>
          <w:p w:rsidR="00D51E87" w:rsidRPr="00D51E87" w:rsidRDefault="00D51E87" w:rsidP="00D51E87">
            <w:pPr>
              <w:jc w:val="both"/>
              <w:rPr>
                <w:rFonts w:ascii="Arial" w:hAnsi="Arial" w:cs="Arial"/>
                <w:sz w:val="20"/>
                <w:szCs w:val="20"/>
                <w:lang w:val="es-CR"/>
              </w:rPr>
            </w:pPr>
            <w:r w:rsidRPr="00D51E87">
              <w:rPr>
                <w:rFonts w:ascii="Arial" w:hAnsi="Arial" w:cs="Arial"/>
                <w:sz w:val="20"/>
                <w:szCs w:val="20"/>
                <w:lang w:val="es-CR"/>
              </w:rPr>
              <w:t>Precio</w:t>
            </w:r>
          </w:p>
        </w:tc>
        <w:tc>
          <w:tcPr>
            <w:tcW w:w="1426" w:type="dxa"/>
            <w:shd w:val="clear" w:color="auto" w:fill="auto"/>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45%</w:t>
            </w:r>
          </w:p>
        </w:tc>
      </w:tr>
      <w:tr w:rsidR="00D51E87" w:rsidRPr="00D51E87" w:rsidTr="008E6D4D">
        <w:trPr>
          <w:trHeight w:val="20"/>
          <w:jc w:val="center"/>
        </w:trPr>
        <w:tc>
          <w:tcPr>
            <w:tcW w:w="888" w:type="dxa"/>
            <w:shd w:val="clear" w:color="auto" w:fill="auto"/>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2</w:t>
            </w:r>
          </w:p>
        </w:tc>
        <w:tc>
          <w:tcPr>
            <w:tcW w:w="5531" w:type="dxa"/>
            <w:shd w:val="clear" w:color="auto" w:fill="auto"/>
          </w:tcPr>
          <w:p w:rsidR="00D51E87" w:rsidRPr="00D51E87" w:rsidRDefault="00D51E87" w:rsidP="00D51E87">
            <w:pPr>
              <w:jc w:val="both"/>
              <w:rPr>
                <w:rFonts w:ascii="Arial" w:hAnsi="Arial" w:cs="Arial"/>
                <w:sz w:val="20"/>
                <w:szCs w:val="20"/>
                <w:lang w:val="es-CR"/>
              </w:rPr>
            </w:pPr>
            <w:r w:rsidRPr="00D51E87">
              <w:rPr>
                <w:rFonts w:ascii="Arial" w:hAnsi="Arial" w:cs="Arial"/>
                <w:sz w:val="20"/>
                <w:szCs w:val="20"/>
                <w:lang w:val="es-CR"/>
              </w:rPr>
              <w:t>Experiencia del despacho</w:t>
            </w:r>
          </w:p>
        </w:tc>
        <w:tc>
          <w:tcPr>
            <w:tcW w:w="1426" w:type="dxa"/>
            <w:shd w:val="clear" w:color="auto" w:fill="auto"/>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30%</w:t>
            </w:r>
          </w:p>
        </w:tc>
      </w:tr>
      <w:tr w:rsidR="00D51E87" w:rsidRPr="00D51E87" w:rsidTr="008E6D4D">
        <w:trPr>
          <w:trHeight w:val="20"/>
          <w:jc w:val="center"/>
        </w:trPr>
        <w:tc>
          <w:tcPr>
            <w:tcW w:w="888" w:type="dxa"/>
            <w:shd w:val="clear" w:color="auto" w:fill="auto"/>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3</w:t>
            </w:r>
          </w:p>
        </w:tc>
        <w:tc>
          <w:tcPr>
            <w:tcW w:w="5531" w:type="dxa"/>
            <w:shd w:val="clear" w:color="auto" w:fill="auto"/>
          </w:tcPr>
          <w:p w:rsidR="00D51E87" w:rsidRPr="00D51E87" w:rsidRDefault="00D51E87" w:rsidP="00D51E87">
            <w:pPr>
              <w:jc w:val="both"/>
              <w:rPr>
                <w:rFonts w:ascii="Arial" w:hAnsi="Arial" w:cs="Arial"/>
                <w:sz w:val="20"/>
                <w:szCs w:val="20"/>
                <w:lang w:val="es-CR"/>
              </w:rPr>
            </w:pPr>
            <w:r w:rsidRPr="00D51E87">
              <w:rPr>
                <w:rFonts w:ascii="Arial" w:hAnsi="Arial" w:cs="Arial"/>
                <w:sz w:val="20"/>
                <w:szCs w:val="20"/>
                <w:lang w:val="es-CR"/>
              </w:rPr>
              <w:t>Experiencia profesional del persona mínimo requerido</w:t>
            </w:r>
          </w:p>
        </w:tc>
        <w:tc>
          <w:tcPr>
            <w:tcW w:w="1426" w:type="dxa"/>
            <w:shd w:val="clear" w:color="auto" w:fill="auto"/>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25%</w:t>
            </w:r>
          </w:p>
        </w:tc>
      </w:tr>
      <w:tr w:rsidR="00D51E87" w:rsidRPr="00D51E87" w:rsidTr="008E6D4D">
        <w:trPr>
          <w:trHeight w:val="20"/>
          <w:jc w:val="center"/>
        </w:trPr>
        <w:tc>
          <w:tcPr>
            <w:tcW w:w="888" w:type="dxa"/>
            <w:shd w:val="clear" w:color="auto" w:fill="auto"/>
          </w:tcPr>
          <w:p w:rsidR="00D51E87" w:rsidRPr="00D51E87" w:rsidRDefault="00D51E87" w:rsidP="00D51E87">
            <w:pPr>
              <w:jc w:val="both"/>
              <w:rPr>
                <w:rFonts w:ascii="Arial" w:hAnsi="Arial" w:cs="Arial"/>
                <w:sz w:val="20"/>
                <w:szCs w:val="20"/>
                <w:lang w:val="es-CR"/>
              </w:rPr>
            </w:pPr>
          </w:p>
        </w:tc>
        <w:tc>
          <w:tcPr>
            <w:tcW w:w="5531" w:type="dxa"/>
            <w:shd w:val="clear" w:color="auto" w:fill="auto"/>
          </w:tcPr>
          <w:p w:rsidR="00D51E87" w:rsidRPr="00D51E87" w:rsidRDefault="00D51E87" w:rsidP="00D51E87">
            <w:pPr>
              <w:jc w:val="both"/>
              <w:rPr>
                <w:rFonts w:ascii="Arial" w:hAnsi="Arial" w:cs="Arial"/>
                <w:sz w:val="20"/>
                <w:szCs w:val="20"/>
                <w:lang w:val="es-CR"/>
              </w:rPr>
            </w:pPr>
            <w:r w:rsidRPr="00D51E87">
              <w:rPr>
                <w:rFonts w:ascii="Arial" w:hAnsi="Arial" w:cs="Arial"/>
                <w:sz w:val="20"/>
                <w:szCs w:val="20"/>
                <w:lang w:val="es-CR"/>
              </w:rPr>
              <w:t>TOTAL</w:t>
            </w:r>
          </w:p>
        </w:tc>
        <w:tc>
          <w:tcPr>
            <w:tcW w:w="1426" w:type="dxa"/>
            <w:shd w:val="clear" w:color="auto" w:fill="auto"/>
          </w:tcPr>
          <w:p w:rsidR="00D51E87" w:rsidRPr="00D51E87" w:rsidRDefault="00D51E87" w:rsidP="00D51E87">
            <w:pPr>
              <w:jc w:val="center"/>
              <w:rPr>
                <w:rFonts w:ascii="Arial" w:hAnsi="Arial" w:cs="Arial"/>
                <w:sz w:val="20"/>
                <w:szCs w:val="20"/>
                <w:lang w:val="es-CR"/>
              </w:rPr>
            </w:pPr>
            <w:r w:rsidRPr="00D51E87">
              <w:rPr>
                <w:rFonts w:ascii="Arial" w:hAnsi="Arial" w:cs="Arial"/>
                <w:sz w:val="20"/>
                <w:szCs w:val="20"/>
                <w:lang w:val="es-CR"/>
              </w:rPr>
              <w:t>100%</w:t>
            </w:r>
          </w:p>
        </w:tc>
      </w:tr>
    </w:tbl>
    <w:p w:rsidR="00D51E87" w:rsidRPr="00D51E87" w:rsidRDefault="00D51E87" w:rsidP="00D51E87">
      <w:pPr>
        <w:jc w:val="both"/>
        <w:rPr>
          <w:rFonts w:ascii="Arial" w:hAnsi="Arial" w:cs="Arial"/>
          <w:sz w:val="22"/>
          <w:szCs w:val="22"/>
          <w:lang w:val="es-CR"/>
        </w:rPr>
      </w:pPr>
    </w:p>
    <w:p w:rsidR="00D51E87" w:rsidRPr="00D51E87" w:rsidRDefault="00D51E87" w:rsidP="00D51E87">
      <w:pPr>
        <w:tabs>
          <w:tab w:val="left" w:pos="540"/>
        </w:tabs>
        <w:jc w:val="both"/>
        <w:rPr>
          <w:rFonts w:ascii="Arial" w:hAnsi="Arial" w:cs="Arial"/>
          <w:sz w:val="22"/>
          <w:szCs w:val="22"/>
          <w:lang w:val="es-EC"/>
        </w:rPr>
      </w:pPr>
      <w:r w:rsidRPr="00D51E87">
        <w:rPr>
          <w:rFonts w:ascii="Arial" w:hAnsi="Arial" w:cs="Arial"/>
          <w:sz w:val="22"/>
          <w:szCs w:val="22"/>
          <w:lang w:val="es-EC"/>
        </w:rPr>
        <w:tab/>
        <w:t>Consideraciones generales para los criterios de evaluación:</w:t>
      </w:r>
    </w:p>
    <w:p w:rsidR="00D51E87" w:rsidRPr="00D51E87" w:rsidRDefault="00D51E87" w:rsidP="00803853">
      <w:pPr>
        <w:numPr>
          <w:ilvl w:val="1"/>
          <w:numId w:val="36"/>
        </w:numPr>
        <w:tabs>
          <w:tab w:val="left" w:pos="540"/>
        </w:tabs>
        <w:jc w:val="both"/>
        <w:rPr>
          <w:rFonts w:ascii="Arial" w:hAnsi="Arial" w:cs="Arial"/>
          <w:sz w:val="22"/>
          <w:szCs w:val="22"/>
          <w:lang w:val="es-EC"/>
        </w:rPr>
      </w:pPr>
      <w:r w:rsidRPr="00D51E87">
        <w:rPr>
          <w:rFonts w:ascii="Arial" w:hAnsi="Arial" w:cs="Arial"/>
          <w:sz w:val="22"/>
          <w:szCs w:val="22"/>
          <w:lang w:val="es-EC"/>
        </w:rPr>
        <w:t>En la asignación de puntajes se utilizará únicamente dos posiciones decimales, sin efectuar redondeos.</w:t>
      </w:r>
    </w:p>
    <w:p w:rsidR="00D51E87" w:rsidRPr="00D51E87" w:rsidRDefault="00D51E87" w:rsidP="00D51E87">
      <w:pPr>
        <w:tabs>
          <w:tab w:val="left" w:pos="540"/>
        </w:tabs>
        <w:ind w:left="1440"/>
        <w:jc w:val="both"/>
        <w:rPr>
          <w:rFonts w:ascii="Arial" w:hAnsi="Arial" w:cs="Arial"/>
          <w:sz w:val="22"/>
          <w:szCs w:val="22"/>
          <w:lang w:val="es-EC"/>
        </w:rPr>
      </w:pPr>
    </w:p>
    <w:p w:rsidR="00D51E87" w:rsidRPr="00D51E87" w:rsidRDefault="00D51E87" w:rsidP="00803853">
      <w:pPr>
        <w:numPr>
          <w:ilvl w:val="1"/>
          <w:numId w:val="36"/>
        </w:numPr>
        <w:tabs>
          <w:tab w:val="left" w:pos="540"/>
        </w:tabs>
        <w:ind w:left="540" w:hanging="180"/>
        <w:jc w:val="both"/>
        <w:rPr>
          <w:rFonts w:ascii="Arial" w:hAnsi="Arial" w:cs="Arial"/>
          <w:b/>
          <w:sz w:val="20"/>
          <w:szCs w:val="20"/>
          <w:lang w:val="es-CR"/>
        </w:rPr>
      </w:pPr>
      <w:r w:rsidRPr="00D51E87">
        <w:rPr>
          <w:rFonts w:ascii="Arial" w:hAnsi="Arial" w:cs="Arial"/>
          <w:b/>
          <w:sz w:val="20"/>
          <w:szCs w:val="20"/>
          <w:lang w:val="es-CR"/>
        </w:rPr>
        <w:lastRenderedPageBreak/>
        <w:t>Descripción de los Factores y forma de evaluación:</w:t>
      </w:r>
    </w:p>
    <w:p w:rsidR="00D51E87" w:rsidRPr="00D51E87" w:rsidRDefault="00D51E87" w:rsidP="00D51E87">
      <w:pPr>
        <w:numPr>
          <w:ilvl w:val="12"/>
          <w:numId w:val="0"/>
        </w:numPr>
        <w:jc w:val="both"/>
        <w:rPr>
          <w:rFonts w:ascii="Arial" w:hAnsi="Arial" w:cs="Arial"/>
          <w:sz w:val="20"/>
          <w:szCs w:val="20"/>
          <w:lang w:val="es-CR"/>
        </w:rPr>
      </w:pPr>
    </w:p>
    <w:p w:rsidR="00D51E87" w:rsidRPr="00D51E87" w:rsidRDefault="00D51E87" w:rsidP="00803853">
      <w:pPr>
        <w:numPr>
          <w:ilvl w:val="0"/>
          <w:numId w:val="34"/>
        </w:numPr>
        <w:jc w:val="both"/>
        <w:rPr>
          <w:rFonts w:ascii="Arial" w:hAnsi="Arial" w:cs="Arial"/>
          <w:sz w:val="22"/>
          <w:szCs w:val="22"/>
          <w:lang w:val="es-CR"/>
        </w:rPr>
      </w:pPr>
      <w:r w:rsidRPr="00D51E87">
        <w:rPr>
          <w:rFonts w:ascii="Arial" w:hAnsi="Arial" w:cs="Arial"/>
          <w:b/>
          <w:sz w:val="22"/>
          <w:szCs w:val="22"/>
          <w:lang w:val="es-CR"/>
        </w:rPr>
        <w:t>Precio:</w:t>
      </w:r>
      <w:r w:rsidRPr="00D51E87">
        <w:rPr>
          <w:rFonts w:ascii="Arial" w:hAnsi="Arial" w:cs="Arial"/>
          <w:sz w:val="22"/>
          <w:szCs w:val="22"/>
          <w:lang w:val="es-CR"/>
        </w:rPr>
        <w:t xml:space="preserve"> La oferta que cotice el menor precio total, obtendrá el máximo puntaje en este parámetro. El resto de las ofertas serán evaluadas de acuerdo a la siguiente fórmula matemática:</w:t>
      </w:r>
    </w:p>
    <w:p w:rsidR="00D51E87" w:rsidRPr="00D51E87" w:rsidRDefault="00D51E87" w:rsidP="00D51E87">
      <w:pPr>
        <w:tabs>
          <w:tab w:val="left" w:pos="567"/>
        </w:tabs>
        <w:ind w:left="360" w:firstLine="630"/>
        <w:jc w:val="both"/>
        <w:rPr>
          <w:rFonts w:ascii="Arial" w:hAnsi="Arial" w:cs="Arial"/>
          <w:sz w:val="22"/>
          <w:szCs w:val="22"/>
          <w:lang w:val="es-CR"/>
        </w:rPr>
      </w:pPr>
    </w:p>
    <w:p w:rsidR="00D51E87" w:rsidRPr="00D51E87" w:rsidRDefault="00D51E87" w:rsidP="00D51E87">
      <w:pPr>
        <w:tabs>
          <w:tab w:val="left" w:pos="567"/>
        </w:tabs>
        <w:ind w:left="360" w:firstLine="630"/>
        <w:jc w:val="both"/>
        <w:rPr>
          <w:rFonts w:ascii="Arial" w:hAnsi="Arial" w:cs="Arial"/>
          <w:sz w:val="22"/>
          <w:szCs w:val="22"/>
          <w:lang w:val="es-CR"/>
        </w:rPr>
      </w:pPr>
      <w:r w:rsidRPr="00D51E87">
        <w:rPr>
          <w:noProof/>
          <w:sz w:val="20"/>
          <w:szCs w:val="20"/>
          <w:lang w:val="es-CR" w:eastAsia="es-CR"/>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120015</wp:posOffset>
                </wp:positionV>
                <wp:extent cx="113665" cy="571500"/>
                <wp:effectExtent l="0" t="0" r="19685" b="19050"/>
                <wp:wrapNone/>
                <wp:docPr id="4" name="Cerrar corche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71500"/>
                        </a:xfrm>
                        <a:prstGeom prst="rightBracket">
                          <a:avLst>
                            <a:gd name="adj" fmla="val 418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D735" id="Cerrar corchete 4" o:spid="_x0000_s1026" type="#_x0000_t86" style="position:absolute;margin-left:333pt;margin-top:9.45pt;width: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"/>
            </w:pict>
          </mc:Fallback>
        </mc:AlternateContent>
      </w:r>
      <w:r w:rsidRPr="00D51E87">
        <w:rPr>
          <w:noProof/>
          <w:sz w:val="20"/>
          <w:szCs w:val="20"/>
          <w:lang w:val="es-CR" w:eastAsia="es-CR"/>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120015</wp:posOffset>
                </wp:positionV>
                <wp:extent cx="114300" cy="571500"/>
                <wp:effectExtent l="0" t="0" r="19050" b="19050"/>
                <wp:wrapNone/>
                <wp:docPr id="2" name="Abrir corche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6282" id="Abrir corchete 2" o:spid="_x0000_s1026" type="#_x0000_t85" style="position:absolute;margin-left:126pt;margin-top:9.45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EpfAIAAA4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"/>
            </w:pict>
          </mc:Fallback>
        </mc:AlternateContent>
      </w:r>
    </w:p>
    <w:p w:rsidR="00D51E87" w:rsidRPr="00D51E87" w:rsidRDefault="00D51E87" w:rsidP="00D51E87">
      <w:pPr>
        <w:ind w:left="708" w:firstLine="732"/>
        <w:jc w:val="both"/>
        <w:rPr>
          <w:rFonts w:ascii="Arial" w:hAnsi="Arial" w:cs="Arial"/>
          <w:sz w:val="22"/>
          <w:szCs w:val="22"/>
          <w:lang w:val="es-CR"/>
        </w:rPr>
      </w:pPr>
      <w:r w:rsidRPr="00D51E87">
        <w:rPr>
          <w:rFonts w:ascii="Arial" w:hAnsi="Arial" w:cs="Arial"/>
          <w:b/>
          <w:sz w:val="22"/>
          <w:szCs w:val="22"/>
          <w:lang w:val="es-CR"/>
        </w:rPr>
        <w:t>45</w:t>
      </w:r>
      <w:proofErr w:type="gramStart"/>
      <w:r w:rsidRPr="00D51E87">
        <w:rPr>
          <w:rFonts w:ascii="Arial" w:hAnsi="Arial" w:cs="Arial"/>
          <w:b/>
          <w:sz w:val="22"/>
          <w:szCs w:val="22"/>
          <w:lang w:val="es-CR"/>
        </w:rPr>
        <w:t>%  X</w:t>
      </w:r>
      <w:proofErr w:type="gramEnd"/>
      <w:r w:rsidRPr="00D51E87">
        <w:rPr>
          <w:rFonts w:ascii="Arial" w:hAnsi="Arial" w:cs="Arial"/>
          <w:b/>
          <w:sz w:val="22"/>
          <w:szCs w:val="22"/>
          <w:lang w:val="es-CR"/>
        </w:rPr>
        <w:t xml:space="preserve">         </w:t>
      </w:r>
      <w:r w:rsidRPr="00D51E87">
        <w:rPr>
          <w:rFonts w:ascii="Arial" w:hAnsi="Arial" w:cs="Arial"/>
          <w:sz w:val="22"/>
          <w:szCs w:val="22"/>
          <w:u w:val="single"/>
          <w:lang w:val="es-CR"/>
        </w:rPr>
        <w:t>Precio menor de todas las ofertas</w:t>
      </w:r>
      <w:r w:rsidRPr="00D51E87">
        <w:rPr>
          <w:rFonts w:ascii="Arial" w:hAnsi="Arial" w:cs="Arial"/>
          <w:b/>
          <w:sz w:val="22"/>
          <w:szCs w:val="22"/>
          <w:lang w:val="es-CR"/>
        </w:rPr>
        <w:t xml:space="preserve"> </w:t>
      </w:r>
    </w:p>
    <w:p w:rsidR="00D51E87" w:rsidRPr="00D51E87" w:rsidRDefault="00D51E87" w:rsidP="00D51E87">
      <w:pPr>
        <w:keepNext/>
        <w:spacing w:before="240" w:after="60"/>
        <w:ind w:left="2520"/>
        <w:outlineLvl w:val="1"/>
        <w:rPr>
          <w:rFonts w:ascii="Arial" w:hAnsi="Arial" w:cs="Arial"/>
          <w:b/>
          <w:bCs/>
          <w:i/>
          <w:iCs/>
          <w:sz w:val="22"/>
          <w:szCs w:val="22"/>
          <w:lang w:val="es-CR"/>
        </w:rPr>
      </w:pPr>
      <w:r w:rsidRPr="00D51E87">
        <w:rPr>
          <w:rFonts w:ascii="Arial" w:hAnsi="Arial" w:cs="Arial"/>
          <w:b/>
          <w:bCs/>
          <w:i/>
          <w:iCs/>
          <w:sz w:val="22"/>
          <w:szCs w:val="22"/>
          <w:lang w:val="es-CR"/>
        </w:rPr>
        <w:t xml:space="preserve">       </w:t>
      </w:r>
      <w:bookmarkStart w:id="75" w:name="_Toc318438728"/>
      <w:bookmarkStart w:id="76" w:name="_Toc525891069"/>
      <w:bookmarkStart w:id="77" w:name="_Toc526433885"/>
      <w:r w:rsidRPr="00D51E87">
        <w:rPr>
          <w:rFonts w:ascii="Arial" w:hAnsi="Arial" w:cs="Arial"/>
          <w:b/>
          <w:bCs/>
          <w:i/>
          <w:iCs/>
          <w:sz w:val="22"/>
          <w:szCs w:val="22"/>
          <w:lang w:val="es-CR"/>
        </w:rPr>
        <w:t>Precio de la oferta en estudio</w:t>
      </w:r>
      <w:bookmarkEnd w:id="75"/>
      <w:bookmarkEnd w:id="76"/>
      <w:bookmarkEnd w:id="77"/>
    </w:p>
    <w:p w:rsidR="00D51E87" w:rsidRPr="00D51E87" w:rsidRDefault="00D51E87" w:rsidP="00D51E87">
      <w:pPr>
        <w:jc w:val="both"/>
        <w:rPr>
          <w:rFonts w:ascii="Arial" w:hAnsi="Arial" w:cs="Arial"/>
          <w:sz w:val="20"/>
          <w:szCs w:val="20"/>
          <w:lang w:val="es-CR"/>
        </w:rPr>
      </w:pPr>
    </w:p>
    <w:p w:rsidR="00D51E87" w:rsidRPr="00D51E87" w:rsidRDefault="00D51E87" w:rsidP="00D51E87">
      <w:pPr>
        <w:jc w:val="both"/>
        <w:rPr>
          <w:rFonts w:ascii="Arial" w:hAnsi="Arial" w:cs="Arial"/>
          <w:sz w:val="20"/>
          <w:szCs w:val="20"/>
          <w:lang w:val="es-CR"/>
        </w:rPr>
      </w:pPr>
    </w:p>
    <w:p w:rsidR="00D51E87" w:rsidRPr="00D51E87" w:rsidRDefault="00D51E87" w:rsidP="00803853">
      <w:pPr>
        <w:numPr>
          <w:ilvl w:val="0"/>
          <w:numId w:val="34"/>
        </w:numPr>
        <w:jc w:val="both"/>
        <w:rPr>
          <w:rFonts w:ascii="Arial" w:hAnsi="Arial" w:cs="Arial"/>
          <w:b/>
          <w:sz w:val="22"/>
          <w:szCs w:val="22"/>
          <w:lang w:val="es-CR"/>
        </w:rPr>
      </w:pPr>
      <w:r w:rsidRPr="00D51E87">
        <w:rPr>
          <w:rFonts w:ascii="Arial" w:hAnsi="Arial" w:cs="Arial"/>
          <w:b/>
          <w:sz w:val="22"/>
          <w:szCs w:val="22"/>
          <w:lang w:val="es-CR"/>
        </w:rPr>
        <w:t xml:space="preserve">Experiencia del Despacho en trabajos similares realizados </w:t>
      </w:r>
      <w:proofErr w:type="gramStart"/>
      <w:r w:rsidRPr="00D51E87">
        <w:rPr>
          <w:rFonts w:ascii="Arial" w:hAnsi="Arial" w:cs="Arial"/>
          <w:b/>
          <w:sz w:val="22"/>
          <w:szCs w:val="22"/>
          <w:lang w:val="es-CR"/>
        </w:rPr>
        <w:t>( 30</w:t>
      </w:r>
      <w:proofErr w:type="gramEnd"/>
      <w:r w:rsidRPr="00D51E87">
        <w:rPr>
          <w:rFonts w:ascii="Arial" w:hAnsi="Arial" w:cs="Arial"/>
          <w:b/>
          <w:sz w:val="22"/>
          <w:szCs w:val="22"/>
          <w:lang w:val="es-CR"/>
        </w:rPr>
        <w:t xml:space="preserve"> puntos) </w:t>
      </w:r>
    </w:p>
    <w:p w:rsidR="00D51E87" w:rsidRPr="00D51E87" w:rsidRDefault="00D51E87" w:rsidP="00D51E87">
      <w:pPr>
        <w:autoSpaceDE w:val="0"/>
        <w:autoSpaceDN w:val="0"/>
        <w:adjustRightInd w:val="0"/>
        <w:spacing w:before="120" w:after="120"/>
        <w:ind w:left="708"/>
        <w:jc w:val="both"/>
        <w:rPr>
          <w:rFonts w:ascii="Arial" w:hAnsi="Arial" w:cs="Arial"/>
          <w:sz w:val="22"/>
          <w:szCs w:val="22"/>
          <w:lang w:val="es-CR"/>
        </w:rPr>
      </w:pPr>
      <w:r w:rsidRPr="00D51E87">
        <w:rPr>
          <w:rFonts w:ascii="Arial" w:hAnsi="Arial" w:cs="Arial"/>
          <w:sz w:val="22"/>
          <w:szCs w:val="22"/>
          <w:lang w:val="es-CR"/>
        </w:rPr>
        <w:t>La puntuación se obtendrá de las cartas de recomendación de las instituciones públicas solicitadas en el punto N° 3-b del presente cartel y la puntuación por cada año que se haya prestado el servicio de auditoria, según detalla:</w:t>
      </w:r>
    </w:p>
    <w:p w:rsidR="00D51E87" w:rsidRPr="00D51E87" w:rsidRDefault="00D51E87" w:rsidP="00803853">
      <w:pPr>
        <w:numPr>
          <w:ilvl w:val="0"/>
          <w:numId w:val="33"/>
        </w:num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Se asignará siete (7) puntos por cada trabajo anual de auditoria de estados financieros, de instituciones públicas basados en NICSP.</w:t>
      </w:r>
    </w:p>
    <w:p w:rsidR="00D51E87" w:rsidRPr="00D51E87" w:rsidRDefault="00D51E87" w:rsidP="00803853">
      <w:pPr>
        <w:numPr>
          <w:ilvl w:val="0"/>
          <w:numId w:val="33"/>
        </w:num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Se asignará cinco (5) puntos por cada trabajo anual de auditoria de estados financieros en empresas públicas basados en NIIF.</w:t>
      </w:r>
    </w:p>
    <w:p w:rsidR="00D51E87" w:rsidRPr="00D51E87" w:rsidRDefault="00D51E87" w:rsidP="00803853">
      <w:pPr>
        <w:numPr>
          <w:ilvl w:val="0"/>
          <w:numId w:val="33"/>
        </w:num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El total de puntos obtenidos por cada oferente, será la base de la oferta a calificar, que se colocará en el numerador de la siguiente fórmula.</w:t>
      </w:r>
    </w:p>
    <w:p w:rsidR="00D51E87" w:rsidRPr="00D51E87" w:rsidRDefault="00D51E87" w:rsidP="00803853">
      <w:pPr>
        <w:numPr>
          <w:ilvl w:val="0"/>
          <w:numId w:val="33"/>
        </w:num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El total de puntos del oferente con mayor cantidad de trabajo anual de auditoria de estados financieros constituirá el denominador de la siguiente fórmula.</w:t>
      </w:r>
    </w:p>
    <w:p w:rsidR="00D51E87" w:rsidRPr="00D51E87" w:rsidRDefault="00D51E87" w:rsidP="00D51E87">
      <w:p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Puntaje obtenido:</w:t>
      </w:r>
    </w:p>
    <w:p w:rsidR="00D51E87" w:rsidRPr="00D51E87" w:rsidRDefault="00D51E87" w:rsidP="00D51E87">
      <w:pPr>
        <w:autoSpaceDE w:val="0"/>
        <w:autoSpaceDN w:val="0"/>
        <w:adjustRightInd w:val="0"/>
        <w:spacing w:before="120" w:after="120"/>
        <w:jc w:val="both"/>
        <w:rPr>
          <w:rFonts w:ascii="Arial" w:hAnsi="Arial" w:cs="Arial"/>
          <w:sz w:val="22"/>
          <w:szCs w:val="22"/>
          <w:lang w:val="es-CR"/>
        </w:rPr>
      </w:pPr>
    </w:p>
    <w:tbl>
      <w:tblPr>
        <w:tblW w:w="0" w:type="auto"/>
        <w:jc w:val="center"/>
        <w:tblLook w:val="04A0" w:firstRow="1" w:lastRow="0" w:firstColumn="1" w:lastColumn="0" w:noHBand="0" w:noVBand="1"/>
      </w:tblPr>
      <w:tblGrid>
        <w:gridCol w:w="5299"/>
        <w:gridCol w:w="1421"/>
      </w:tblGrid>
      <w:tr w:rsidR="00D51E87" w:rsidRPr="00D51E87" w:rsidTr="008E6D4D">
        <w:trPr>
          <w:jc w:val="center"/>
        </w:trPr>
        <w:tc>
          <w:tcPr>
            <w:tcW w:w="5299" w:type="dxa"/>
            <w:tcBorders>
              <w:bottom w:val="single" w:sz="4" w:space="0" w:color="auto"/>
            </w:tcBorders>
            <w:shd w:val="clear" w:color="auto" w:fill="auto"/>
          </w:tcPr>
          <w:p w:rsidR="00D51E87" w:rsidRPr="00D51E87" w:rsidRDefault="00D51E87" w:rsidP="00D51E87">
            <w:pPr>
              <w:autoSpaceDE w:val="0"/>
              <w:autoSpaceDN w:val="0"/>
              <w:adjustRightInd w:val="0"/>
              <w:spacing w:before="120" w:after="120"/>
              <w:jc w:val="center"/>
              <w:rPr>
                <w:rFonts w:ascii="Arial" w:hAnsi="Arial" w:cs="Arial"/>
                <w:sz w:val="22"/>
                <w:szCs w:val="22"/>
                <w:lang w:val="es-CR"/>
              </w:rPr>
            </w:pPr>
            <w:r w:rsidRPr="00D51E87">
              <w:rPr>
                <w:rFonts w:ascii="Arial" w:hAnsi="Arial" w:cs="Arial"/>
                <w:sz w:val="22"/>
                <w:szCs w:val="22"/>
                <w:lang w:val="es-CR"/>
              </w:rPr>
              <w:t>Oferta a calificar</w:t>
            </w:r>
          </w:p>
        </w:tc>
        <w:tc>
          <w:tcPr>
            <w:tcW w:w="1421" w:type="dxa"/>
            <w:vMerge w:val="restart"/>
            <w:shd w:val="clear" w:color="auto" w:fill="auto"/>
            <w:vAlign w:val="center"/>
          </w:tcPr>
          <w:p w:rsidR="00D51E87" w:rsidRPr="00D51E87" w:rsidRDefault="00D51E87" w:rsidP="00D51E87">
            <w:p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X 35 puntos</w:t>
            </w:r>
          </w:p>
        </w:tc>
      </w:tr>
      <w:tr w:rsidR="00D51E87" w:rsidRPr="00D51E87" w:rsidTr="008E6D4D">
        <w:trPr>
          <w:jc w:val="center"/>
        </w:trPr>
        <w:tc>
          <w:tcPr>
            <w:tcW w:w="5299" w:type="dxa"/>
            <w:tcBorders>
              <w:top w:val="single" w:sz="4" w:space="0" w:color="auto"/>
            </w:tcBorders>
            <w:shd w:val="clear" w:color="auto" w:fill="auto"/>
          </w:tcPr>
          <w:p w:rsidR="00D51E87" w:rsidRPr="00D51E87" w:rsidRDefault="00D51E87" w:rsidP="00D51E87">
            <w:pPr>
              <w:autoSpaceDE w:val="0"/>
              <w:autoSpaceDN w:val="0"/>
              <w:adjustRightInd w:val="0"/>
              <w:spacing w:before="120" w:after="120"/>
              <w:jc w:val="center"/>
              <w:rPr>
                <w:rFonts w:ascii="Arial" w:hAnsi="Arial" w:cs="Arial"/>
                <w:sz w:val="22"/>
                <w:szCs w:val="22"/>
                <w:lang w:val="es-CR"/>
              </w:rPr>
            </w:pPr>
            <w:r w:rsidRPr="00D51E87">
              <w:rPr>
                <w:rFonts w:ascii="Arial" w:hAnsi="Arial" w:cs="Arial"/>
                <w:sz w:val="22"/>
                <w:szCs w:val="22"/>
                <w:lang w:val="es-CR"/>
              </w:rPr>
              <w:t>Oferente con mayor cantidad de trabajo anual de auditoria de estados financieros</w:t>
            </w:r>
          </w:p>
          <w:p w:rsidR="00D51E87" w:rsidRPr="00D51E87" w:rsidRDefault="00D51E87" w:rsidP="00D51E87">
            <w:pPr>
              <w:autoSpaceDE w:val="0"/>
              <w:autoSpaceDN w:val="0"/>
              <w:adjustRightInd w:val="0"/>
              <w:spacing w:before="120" w:after="120"/>
              <w:jc w:val="center"/>
              <w:rPr>
                <w:rFonts w:ascii="Arial" w:hAnsi="Arial" w:cs="Arial"/>
                <w:sz w:val="22"/>
                <w:szCs w:val="22"/>
                <w:lang w:val="es-CR"/>
              </w:rPr>
            </w:pPr>
          </w:p>
        </w:tc>
        <w:tc>
          <w:tcPr>
            <w:tcW w:w="1421" w:type="dxa"/>
            <w:vMerge/>
            <w:shd w:val="clear" w:color="auto" w:fill="auto"/>
          </w:tcPr>
          <w:p w:rsidR="00D51E87" w:rsidRPr="00D51E87" w:rsidRDefault="00D51E87" w:rsidP="00D51E87">
            <w:pPr>
              <w:autoSpaceDE w:val="0"/>
              <w:autoSpaceDN w:val="0"/>
              <w:adjustRightInd w:val="0"/>
              <w:spacing w:before="120" w:after="120"/>
              <w:jc w:val="both"/>
              <w:rPr>
                <w:rFonts w:ascii="Arial" w:hAnsi="Arial" w:cs="Arial"/>
                <w:sz w:val="22"/>
                <w:szCs w:val="22"/>
                <w:u w:val="single"/>
                <w:lang w:val="es-CR"/>
              </w:rPr>
            </w:pPr>
          </w:p>
        </w:tc>
      </w:tr>
    </w:tbl>
    <w:p w:rsidR="00D51E87" w:rsidRPr="00D51E87" w:rsidRDefault="00D51E87" w:rsidP="00803853">
      <w:pPr>
        <w:numPr>
          <w:ilvl w:val="0"/>
          <w:numId w:val="34"/>
        </w:numPr>
        <w:jc w:val="both"/>
        <w:rPr>
          <w:rFonts w:ascii="Arial" w:hAnsi="Arial" w:cs="Arial"/>
          <w:b/>
          <w:sz w:val="22"/>
          <w:szCs w:val="22"/>
          <w:lang w:val="es-CR"/>
        </w:rPr>
      </w:pPr>
      <w:r w:rsidRPr="00D51E87">
        <w:rPr>
          <w:rFonts w:ascii="Arial" w:hAnsi="Arial" w:cs="Arial"/>
          <w:b/>
          <w:sz w:val="22"/>
          <w:szCs w:val="22"/>
          <w:lang w:val="es-CR"/>
        </w:rPr>
        <w:t>Experiencia profesional del personal mínimo requerido (25 puntos)</w:t>
      </w:r>
    </w:p>
    <w:p w:rsidR="00D51E87" w:rsidRPr="00D51E87" w:rsidRDefault="00D51E87" w:rsidP="00D51E87">
      <w:pPr>
        <w:autoSpaceDE w:val="0"/>
        <w:autoSpaceDN w:val="0"/>
        <w:adjustRightInd w:val="0"/>
        <w:spacing w:before="120" w:after="120"/>
        <w:ind w:left="708"/>
        <w:jc w:val="both"/>
        <w:rPr>
          <w:rFonts w:ascii="Arial" w:hAnsi="Arial" w:cs="Arial"/>
          <w:sz w:val="22"/>
          <w:szCs w:val="22"/>
          <w:lang w:val="es-CR"/>
        </w:rPr>
      </w:pPr>
      <w:r w:rsidRPr="00D51E87">
        <w:rPr>
          <w:rFonts w:ascii="Arial" w:hAnsi="Arial" w:cs="Arial"/>
          <w:sz w:val="22"/>
          <w:szCs w:val="22"/>
          <w:lang w:val="es-CR"/>
        </w:rPr>
        <w:t xml:space="preserve">Se evalúa a cada uno de los integrantes del grupo de profesionales asignados para la ejecución del servicio ofertado, con base en las cartas de cada una de las instituciones públicas o empresa públicas donde haya realizado los trabajos de auditoria solicitados en el punto N°5-b del presente cartel, según la siguiente tabla: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1981"/>
        <w:gridCol w:w="1965"/>
      </w:tblGrid>
      <w:tr w:rsidR="00D51E87" w:rsidRPr="00D51E87" w:rsidTr="008E6D4D">
        <w:tc>
          <w:tcPr>
            <w:tcW w:w="4294"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Experiencia mínima en auditorias en instituciones públicas basadas en NICSP o empresas públicas basadas en NIIF para los auditores asistentes.</w:t>
            </w:r>
          </w:p>
        </w:tc>
        <w:tc>
          <w:tcPr>
            <w:tcW w:w="1981"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Más de 3 años a menos de 5 años laborados</w:t>
            </w:r>
          </w:p>
        </w:tc>
        <w:tc>
          <w:tcPr>
            <w:tcW w:w="1965"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De 5 años laborados o más</w:t>
            </w:r>
          </w:p>
        </w:tc>
      </w:tr>
      <w:tr w:rsidR="00D51E87" w:rsidRPr="00D51E87" w:rsidTr="008E6D4D">
        <w:tc>
          <w:tcPr>
            <w:tcW w:w="4294" w:type="dxa"/>
            <w:shd w:val="clear" w:color="auto" w:fill="auto"/>
          </w:tcPr>
          <w:p w:rsidR="00D51E87" w:rsidRPr="00D51E87" w:rsidRDefault="00D51E87" w:rsidP="00D51E87">
            <w:pPr>
              <w:autoSpaceDE w:val="0"/>
              <w:autoSpaceDN w:val="0"/>
              <w:adjustRightInd w:val="0"/>
              <w:spacing w:before="120" w:after="120"/>
              <w:jc w:val="center"/>
              <w:rPr>
                <w:rFonts w:ascii="Arial" w:hAnsi="Arial" w:cs="Arial"/>
                <w:sz w:val="20"/>
                <w:szCs w:val="22"/>
                <w:lang w:val="es-CR"/>
              </w:rPr>
            </w:pPr>
            <w:r w:rsidRPr="00D51E87">
              <w:rPr>
                <w:rFonts w:ascii="Arial" w:hAnsi="Arial" w:cs="Arial"/>
                <w:sz w:val="20"/>
                <w:szCs w:val="22"/>
                <w:lang w:val="es-CR"/>
              </w:rPr>
              <w:t xml:space="preserve">3 años </w:t>
            </w:r>
          </w:p>
        </w:tc>
        <w:tc>
          <w:tcPr>
            <w:tcW w:w="1981"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 xml:space="preserve">2 </w:t>
            </w:r>
            <w:proofErr w:type="spellStart"/>
            <w:r w:rsidRPr="00D51E87">
              <w:rPr>
                <w:rFonts w:ascii="Arial" w:hAnsi="Arial" w:cs="Arial"/>
                <w:sz w:val="20"/>
                <w:szCs w:val="22"/>
                <w:lang w:val="es-CR"/>
              </w:rPr>
              <w:t>pts</w:t>
            </w:r>
            <w:proofErr w:type="spellEnd"/>
            <w:r w:rsidRPr="00D51E87">
              <w:rPr>
                <w:rFonts w:ascii="Arial" w:hAnsi="Arial" w:cs="Arial"/>
                <w:sz w:val="20"/>
                <w:szCs w:val="22"/>
                <w:lang w:val="es-CR"/>
              </w:rPr>
              <w:t xml:space="preserve"> c/u</w:t>
            </w:r>
          </w:p>
        </w:tc>
        <w:tc>
          <w:tcPr>
            <w:tcW w:w="1965"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 xml:space="preserve">5 </w:t>
            </w:r>
            <w:proofErr w:type="spellStart"/>
            <w:r w:rsidRPr="00D51E87">
              <w:rPr>
                <w:rFonts w:ascii="Arial" w:hAnsi="Arial" w:cs="Arial"/>
                <w:sz w:val="20"/>
                <w:szCs w:val="22"/>
                <w:lang w:val="es-CR"/>
              </w:rPr>
              <w:t>pts</w:t>
            </w:r>
            <w:proofErr w:type="spellEnd"/>
            <w:r w:rsidRPr="00D51E87">
              <w:rPr>
                <w:rFonts w:ascii="Arial" w:hAnsi="Arial" w:cs="Arial"/>
                <w:sz w:val="20"/>
                <w:szCs w:val="22"/>
                <w:lang w:val="es-CR"/>
              </w:rPr>
              <w:t xml:space="preserve"> c/u</w:t>
            </w:r>
          </w:p>
        </w:tc>
      </w:tr>
      <w:tr w:rsidR="00D51E87" w:rsidRPr="00D51E87" w:rsidTr="008E6D4D">
        <w:tc>
          <w:tcPr>
            <w:tcW w:w="4294"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 xml:space="preserve">Experiencia mínima en auditorias en instituciones públicas basadas en NICSP o empresas públicas basadas en NIIF para el Socio Director o Encargado, Contador Público </w:t>
            </w:r>
            <w:r w:rsidRPr="00D51E87">
              <w:rPr>
                <w:rFonts w:ascii="Arial" w:hAnsi="Arial" w:cs="Arial"/>
                <w:sz w:val="20"/>
                <w:szCs w:val="22"/>
                <w:lang w:val="es-CR"/>
              </w:rPr>
              <w:lastRenderedPageBreak/>
              <w:t>Autorizado y el Profesional en Auditoria de Sistemas.</w:t>
            </w:r>
          </w:p>
        </w:tc>
        <w:tc>
          <w:tcPr>
            <w:tcW w:w="1981"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lastRenderedPageBreak/>
              <w:t>Más de 5 años a menos de 7 años laborados</w:t>
            </w:r>
          </w:p>
        </w:tc>
        <w:tc>
          <w:tcPr>
            <w:tcW w:w="1965"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De 7 años laborados o más</w:t>
            </w:r>
          </w:p>
        </w:tc>
      </w:tr>
      <w:tr w:rsidR="00D51E87" w:rsidRPr="00D51E87" w:rsidTr="008E6D4D">
        <w:tc>
          <w:tcPr>
            <w:tcW w:w="4294" w:type="dxa"/>
            <w:shd w:val="clear" w:color="auto" w:fill="auto"/>
          </w:tcPr>
          <w:p w:rsidR="00D51E87" w:rsidRPr="00D51E87" w:rsidRDefault="00D51E87" w:rsidP="00D51E87">
            <w:pPr>
              <w:autoSpaceDE w:val="0"/>
              <w:autoSpaceDN w:val="0"/>
              <w:adjustRightInd w:val="0"/>
              <w:spacing w:before="120" w:after="120"/>
              <w:jc w:val="center"/>
              <w:rPr>
                <w:rFonts w:ascii="Arial" w:hAnsi="Arial" w:cs="Arial"/>
                <w:sz w:val="20"/>
                <w:szCs w:val="22"/>
                <w:lang w:val="es-CR"/>
              </w:rPr>
            </w:pPr>
            <w:r w:rsidRPr="00D51E87">
              <w:rPr>
                <w:rFonts w:ascii="Arial" w:hAnsi="Arial" w:cs="Arial"/>
                <w:sz w:val="20"/>
                <w:szCs w:val="22"/>
                <w:lang w:val="es-CR"/>
              </w:rPr>
              <w:t>5 años</w:t>
            </w:r>
          </w:p>
        </w:tc>
        <w:tc>
          <w:tcPr>
            <w:tcW w:w="1981"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 xml:space="preserve">2 </w:t>
            </w:r>
            <w:proofErr w:type="spellStart"/>
            <w:r w:rsidRPr="00D51E87">
              <w:rPr>
                <w:rFonts w:ascii="Arial" w:hAnsi="Arial" w:cs="Arial"/>
                <w:sz w:val="20"/>
                <w:szCs w:val="22"/>
                <w:lang w:val="es-CR"/>
              </w:rPr>
              <w:t>pts</w:t>
            </w:r>
            <w:proofErr w:type="spellEnd"/>
            <w:r w:rsidRPr="00D51E87">
              <w:rPr>
                <w:rFonts w:ascii="Arial" w:hAnsi="Arial" w:cs="Arial"/>
                <w:sz w:val="20"/>
                <w:szCs w:val="22"/>
                <w:lang w:val="es-CR"/>
              </w:rPr>
              <w:t xml:space="preserve"> c/u</w:t>
            </w:r>
          </w:p>
        </w:tc>
        <w:tc>
          <w:tcPr>
            <w:tcW w:w="1965" w:type="dxa"/>
            <w:shd w:val="clear" w:color="auto" w:fill="auto"/>
          </w:tcPr>
          <w:p w:rsidR="00D51E87" w:rsidRPr="00D51E87" w:rsidRDefault="00D51E87" w:rsidP="00D51E87">
            <w:pPr>
              <w:autoSpaceDE w:val="0"/>
              <w:autoSpaceDN w:val="0"/>
              <w:adjustRightInd w:val="0"/>
              <w:spacing w:before="120" w:after="120"/>
              <w:jc w:val="both"/>
              <w:rPr>
                <w:rFonts w:ascii="Arial" w:hAnsi="Arial" w:cs="Arial"/>
                <w:sz w:val="20"/>
                <w:szCs w:val="22"/>
                <w:lang w:val="es-CR"/>
              </w:rPr>
            </w:pPr>
            <w:r w:rsidRPr="00D51E87">
              <w:rPr>
                <w:rFonts w:ascii="Arial" w:hAnsi="Arial" w:cs="Arial"/>
                <w:sz w:val="20"/>
                <w:szCs w:val="22"/>
                <w:lang w:val="es-CR"/>
              </w:rPr>
              <w:t xml:space="preserve">5 </w:t>
            </w:r>
            <w:proofErr w:type="spellStart"/>
            <w:r w:rsidRPr="00D51E87">
              <w:rPr>
                <w:rFonts w:ascii="Arial" w:hAnsi="Arial" w:cs="Arial"/>
                <w:sz w:val="20"/>
                <w:szCs w:val="22"/>
                <w:lang w:val="es-CR"/>
              </w:rPr>
              <w:t>pts</w:t>
            </w:r>
            <w:proofErr w:type="spellEnd"/>
            <w:r w:rsidRPr="00D51E87">
              <w:rPr>
                <w:rFonts w:ascii="Arial" w:hAnsi="Arial" w:cs="Arial"/>
                <w:sz w:val="20"/>
                <w:szCs w:val="22"/>
                <w:lang w:val="es-CR"/>
              </w:rPr>
              <w:t xml:space="preserve"> c/u</w:t>
            </w:r>
          </w:p>
        </w:tc>
      </w:tr>
    </w:tbl>
    <w:p w:rsidR="00D51E87" w:rsidRPr="00D51E87" w:rsidRDefault="00D51E87" w:rsidP="00D51E87">
      <w:p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Los puntos que se obtenga de cada miembro del equipo se sumará y éste será el puntaje que obtenga el oferente para aplicar la siguiente formula:</w:t>
      </w:r>
    </w:p>
    <w:p w:rsidR="00D51E87" w:rsidRPr="00D51E87" w:rsidRDefault="00D51E87" w:rsidP="00D51E87">
      <w:p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Puntaje obtenido</w:t>
      </w:r>
    </w:p>
    <w:p w:rsidR="00D51E87" w:rsidRPr="00D51E87" w:rsidRDefault="00D51E87" w:rsidP="00D51E87">
      <w:pPr>
        <w:autoSpaceDE w:val="0"/>
        <w:autoSpaceDN w:val="0"/>
        <w:adjustRightInd w:val="0"/>
        <w:spacing w:before="120" w:after="120"/>
        <w:jc w:val="both"/>
        <w:rPr>
          <w:rFonts w:ascii="Arial" w:hAnsi="Arial" w:cs="Arial"/>
          <w:sz w:val="22"/>
          <w:szCs w:val="22"/>
          <w:lang w:val="es-CR"/>
        </w:rPr>
      </w:pPr>
    </w:p>
    <w:tbl>
      <w:tblPr>
        <w:tblW w:w="0" w:type="auto"/>
        <w:jc w:val="center"/>
        <w:tblLook w:val="04A0" w:firstRow="1" w:lastRow="0" w:firstColumn="1" w:lastColumn="0" w:noHBand="0" w:noVBand="1"/>
      </w:tblPr>
      <w:tblGrid>
        <w:gridCol w:w="5299"/>
        <w:gridCol w:w="1421"/>
      </w:tblGrid>
      <w:tr w:rsidR="00D51E87" w:rsidRPr="00D51E87" w:rsidTr="008E6D4D">
        <w:trPr>
          <w:jc w:val="center"/>
        </w:trPr>
        <w:tc>
          <w:tcPr>
            <w:tcW w:w="5299" w:type="dxa"/>
            <w:tcBorders>
              <w:bottom w:val="single" w:sz="4" w:space="0" w:color="auto"/>
            </w:tcBorders>
            <w:shd w:val="clear" w:color="auto" w:fill="auto"/>
          </w:tcPr>
          <w:p w:rsidR="00D51E87" w:rsidRPr="00D51E87" w:rsidRDefault="00D51E87" w:rsidP="00D51E87">
            <w:pPr>
              <w:autoSpaceDE w:val="0"/>
              <w:autoSpaceDN w:val="0"/>
              <w:adjustRightInd w:val="0"/>
              <w:spacing w:before="120" w:after="120"/>
              <w:jc w:val="center"/>
              <w:rPr>
                <w:rFonts w:ascii="Arial" w:hAnsi="Arial" w:cs="Arial"/>
                <w:sz w:val="22"/>
                <w:szCs w:val="22"/>
                <w:lang w:val="es-CR"/>
              </w:rPr>
            </w:pPr>
            <w:r w:rsidRPr="00D51E87">
              <w:rPr>
                <w:rFonts w:ascii="Arial" w:hAnsi="Arial" w:cs="Arial"/>
                <w:sz w:val="22"/>
                <w:szCs w:val="22"/>
                <w:lang w:val="es-CR"/>
              </w:rPr>
              <w:t>Equipo a calificar</w:t>
            </w:r>
          </w:p>
        </w:tc>
        <w:tc>
          <w:tcPr>
            <w:tcW w:w="1421" w:type="dxa"/>
            <w:vMerge w:val="restart"/>
            <w:shd w:val="clear" w:color="auto" w:fill="auto"/>
            <w:vAlign w:val="center"/>
          </w:tcPr>
          <w:p w:rsidR="00D51E87" w:rsidRPr="00D51E87" w:rsidRDefault="00D51E87" w:rsidP="00D51E87">
            <w:pPr>
              <w:autoSpaceDE w:val="0"/>
              <w:autoSpaceDN w:val="0"/>
              <w:adjustRightInd w:val="0"/>
              <w:spacing w:before="120" w:after="120"/>
              <w:jc w:val="both"/>
              <w:rPr>
                <w:rFonts w:ascii="Arial" w:hAnsi="Arial" w:cs="Arial"/>
                <w:sz w:val="22"/>
                <w:szCs w:val="22"/>
                <w:lang w:val="es-CR"/>
              </w:rPr>
            </w:pPr>
            <w:r w:rsidRPr="00D51E87">
              <w:rPr>
                <w:rFonts w:ascii="Arial" w:hAnsi="Arial" w:cs="Arial"/>
                <w:sz w:val="22"/>
                <w:szCs w:val="22"/>
                <w:lang w:val="es-CR"/>
              </w:rPr>
              <w:t>X 25 puntos</w:t>
            </w:r>
          </w:p>
        </w:tc>
      </w:tr>
      <w:tr w:rsidR="00D51E87" w:rsidRPr="00D51E87" w:rsidTr="008E6D4D">
        <w:trPr>
          <w:jc w:val="center"/>
        </w:trPr>
        <w:tc>
          <w:tcPr>
            <w:tcW w:w="5299" w:type="dxa"/>
            <w:tcBorders>
              <w:top w:val="single" w:sz="4" w:space="0" w:color="auto"/>
            </w:tcBorders>
            <w:shd w:val="clear" w:color="auto" w:fill="auto"/>
          </w:tcPr>
          <w:p w:rsidR="00D51E87" w:rsidRPr="00D51E87" w:rsidRDefault="00D51E87" w:rsidP="00D51E87">
            <w:pPr>
              <w:autoSpaceDE w:val="0"/>
              <w:autoSpaceDN w:val="0"/>
              <w:adjustRightInd w:val="0"/>
              <w:spacing w:before="120" w:after="120"/>
              <w:jc w:val="center"/>
              <w:rPr>
                <w:rFonts w:ascii="Arial" w:hAnsi="Arial" w:cs="Arial"/>
                <w:sz w:val="22"/>
                <w:szCs w:val="22"/>
                <w:lang w:val="es-CR"/>
              </w:rPr>
            </w:pPr>
            <w:r w:rsidRPr="00D51E87">
              <w:rPr>
                <w:rFonts w:ascii="Arial" w:hAnsi="Arial" w:cs="Arial"/>
                <w:sz w:val="22"/>
                <w:szCs w:val="22"/>
                <w:lang w:val="es-CR"/>
              </w:rPr>
              <w:t>Equipo con mayor cantidad de puntos</w:t>
            </w:r>
          </w:p>
        </w:tc>
        <w:tc>
          <w:tcPr>
            <w:tcW w:w="1421" w:type="dxa"/>
            <w:vMerge/>
            <w:shd w:val="clear" w:color="auto" w:fill="auto"/>
          </w:tcPr>
          <w:p w:rsidR="00D51E87" w:rsidRPr="00D51E87" w:rsidRDefault="00D51E87" w:rsidP="00D51E87">
            <w:pPr>
              <w:autoSpaceDE w:val="0"/>
              <w:autoSpaceDN w:val="0"/>
              <w:adjustRightInd w:val="0"/>
              <w:spacing w:before="120" w:after="120"/>
              <w:jc w:val="both"/>
              <w:rPr>
                <w:rFonts w:ascii="Arial" w:hAnsi="Arial" w:cs="Arial"/>
                <w:sz w:val="22"/>
                <w:szCs w:val="22"/>
                <w:u w:val="single"/>
                <w:lang w:val="es-CR"/>
              </w:rPr>
            </w:pPr>
          </w:p>
        </w:tc>
      </w:tr>
    </w:tbl>
    <w:p w:rsidR="00D51E87" w:rsidRPr="00D51E87" w:rsidRDefault="00D51E87" w:rsidP="00D51E87">
      <w:pPr>
        <w:autoSpaceDE w:val="0"/>
        <w:autoSpaceDN w:val="0"/>
        <w:adjustRightInd w:val="0"/>
        <w:spacing w:before="120" w:after="120"/>
        <w:jc w:val="both"/>
        <w:rPr>
          <w:rFonts w:ascii="Arial" w:hAnsi="Arial" w:cs="Arial"/>
          <w:sz w:val="22"/>
          <w:szCs w:val="22"/>
          <w:lang w:val="es-CR"/>
        </w:rPr>
      </w:pPr>
    </w:p>
    <w:p w:rsidR="00D51E87" w:rsidRPr="00D51E87" w:rsidRDefault="00D51E87" w:rsidP="00D51E87">
      <w:pPr>
        <w:autoSpaceDE w:val="0"/>
        <w:autoSpaceDN w:val="0"/>
        <w:adjustRightInd w:val="0"/>
        <w:spacing w:before="120" w:after="120"/>
        <w:jc w:val="both"/>
        <w:rPr>
          <w:rFonts w:ascii="Arial" w:hAnsi="Arial" w:cs="Arial"/>
          <w:b/>
          <w:sz w:val="22"/>
          <w:szCs w:val="22"/>
          <w:lang w:val="es-CR"/>
        </w:rPr>
      </w:pPr>
      <w:r w:rsidRPr="00D51E87">
        <w:rPr>
          <w:rFonts w:ascii="Arial" w:hAnsi="Arial" w:cs="Arial"/>
          <w:b/>
          <w:sz w:val="22"/>
          <w:szCs w:val="22"/>
          <w:lang w:val="es-CR"/>
        </w:rPr>
        <w:t>Criterios de desempate:</w:t>
      </w:r>
    </w:p>
    <w:p w:rsidR="00D51E87" w:rsidRPr="00D51E87" w:rsidRDefault="00D51E87" w:rsidP="00D51E87">
      <w:pPr>
        <w:tabs>
          <w:tab w:val="left" w:pos="426"/>
        </w:tabs>
        <w:jc w:val="both"/>
        <w:rPr>
          <w:rFonts w:ascii="Arial" w:hAnsi="Arial" w:cs="Arial"/>
          <w:sz w:val="22"/>
          <w:szCs w:val="20"/>
          <w:lang w:val="es-CR"/>
        </w:rPr>
      </w:pPr>
      <w:r w:rsidRPr="00D51E87">
        <w:rPr>
          <w:rFonts w:ascii="Arial" w:hAnsi="Arial" w:cs="Arial"/>
          <w:sz w:val="22"/>
          <w:szCs w:val="20"/>
          <w:lang w:val="es-CR"/>
        </w:rPr>
        <w:t>El factor fundamental para adjudicar esta licitación es el precio, de aquellas ofertas que cumplan con las condiciones, tanto legales y técnicas establecidas en este cartel.</w:t>
      </w:r>
    </w:p>
    <w:p w:rsidR="00D51E87" w:rsidRPr="00D51E87" w:rsidRDefault="00D51E87" w:rsidP="00D51E87">
      <w:pPr>
        <w:numPr>
          <w:ilvl w:val="12"/>
          <w:numId w:val="0"/>
        </w:numPr>
        <w:tabs>
          <w:tab w:val="left" w:pos="6379"/>
        </w:tabs>
        <w:jc w:val="both"/>
        <w:rPr>
          <w:rFonts w:ascii="Arial" w:hAnsi="Arial" w:cs="Arial"/>
          <w:sz w:val="22"/>
          <w:szCs w:val="22"/>
          <w:lang w:val="es-CR"/>
        </w:rPr>
      </w:pPr>
      <w:r w:rsidRPr="00D51E87">
        <w:rPr>
          <w:rFonts w:ascii="Arial" w:hAnsi="Arial" w:cs="Arial"/>
          <w:b/>
          <w:sz w:val="22"/>
          <w:szCs w:val="22"/>
          <w:lang w:val="es-CR"/>
        </w:rPr>
        <w:t>En caso de empate</w:t>
      </w:r>
      <w:r w:rsidRPr="00D51E87">
        <w:rPr>
          <w:rFonts w:ascii="Arial" w:hAnsi="Arial" w:cs="Arial"/>
          <w:sz w:val="22"/>
          <w:szCs w:val="22"/>
          <w:lang w:val="es-CR"/>
        </w:rPr>
        <w:t>: En caso de que existan dos o más ofertas que obtengan igual puntaje, el criterio para el desempate será el siguiente:</w:t>
      </w:r>
    </w:p>
    <w:p w:rsidR="00D51E87" w:rsidRPr="00D51E87" w:rsidRDefault="00D51E87" w:rsidP="00803853">
      <w:pPr>
        <w:numPr>
          <w:ilvl w:val="0"/>
          <w:numId w:val="35"/>
        </w:numPr>
        <w:jc w:val="both"/>
        <w:rPr>
          <w:rFonts w:ascii="Arial" w:hAnsi="Arial" w:cs="Arial"/>
          <w:sz w:val="22"/>
          <w:szCs w:val="22"/>
          <w:lang w:val="es-CR"/>
        </w:rPr>
      </w:pPr>
      <w:r w:rsidRPr="00D51E87">
        <w:rPr>
          <w:rFonts w:ascii="Arial" w:hAnsi="Arial" w:cs="Arial"/>
          <w:sz w:val="22"/>
          <w:szCs w:val="22"/>
          <w:lang w:val="es-CR"/>
        </w:rPr>
        <w:t xml:space="preserve">La oferta que haya acreditado su condición de PYME, según ley 8262, obtendrá puntuación adicional según su sector: Pyme de industria 5 </w:t>
      </w:r>
      <w:proofErr w:type="spellStart"/>
      <w:r w:rsidRPr="00D51E87">
        <w:rPr>
          <w:rFonts w:ascii="Arial" w:hAnsi="Arial" w:cs="Arial"/>
          <w:sz w:val="22"/>
          <w:szCs w:val="22"/>
          <w:lang w:val="es-CR"/>
        </w:rPr>
        <w:t>ptos</w:t>
      </w:r>
      <w:proofErr w:type="spellEnd"/>
      <w:r w:rsidRPr="00D51E87">
        <w:rPr>
          <w:rFonts w:ascii="Arial" w:hAnsi="Arial" w:cs="Arial"/>
          <w:sz w:val="22"/>
          <w:szCs w:val="22"/>
          <w:lang w:val="es-CR"/>
        </w:rPr>
        <w:t xml:space="preserve">, Pyme de servicio 5 </w:t>
      </w:r>
      <w:proofErr w:type="spellStart"/>
      <w:r w:rsidRPr="00D51E87">
        <w:rPr>
          <w:rFonts w:ascii="Arial" w:hAnsi="Arial" w:cs="Arial"/>
          <w:sz w:val="22"/>
          <w:szCs w:val="22"/>
          <w:lang w:val="es-CR"/>
        </w:rPr>
        <w:t>ptos</w:t>
      </w:r>
      <w:proofErr w:type="spellEnd"/>
      <w:r w:rsidRPr="00D51E87">
        <w:rPr>
          <w:rFonts w:ascii="Arial" w:hAnsi="Arial" w:cs="Arial"/>
          <w:sz w:val="22"/>
          <w:szCs w:val="22"/>
          <w:lang w:val="es-CR"/>
        </w:rPr>
        <w:t xml:space="preserve">, Pyme de comercio 2 </w:t>
      </w:r>
      <w:proofErr w:type="spellStart"/>
      <w:r w:rsidRPr="00D51E87">
        <w:rPr>
          <w:rFonts w:ascii="Arial" w:hAnsi="Arial" w:cs="Arial"/>
          <w:sz w:val="22"/>
          <w:szCs w:val="22"/>
          <w:lang w:val="es-CR"/>
        </w:rPr>
        <w:t>ptos</w:t>
      </w:r>
      <w:proofErr w:type="spellEnd"/>
      <w:r w:rsidRPr="00D51E87">
        <w:rPr>
          <w:rFonts w:ascii="Arial" w:hAnsi="Arial" w:cs="Arial"/>
          <w:sz w:val="22"/>
          <w:szCs w:val="22"/>
          <w:lang w:val="es-CR"/>
        </w:rPr>
        <w:t>, de conformidad con el artículo 55bis RLCA.</w:t>
      </w:r>
    </w:p>
    <w:p w:rsidR="00D51E87" w:rsidRPr="00D51E87" w:rsidRDefault="00D51E87" w:rsidP="00803853">
      <w:pPr>
        <w:numPr>
          <w:ilvl w:val="0"/>
          <w:numId w:val="35"/>
        </w:numPr>
        <w:rPr>
          <w:rFonts w:ascii="Arial" w:hAnsi="Arial" w:cs="Arial"/>
          <w:sz w:val="22"/>
          <w:szCs w:val="22"/>
          <w:lang w:val="es-CR"/>
        </w:rPr>
      </w:pPr>
      <w:r w:rsidRPr="00D51E87">
        <w:rPr>
          <w:rFonts w:ascii="Arial" w:hAnsi="Arial" w:cs="Arial"/>
          <w:sz w:val="22"/>
          <w:szCs w:val="22"/>
          <w:lang w:val="es-CR"/>
        </w:rPr>
        <w:t>La oferta que presente el menor precio.</w:t>
      </w:r>
    </w:p>
    <w:p w:rsidR="00D51E87" w:rsidRPr="00D51E87" w:rsidRDefault="00D51E87" w:rsidP="00803853">
      <w:pPr>
        <w:numPr>
          <w:ilvl w:val="0"/>
          <w:numId w:val="35"/>
        </w:numPr>
        <w:rPr>
          <w:rFonts w:ascii="Arial" w:hAnsi="Arial" w:cs="Arial"/>
          <w:sz w:val="22"/>
          <w:szCs w:val="22"/>
          <w:lang w:val="es-CR"/>
        </w:rPr>
      </w:pPr>
      <w:r w:rsidRPr="00D51E87">
        <w:rPr>
          <w:rFonts w:ascii="Arial" w:hAnsi="Arial" w:cs="Arial"/>
          <w:sz w:val="22"/>
          <w:szCs w:val="22"/>
          <w:lang w:val="es-CR"/>
        </w:rPr>
        <w:t>La oferta que presente la mayor experiencia en trabajos similares realizados.</w:t>
      </w:r>
    </w:p>
    <w:p w:rsidR="00D51E87" w:rsidRPr="00D51E87" w:rsidRDefault="00D51E87" w:rsidP="00803853">
      <w:pPr>
        <w:numPr>
          <w:ilvl w:val="0"/>
          <w:numId w:val="35"/>
        </w:numPr>
        <w:rPr>
          <w:rFonts w:ascii="Arial" w:hAnsi="Arial" w:cs="Arial"/>
          <w:sz w:val="22"/>
          <w:szCs w:val="22"/>
          <w:lang w:val="es-CR"/>
        </w:rPr>
      </w:pPr>
      <w:r w:rsidRPr="00D51E87">
        <w:rPr>
          <w:rFonts w:ascii="Arial" w:hAnsi="Arial" w:cs="Arial"/>
          <w:sz w:val="22"/>
          <w:szCs w:val="22"/>
          <w:lang w:val="es-CR"/>
        </w:rPr>
        <w:t>Oferta con mayor puntaje en experiencia profesional del personal requerido.</w:t>
      </w:r>
    </w:p>
    <w:p w:rsidR="00D51E87" w:rsidRPr="00D51E87" w:rsidRDefault="00D51E87" w:rsidP="00803853">
      <w:pPr>
        <w:numPr>
          <w:ilvl w:val="0"/>
          <w:numId w:val="35"/>
        </w:numPr>
        <w:rPr>
          <w:rFonts w:ascii="Arial" w:hAnsi="Arial" w:cs="Arial"/>
          <w:sz w:val="22"/>
          <w:szCs w:val="22"/>
          <w:lang w:val="es-CR"/>
        </w:rPr>
      </w:pPr>
      <w:r w:rsidRPr="00D51E87">
        <w:rPr>
          <w:rFonts w:ascii="Arial" w:hAnsi="Arial" w:cs="Arial"/>
          <w:sz w:val="22"/>
          <w:szCs w:val="22"/>
          <w:lang w:val="es-CR"/>
        </w:rPr>
        <w:t>De persistir el mismo se decidirá por la suerte, según se indica en art. 55, párrafo 4 del Reglamento de la Ley de Contratación Administrativa.</w:t>
      </w:r>
    </w:p>
    <w:p w:rsidR="00D51E87" w:rsidRPr="00D51E87" w:rsidRDefault="00D51E87" w:rsidP="00D51E87">
      <w:pPr>
        <w:rPr>
          <w:rFonts w:ascii="Arial" w:hAnsi="Arial" w:cs="Arial"/>
          <w:sz w:val="22"/>
          <w:szCs w:val="20"/>
          <w:lang w:val="es-CR"/>
        </w:rPr>
      </w:pPr>
      <w:bookmarkStart w:id="78" w:name="_Toc526433886"/>
    </w:p>
    <w:p w:rsidR="00D51E87" w:rsidRPr="00D51E87" w:rsidRDefault="00D51E87" w:rsidP="00D51E87">
      <w:pPr>
        <w:rPr>
          <w:sz w:val="23"/>
          <w:szCs w:val="23"/>
          <w:lang w:val="es-CR"/>
        </w:rPr>
      </w:pPr>
      <w:r w:rsidRPr="00D51E87">
        <w:rPr>
          <w:rFonts w:ascii="Arial" w:hAnsi="Arial" w:cs="Arial"/>
          <w:sz w:val="22"/>
          <w:szCs w:val="20"/>
          <w:lang w:val="es-CR"/>
        </w:rPr>
        <w:t>C</w:t>
      </w:r>
      <w:r w:rsidRPr="00D51E87">
        <w:rPr>
          <w:sz w:val="23"/>
          <w:szCs w:val="23"/>
          <w:lang w:val="es-CR"/>
        </w:rPr>
        <w:t>ONTACTO</w:t>
      </w:r>
      <w:bookmarkEnd w:id="74"/>
      <w:bookmarkEnd w:id="78"/>
    </w:p>
    <w:p w:rsidR="00D51E87" w:rsidRPr="00D51E87" w:rsidRDefault="00D51E87" w:rsidP="00D51E87">
      <w:pPr>
        <w:rPr>
          <w:i/>
          <w:sz w:val="23"/>
          <w:szCs w:val="23"/>
          <w:lang w:val="es-CR"/>
        </w:rPr>
      </w:pPr>
    </w:p>
    <w:p w:rsidR="00D51E87" w:rsidRPr="00D51E87" w:rsidRDefault="00D51E87" w:rsidP="00D51E87">
      <w:pPr>
        <w:tabs>
          <w:tab w:val="left" w:pos="426"/>
        </w:tabs>
        <w:jc w:val="both"/>
        <w:rPr>
          <w:rFonts w:ascii="Arial" w:hAnsi="Arial" w:cs="Arial"/>
          <w:sz w:val="22"/>
          <w:szCs w:val="22"/>
          <w:lang w:val="es-CR"/>
        </w:rPr>
      </w:pPr>
      <w:r w:rsidRPr="00D51E87">
        <w:rPr>
          <w:rFonts w:ascii="Arial" w:hAnsi="Arial" w:cs="Arial"/>
          <w:sz w:val="22"/>
          <w:szCs w:val="22"/>
          <w:lang w:val="es-CR"/>
        </w:rPr>
        <w:t xml:space="preserve">Para mayor información del proceso de esta contratación, puede comunicarse con Guissella Campos Jiménez, al teléfono 2550-9298, fax 2551-3118, correo electrónico </w:t>
      </w:r>
      <w:hyperlink r:id="rId10" w:history="1">
        <w:r w:rsidRPr="00D51E87">
          <w:rPr>
            <w:rFonts w:ascii="Arial" w:hAnsi="Arial" w:cs="Arial"/>
            <w:sz w:val="22"/>
            <w:szCs w:val="22"/>
            <w:u w:val="single"/>
            <w:lang w:val="es-CR"/>
          </w:rPr>
          <w:t>gicampos@itcr.ac.cr</w:t>
        </w:r>
      </w:hyperlink>
      <w:r w:rsidRPr="00D51E87">
        <w:rPr>
          <w:rFonts w:ascii="Arial" w:hAnsi="Arial" w:cs="Arial"/>
          <w:sz w:val="22"/>
          <w:szCs w:val="22"/>
          <w:lang w:val="es-CR"/>
        </w:rPr>
        <w:t xml:space="preserve"> </w:t>
      </w:r>
    </w:p>
    <w:p w:rsidR="00D51E87" w:rsidRPr="00D51E87" w:rsidRDefault="00D51E87" w:rsidP="00D51E87">
      <w:pPr>
        <w:autoSpaceDE w:val="0"/>
        <w:autoSpaceDN w:val="0"/>
        <w:adjustRightInd w:val="0"/>
        <w:jc w:val="center"/>
        <w:rPr>
          <w:rFonts w:ascii="Arial" w:hAnsi="Arial" w:cs="Arial"/>
          <w:b/>
          <w:sz w:val="20"/>
          <w:szCs w:val="20"/>
          <w:lang w:val="pt-BR"/>
        </w:rPr>
      </w:pPr>
    </w:p>
    <w:p w:rsidR="00D51E87" w:rsidRPr="00D51E87" w:rsidRDefault="00D51E87" w:rsidP="00D51E87">
      <w:pPr>
        <w:autoSpaceDE w:val="0"/>
        <w:autoSpaceDN w:val="0"/>
        <w:adjustRightInd w:val="0"/>
        <w:jc w:val="center"/>
        <w:rPr>
          <w:rFonts w:ascii="Arial" w:hAnsi="Arial" w:cs="Arial"/>
          <w:b/>
          <w:sz w:val="20"/>
          <w:szCs w:val="20"/>
          <w:lang w:val="es-CR"/>
        </w:rPr>
      </w:pPr>
      <w:r w:rsidRPr="00D51E87">
        <w:rPr>
          <w:rFonts w:ascii="Arial" w:hAnsi="Arial" w:cs="Arial"/>
          <w:b/>
          <w:sz w:val="20"/>
          <w:szCs w:val="20"/>
          <w:lang w:val="es-CR"/>
        </w:rPr>
        <w:t>ANEXO # 1</w:t>
      </w:r>
    </w:p>
    <w:p w:rsidR="00D51E87" w:rsidRPr="00D51E87" w:rsidRDefault="00D51E87" w:rsidP="00D51E87">
      <w:pPr>
        <w:autoSpaceDE w:val="0"/>
        <w:autoSpaceDN w:val="0"/>
        <w:adjustRightInd w:val="0"/>
        <w:jc w:val="center"/>
        <w:rPr>
          <w:rFonts w:ascii="Arial" w:hAnsi="Arial" w:cs="Arial"/>
          <w:b/>
          <w:sz w:val="20"/>
          <w:szCs w:val="20"/>
          <w:lang w:val="es-CR"/>
        </w:rPr>
      </w:pPr>
    </w:p>
    <w:p w:rsidR="00D51E87" w:rsidRPr="00D51E87" w:rsidRDefault="00D51E87" w:rsidP="00803853">
      <w:pPr>
        <w:numPr>
          <w:ilvl w:val="0"/>
          <w:numId w:val="14"/>
        </w:numPr>
        <w:autoSpaceDE w:val="0"/>
        <w:autoSpaceDN w:val="0"/>
        <w:adjustRightInd w:val="0"/>
        <w:jc w:val="both"/>
        <w:rPr>
          <w:rFonts w:ascii="Arial" w:hAnsi="Arial" w:cs="Arial"/>
          <w:b/>
          <w:sz w:val="20"/>
          <w:szCs w:val="20"/>
          <w:lang w:val="es-CR"/>
        </w:rPr>
      </w:pPr>
      <w:r w:rsidRPr="00D51E87">
        <w:rPr>
          <w:rFonts w:ascii="Arial" w:hAnsi="Arial" w:cs="Arial"/>
          <w:b/>
          <w:sz w:val="20"/>
          <w:szCs w:val="20"/>
          <w:lang w:val="es-CR"/>
        </w:rPr>
        <w:t xml:space="preserve">Entregables para cada uno de los periodos </w:t>
      </w:r>
    </w:p>
    <w:p w:rsidR="00D51E87" w:rsidRPr="00D51E87" w:rsidRDefault="00D51E87" w:rsidP="00D51E87">
      <w:pPr>
        <w:autoSpaceDE w:val="0"/>
        <w:autoSpaceDN w:val="0"/>
        <w:adjustRightInd w:val="0"/>
        <w:jc w:val="both"/>
        <w:rPr>
          <w:rFonts w:ascii="Arial" w:hAnsi="Arial" w:cs="Arial"/>
          <w:b/>
          <w:sz w:val="20"/>
          <w:szCs w:val="20"/>
          <w:lang w:val="es-CR"/>
        </w:rPr>
      </w:pPr>
    </w:p>
    <w:tbl>
      <w:tblPr>
        <w:tblpPr w:leftFromText="141" w:rightFromText="141"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864"/>
      </w:tblGrid>
      <w:tr w:rsidR="00D51E87" w:rsidRPr="00D51E87" w:rsidTr="008E6D4D">
        <w:trPr>
          <w:trHeight w:val="497"/>
          <w:tblHeader/>
        </w:trPr>
        <w:tc>
          <w:tcPr>
            <w:tcW w:w="3219" w:type="dxa"/>
            <w:shd w:val="clear" w:color="auto" w:fill="auto"/>
          </w:tcPr>
          <w:p w:rsidR="00D51E87" w:rsidRPr="00D51E87" w:rsidRDefault="00D51E87" w:rsidP="00D51E87">
            <w:pPr>
              <w:autoSpaceDE w:val="0"/>
              <w:autoSpaceDN w:val="0"/>
              <w:adjustRightInd w:val="0"/>
              <w:jc w:val="center"/>
              <w:rPr>
                <w:rFonts w:ascii="Arial" w:hAnsi="Arial" w:cs="Arial"/>
                <w:b/>
                <w:sz w:val="20"/>
                <w:szCs w:val="20"/>
                <w:lang w:val="es-CR"/>
              </w:rPr>
            </w:pPr>
            <w:r w:rsidRPr="00D51E87">
              <w:rPr>
                <w:rFonts w:ascii="Arial" w:hAnsi="Arial" w:cs="Arial"/>
                <w:b/>
                <w:sz w:val="20"/>
                <w:szCs w:val="20"/>
                <w:lang w:val="es-CR"/>
              </w:rPr>
              <w:t>Fecha límite o plazo de entrega del informe</w:t>
            </w:r>
          </w:p>
        </w:tc>
        <w:tc>
          <w:tcPr>
            <w:tcW w:w="5908" w:type="dxa"/>
            <w:shd w:val="clear" w:color="auto" w:fill="auto"/>
          </w:tcPr>
          <w:p w:rsidR="00D51E87" w:rsidRPr="00D51E87" w:rsidRDefault="00D51E87" w:rsidP="00D51E87">
            <w:pPr>
              <w:autoSpaceDE w:val="0"/>
              <w:autoSpaceDN w:val="0"/>
              <w:adjustRightInd w:val="0"/>
              <w:jc w:val="center"/>
              <w:rPr>
                <w:rFonts w:ascii="Arial" w:hAnsi="Arial" w:cs="Arial"/>
                <w:b/>
                <w:sz w:val="20"/>
                <w:szCs w:val="20"/>
                <w:lang w:val="es-CR"/>
              </w:rPr>
            </w:pPr>
            <w:r w:rsidRPr="00D51E87">
              <w:rPr>
                <w:rFonts w:ascii="Arial" w:hAnsi="Arial" w:cs="Arial"/>
                <w:b/>
                <w:sz w:val="20"/>
                <w:szCs w:val="20"/>
                <w:lang w:val="es-CR"/>
              </w:rPr>
              <w:t>Nombre del informe</w:t>
            </w:r>
          </w:p>
        </w:tc>
      </w:tr>
      <w:tr w:rsidR="00D51E87" w:rsidRPr="00D51E87" w:rsidTr="008E6D4D">
        <w:trPr>
          <w:trHeight w:val="763"/>
        </w:trPr>
        <w:tc>
          <w:tcPr>
            <w:tcW w:w="3219" w:type="dxa"/>
            <w:vMerge w:val="restart"/>
            <w:shd w:val="clear" w:color="auto" w:fill="auto"/>
            <w:vAlign w:val="center"/>
          </w:tcPr>
          <w:p w:rsidR="00D51E87" w:rsidRPr="00D51E87" w:rsidRDefault="00D51E87" w:rsidP="00D51E87">
            <w:pPr>
              <w:autoSpaceDE w:val="0"/>
              <w:autoSpaceDN w:val="0"/>
              <w:adjustRightInd w:val="0"/>
              <w:jc w:val="center"/>
              <w:rPr>
                <w:rFonts w:ascii="Arial" w:hAnsi="Arial" w:cs="Arial"/>
                <w:sz w:val="20"/>
                <w:szCs w:val="20"/>
                <w:lang w:val="es-CR"/>
              </w:rPr>
            </w:pPr>
            <w:r w:rsidRPr="00D51E87">
              <w:rPr>
                <w:rFonts w:ascii="Arial" w:hAnsi="Arial" w:cs="Arial"/>
                <w:sz w:val="20"/>
                <w:szCs w:val="20"/>
                <w:lang w:val="es-CR"/>
              </w:rPr>
              <w:t>En los primeros 15 días hábiles del mes de febrero</w:t>
            </w:r>
          </w:p>
        </w:tc>
        <w:tc>
          <w:tcPr>
            <w:tcW w:w="5908" w:type="dxa"/>
            <w:shd w:val="clear" w:color="auto" w:fill="auto"/>
          </w:tcPr>
          <w:p w:rsidR="00D51E87" w:rsidRPr="00D51E87" w:rsidRDefault="00D51E87" w:rsidP="00D51E87">
            <w:pPr>
              <w:autoSpaceDE w:val="0"/>
              <w:autoSpaceDN w:val="0"/>
              <w:adjustRightInd w:val="0"/>
              <w:jc w:val="both"/>
              <w:rPr>
                <w:rFonts w:ascii="Arial" w:hAnsi="Arial" w:cs="Arial"/>
                <w:sz w:val="20"/>
                <w:szCs w:val="20"/>
                <w:lang w:val="es-CR"/>
              </w:rPr>
            </w:pPr>
            <w:r w:rsidRPr="00D51E87">
              <w:rPr>
                <w:rFonts w:ascii="Arial" w:hAnsi="Arial" w:cs="Arial"/>
                <w:sz w:val="20"/>
                <w:szCs w:val="20"/>
                <w:lang w:val="es-CR"/>
              </w:rPr>
              <w:t>Borrador del informe de la Opinión a los Estados Financieros con sus respectivas notas, con el informe complementario del Auditor Externo, con corte al 31 de diciembre.</w:t>
            </w:r>
          </w:p>
        </w:tc>
      </w:tr>
      <w:tr w:rsidR="00D51E87" w:rsidRPr="00D51E87" w:rsidTr="008E6D4D">
        <w:trPr>
          <w:trHeight w:val="514"/>
        </w:trPr>
        <w:tc>
          <w:tcPr>
            <w:tcW w:w="3219" w:type="dxa"/>
            <w:vMerge/>
            <w:shd w:val="clear" w:color="auto" w:fill="auto"/>
          </w:tcPr>
          <w:p w:rsidR="00D51E87" w:rsidRPr="00D51E87" w:rsidRDefault="00D51E87" w:rsidP="00D51E87">
            <w:pPr>
              <w:autoSpaceDE w:val="0"/>
              <w:autoSpaceDN w:val="0"/>
              <w:adjustRightInd w:val="0"/>
              <w:jc w:val="center"/>
              <w:rPr>
                <w:rFonts w:ascii="Arial" w:hAnsi="Arial" w:cs="Arial"/>
                <w:sz w:val="20"/>
                <w:szCs w:val="20"/>
                <w:lang w:val="es-CR"/>
              </w:rPr>
            </w:pPr>
          </w:p>
        </w:tc>
        <w:tc>
          <w:tcPr>
            <w:tcW w:w="5908" w:type="dxa"/>
            <w:shd w:val="clear" w:color="auto" w:fill="auto"/>
          </w:tcPr>
          <w:p w:rsidR="00D51E87" w:rsidRPr="00D51E87" w:rsidRDefault="00D51E87" w:rsidP="00D51E87">
            <w:pPr>
              <w:autoSpaceDE w:val="0"/>
              <w:autoSpaceDN w:val="0"/>
              <w:adjustRightInd w:val="0"/>
              <w:jc w:val="both"/>
              <w:rPr>
                <w:rFonts w:ascii="Arial" w:hAnsi="Arial" w:cs="Arial"/>
                <w:sz w:val="20"/>
                <w:szCs w:val="20"/>
                <w:lang w:val="es-CR"/>
              </w:rPr>
            </w:pPr>
            <w:r w:rsidRPr="00D51E87">
              <w:rPr>
                <w:rFonts w:ascii="Arial" w:hAnsi="Arial" w:cs="Arial"/>
                <w:sz w:val="20"/>
                <w:szCs w:val="20"/>
                <w:lang w:val="es-CR"/>
              </w:rPr>
              <w:t>Borrador de la Carta de Gerencia correspondiente a la segunda visita con corte al 31 de diciembre.</w:t>
            </w:r>
          </w:p>
        </w:tc>
      </w:tr>
      <w:tr w:rsidR="00D51E87" w:rsidRPr="00D51E87" w:rsidTr="008E6D4D">
        <w:trPr>
          <w:trHeight w:val="514"/>
        </w:trPr>
        <w:tc>
          <w:tcPr>
            <w:tcW w:w="3219" w:type="dxa"/>
            <w:shd w:val="clear" w:color="auto" w:fill="auto"/>
          </w:tcPr>
          <w:p w:rsidR="00D51E87" w:rsidRPr="00D51E87" w:rsidRDefault="00D51E87" w:rsidP="00D51E87">
            <w:pPr>
              <w:autoSpaceDE w:val="0"/>
              <w:autoSpaceDN w:val="0"/>
              <w:adjustRightInd w:val="0"/>
              <w:jc w:val="center"/>
              <w:rPr>
                <w:rFonts w:ascii="Arial" w:hAnsi="Arial" w:cs="Arial"/>
                <w:sz w:val="20"/>
                <w:szCs w:val="20"/>
                <w:lang w:val="es-CR"/>
              </w:rPr>
            </w:pPr>
            <w:r w:rsidRPr="00D51E87">
              <w:rPr>
                <w:rFonts w:ascii="Arial" w:hAnsi="Arial" w:cs="Arial"/>
                <w:sz w:val="20"/>
                <w:szCs w:val="20"/>
                <w:lang w:val="es-CR"/>
              </w:rPr>
              <w:t>En los primeros 20 días hábiles del mes de febrero</w:t>
            </w:r>
          </w:p>
        </w:tc>
        <w:tc>
          <w:tcPr>
            <w:tcW w:w="5908" w:type="dxa"/>
            <w:shd w:val="clear" w:color="auto" w:fill="auto"/>
          </w:tcPr>
          <w:p w:rsidR="00D51E87" w:rsidRPr="00D51E87" w:rsidRDefault="00D51E87" w:rsidP="00D51E87">
            <w:pPr>
              <w:autoSpaceDE w:val="0"/>
              <w:autoSpaceDN w:val="0"/>
              <w:adjustRightInd w:val="0"/>
              <w:jc w:val="both"/>
              <w:rPr>
                <w:rFonts w:ascii="Arial" w:hAnsi="Arial" w:cs="Arial"/>
                <w:sz w:val="20"/>
                <w:szCs w:val="20"/>
                <w:lang w:val="es-CR"/>
              </w:rPr>
            </w:pPr>
            <w:r w:rsidRPr="00D51E87">
              <w:rPr>
                <w:rFonts w:ascii="Arial" w:hAnsi="Arial" w:cs="Arial"/>
                <w:sz w:val="20"/>
                <w:szCs w:val="20"/>
                <w:lang w:val="es-CR"/>
              </w:rPr>
              <w:t>Borrador del informe de evaluación del control interno sobre el Sistema de Tecnología de Información.</w:t>
            </w:r>
          </w:p>
        </w:tc>
      </w:tr>
      <w:tr w:rsidR="00D51E87" w:rsidRPr="00D51E87" w:rsidTr="008E6D4D">
        <w:trPr>
          <w:trHeight w:val="1012"/>
        </w:trPr>
        <w:tc>
          <w:tcPr>
            <w:tcW w:w="3219" w:type="dxa"/>
            <w:shd w:val="clear" w:color="auto" w:fill="auto"/>
          </w:tcPr>
          <w:p w:rsidR="00D51E87" w:rsidRPr="00D51E87" w:rsidRDefault="00D51E87" w:rsidP="00D51E87">
            <w:pPr>
              <w:autoSpaceDE w:val="0"/>
              <w:autoSpaceDN w:val="0"/>
              <w:adjustRightInd w:val="0"/>
              <w:jc w:val="center"/>
              <w:rPr>
                <w:rFonts w:ascii="Arial" w:hAnsi="Arial" w:cs="Arial"/>
                <w:sz w:val="20"/>
                <w:szCs w:val="20"/>
                <w:lang w:val="es-CR"/>
              </w:rPr>
            </w:pPr>
            <w:r w:rsidRPr="00D51E87">
              <w:rPr>
                <w:rFonts w:ascii="Arial" w:hAnsi="Arial" w:cs="Arial"/>
                <w:sz w:val="20"/>
                <w:szCs w:val="20"/>
                <w:lang w:val="es-CR"/>
              </w:rPr>
              <w:t>En los primeros 20 días hábiles del mes de marzo</w:t>
            </w:r>
          </w:p>
        </w:tc>
        <w:tc>
          <w:tcPr>
            <w:tcW w:w="5908" w:type="dxa"/>
            <w:shd w:val="clear" w:color="auto" w:fill="auto"/>
          </w:tcPr>
          <w:p w:rsidR="00D51E87" w:rsidRPr="00D51E87" w:rsidRDefault="00D51E87" w:rsidP="00D51E87">
            <w:pPr>
              <w:autoSpaceDE w:val="0"/>
              <w:autoSpaceDN w:val="0"/>
              <w:adjustRightInd w:val="0"/>
              <w:jc w:val="both"/>
              <w:rPr>
                <w:rFonts w:ascii="Arial" w:hAnsi="Arial" w:cs="Arial"/>
                <w:sz w:val="20"/>
                <w:szCs w:val="20"/>
                <w:lang w:val="es-CR"/>
              </w:rPr>
            </w:pPr>
            <w:r w:rsidRPr="00D51E87">
              <w:rPr>
                <w:rFonts w:ascii="Arial" w:hAnsi="Arial" w:cs="Arial"/>
                <w:sz w:val="20"/>
                <w:szCs w:val="20"/>
                <w:lang w:val="es-CR"/>
              </w:rPr>
              <w:t>Borrador del informe de la Opinión sobre la revisión de la liquidación presupuestaria del ITCR, según las Normas Técnicas sobre Presupuestos Públicos, con corte al 31 de diciembre.</w:t>
            </w:r>
          </w:p>
        </w:tc>
      </w:tr>
      <w:tr w:rsidR="00D51E87" w:rsidRPr="00D51E87" w:rsidTr="008E6D4D">
        <w:trPr>
          <w:trHeight w:val="1261"/>
        </w:trPr>
        <w:tc>
          <w:tcPr>
            <w:tcW w:w="3219" w:type="dxa"/>
            <w:shd w:val="clear" w:color="auto" w:fill="auto"/>
            <w:vAlign w:val="center"/>
          </w:tcPr>
          <w:p w:rsidR="00D51E87" w:rsidRPr="00D51E87" w:rsidRDefault="00D51E87" w:rsidP="00D51E87">
            <w:pPr>
              <w:autoSpaceDE w:val="0"/>
              <w:autoSpaceDN w:val="0"/>
              <w:adjustRightInd w:val="0"/>
              <w:jc w:val="center"/>
              <w:rPr>
                <w:rFonts w:ascii="Arial" w:hAnsi="Arial" w:cs="Arial"/>
                <w:sz w:val="20"/>
                <w:szCs w:val="20"/>
                <w:lang w:val="es-CR"/>
              </w:rPr>
            </w:pPr>
            <w:r w:rsidRPr="00D51E87">
              <w:rPr>
                <w:rFonts w:ascii="Arial" w:hAnsi="Arial" w:cs="Arial"/>
                <w:sz w:val="20"/>
                <w:szCs w:val="20"/>
                <w:lang w:val="es-CR"/>
              </w:rPr>
              <w:lastRenderedPageBreak/>
              <w:t>Cinco días hábiles después que los informes estén en firme</w:t>
            </w:r>
          </w:p>
        </w:tc>
        <w:tc>
          <w:tcPr>
            <w:tcW w:w="5908" w:type="dxa"/>
            <w:shd w:val="clear" w:color="auto" w:fill="auto"/>
          </w:tcPr>
          <w:p w:rsidR="00D51E87" w:rsidRPr="00D51E87" w:rsidRDefault="00D51E87" w:rsidP="00D51E87">
            <w:pPr>
              <w:autoSpaceDE w:val="0"/>
              <w:autoSpaceDN w:val="0"/>
              <w:adjustRightInd w:val="0"/>
              <w:jc w:val="both"/>
              <w:rPr>
                <w:rFonts w:ascii="Arial" w:hAnsi="Arial" w:cs="Arial"/>
                <w:sz w:val="20"/>
                <w:szCs w:val="20"/>
                <w:lang w:val="es-CR"/>
              </w:rPr>
            </w:pPr>
            <w:r w:rsidRPr="00D51E87">
              <w:rPr>
                <w:rFonts w:ascii="Arial" w:hAnsi="Arial" w:cs="Arial"/>
                <w:sz w:val="20"/>
                <w:szCs w:val="20"/>
                <w:lang w:val="es-CR"/>
              </w:rPr>
              <w:t>Informes de opinión del Contador Público Independiente de los Estados Financieros del ITCR con sus respectivas notas al 31 de diciembre. Entregar en forma impresa, dos originales, dos copias y archivo digital con firma digital en un CD.</w:t>
            </w:r>
          </w:p>
        </w:tc>
      </w:tr>
      <w:tr w:rsidR="00D51E87" w:rsidRPr="00D51E87" w:rsidTr="008E6D4D">
        <w:trPr>
          <w:trHeight w:val="1526"/>
        </w:trPr>
        <w:tc>
          <w:tcPr>
            <w:tcW w:w="3219" w:type="dxa"/>
            <w:shd w:val="clear" w:color="auto" w:fill="auto"/>
          </w:tcPr>
          <w:p w:rsidR="00D51E87" w:rsidRPr="00D51E87" w:rsidRDefault="00D51E87" w:rsidP="00D51E87">
            <w:pPr>
              <w:autoSpaceDE w:val="0"/>
              <w:autoSpaceDN w:val="0"/>
              <w:adjustRightInd w:val="0"/>
              <w:jc w:val="center"/>
              <w:rPr>
                <w:rFonts w:ascii="Arial" w:hAnsi="Arial" w:cs="Arial"/>
                <w:sz w:val="20"/>
                <w:szCs w:val="20"/>
                <w:lang w:val="es-CR"/>
              </w:rPr>
            </w:pPr>
            <w:r w:rsidRPr="00D51E87">
              <w:rPr>
                <w:rFonts w:ascii="Arial" w:hAnsi="Arial" w:cs="Arial"/>
                <w:sz w:val="20"/>
                <w:szCs w:val="20"/>
                <w:lang w:val="es-CR"/>
              </w:rPr>
              <w:t>Cinco días hábiles después que los informes estén en firme</w:t>
            </w:r>
          </w:p>
        </w:tc>
        <w:tc>
          <w:tcPr>
            <w:tcW w:w="5908" w:type="dxa"/>
            <w:shd w:val="clear" w:color="auto" w:fill="auto"/>
          </w:tcPr>
          <w:p w:rsidR="00D51E87" w:rsidRPr="00D51E87" w:rsidRDefault="00D51E87" w:rsidP="00D51E87">
            <w:pPr>
              <w:autoSpaceDE w:val="0"/>
              <w:autoSpaceDN w:val="0"/>
              <w:adjustRightInd w:val="0"/>
              <w:jc w:val="both"/>
              <w:rPr>
                <w:rFonts w:ascii="Arial" w:hAnsi="Arial" w:cs="Arial"/>
                <w:sz w:val="20"/>
                <w:szCs w:val="20"/>
                <w:lang w:val="es-CR"/>
              </w:rPr>
            </w:pPr>
            <w:r w:rsidRPr="00D51E87">
              <w:rPr>
                <w:rFonts w:ascii="Arial" w:hAnsi="Arial" w:cs="Arial"/>
                <w:sz w:val="20"/>
                <w:szCs w:val="20"/>
                <w:lang w:val="es-CR"/>
              </w:rPr>
              <w:t>Informe definitivo de la opinión sobre la revisión de la liquidación presupuestaria del ITCR, según las Normas Técnicas sobre Presupuestos Públicos, con corte al 31 de diciembre. Entregar en forma impresa, tres originales y dos copias (con sello blanco), así como en archivo electrónico con firma digital en un CD.</w:t>
            </w:r>
          </w:p>
        </w:tc>
      </w:tr>
      <w:tr w:rsidR="00D51E87" w:rsidRPr="00D51E87" w:rsidTr="008E6D4D">
        <w:trPr>
          <w:trHeight w:val="497"/>
        </w:trPr>
        <w:tc>
          <w:tcPr>
            <w:tcW w:w="3219" w:type="dxa"/>
            <w:shd w:val="clear" w:color="auto" w:fill="auto"/>
          </w:tcPr>
          <w:p w:rsidR="00D51E87" w:rsidRPr="00D51E87" w:rsidRDefault="00D51E87" w:rsidP="00D51E87">
            <w:pPr>
              <w:autoSpaceDE w:val="0"/>
              <w:autoSpaceDN w:val="0"/>
              <w:adjustRightInd w:val="0"/>
              <w:jc w:val="center"/>
              <w:rPr>
                <w:rFonts w:ascii="Arial" w:hAnsi="Arial" w:cs="Arial"/>
                <w:sz w:val="20"/>
                <w:szCs w:val="20"/>
                <w:lang w:val="es-CR"/>
              </w:rPr>
            </w:pPr>
            <w:r w:rsidRPr="00D51E87">
              <w:rPr>
                <w:rFonts w:ascii="Arial" w:hAnsi="Arial" w:cs="Arial"/>
                <w:sz w:val="20"/>
                <w:szCs w:val="20"/>
                <w:lang w:val="es-CR"/>
              </w:rPr>
              <w:t>Último día hábil de agosto</w:t>
            </w:r>
          </w:p>
        </w:tc>
        <w:tc>
          <w:tcPr>
            <w:tcW w:w="5908" w:type="dxa"/>
            <w:shd w:val="clear" w:color="auto" w:fill="auto"/>
          </w:tcPr>
          <w:p w:rsidR="00D51E87" w:rsidRPr="00D51E87" w:rsidRDefault="00D51E87" w:rsidP="00D51E87">
            <w:pPr>
              <w:autoSpaceDE w:val="0"/>
              <w:autoSpaceDN w:val="0"/>
              <w:adjustRightInd w:val="0"/>
              <w:jc w:val="both"/>
              <w:rPr>
                <w:rFonts w:ascii="Arial" w:hAnsi="Arial" w:cs="Arial"/>
                <w:sz w:val="20"/>
                <w:szCs w:val="20"/>
                <w:lang w:val="es-CR"/>
              </w:rPr>
            </w:pPr>
            <w:r w:rsidRPr="00D51E87">
              <w:rPr>
                <w:rFonts w:ascii="Arial" w:hAnsi="Arial" w:cs="Arial"/>
                <w:sz w:val="20"/>
                <w:szCs w:val="20"/>
                <w:lang w:val="es-CR"/>
              </w:rPr>
              <w:t>Carta de Gerencia correspondiente a la primera visita, con corte al 30 de junio.</w:t>
            </w:r>
          </w:p>
        </w:tc>
      </w:tr>
    </w:tbl>
    <w:p w:rsidR="00ED1939" w:rsidRDefault="00ED1939" w:rsidP="007742A1">
      <w:pPr>
        <w:jc w:val="both"/>
        <w:rPr>
          <w:rFonts w:ascii="Arial" w:eastAsia="Cambria" w:hAnsi="Arial" w:cs="Arial"/>
          <w:lang w:val="es-ES_tradnl" w:eastAsia="en-US"/>
        </w:rPr>
      </w:pPr>
    </w:p>
    <w:p w:rsidR="00ED1939" w:rsidRPr="00AD4C32" w:rsidRDefault="00BB6A5E" w:rsidP="00803853">
      <w:pPr>
        <w:numPr>
          <w:ilvl w:val="0"/>
          <w:numId w:val="4"/>
        </w:numPr>
        <w:ind w:left="425" w:hanging="35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D4C32" w:rsidRDefault="00AD4C32" w:rsidP="00AD4C32">
      <w:pPr>
        <w:autoSpaceDE w:val="0"/>
        <w:autoSpaceDN w:val="0"/>
        <w:adjustRightInd w:val="0"/>
        <w:ind w:right="-91"/>
        <w:jc w:val="both"/>
        <w:rPr>
          <w:rFonts w:ascii="Arial" w:hAnsi="Arial" w:cs="Arial"/>
        </w:rPr>
      </w:pPr>
    </w:p>
    <w:p w:rsidR="00D51E87" w:rsidRPr="00D51E87" w:rsidRDefault="00D51E87" w:rsidP="00D51E87">
      <w:pPr>
        <w:widowControl w:val="0"/>
        <w:jc w:val="both"/>
        <w:rPr>
          <w:rFonts w:ascii="Arial" w:hAnsi="Arial" w:cs="Arial"/>
          <w:b/>
          <w:i/>
          <w:sz w:val="20"/>
          <w:szCs w:val="20"/>
        </w:rPr>
      </w:pPr>
      <w:r w:rsidRPr="00D51E87">
        <w:rPr>
          <w:rFonts w:ascii="Arial" w:hAnsi="Arial" w:cs="Arial"/>
          <w:b/>
          <w:i/>
          <w:sz w:val="20"/>
          <w:szCs w:val="20"/>
        </w:rPr>
        <w:t xml:space="preserve">Palabras Clave:   Cartel – Contratación – Auditorías – Externa – Operativa         </w:t>
      </w:r>
    </w:p>
    <w:p w:rsidR="00AD4C32" w:rsidRDefault="00AD4C32" w:rsidP="00AD4C32">
      <w:pPr>
        <w:autoSpaceDE w:val="0"/>
        <w:autoSpaceDN w:val="0"/>
        <w:adjustRightInd w:val="0"/>
        <w:ind w:right="-91"/>
        <w:jc w:val="both"/>
        <w:rPr>
          <w:rFonts w:ascii="Arial" w:hAnsi="Arial" w:cs="Arial"/>
        </w:rPr>
      </w:pPr>
    </w:p>
    <w:p w:rsidR="00D12C87" w:rsidRPr="00E8679F" w:rsidRDefault="00D12C87" w:rsidP="00D12C87">
      <w:pPr>
        <w:ind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17159F" w:rsidRDefault="0017159F" w:rsidP="0002009C">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Default="002C0D34" w:rsidP="00F41044">
      <w:pPr>
        <w:jc w:val="both"/>
        <w:rPr>
          <w:rFonts w:ascii="Arial" w:eastAsia="Cambria" w:hAnsi="Arial" w:cs="Arial"/>
          <w:sz w:val="22"/>
          <w:szCs w:val="22"/>
          <w:lang w:val="en-US" w:eastAsia="en-US"/>
        </w:rPr>
      </w:pPr>
    </w:p>
    <w:p w:rsidR="0017159F" w:rsidRDefault="0017159F" w:rsidP="00F41044">
      <w:pPr>
        <w:jc w:val="both"/>
        <w:rPr>
          <w:rFonts w:ascii="Arial" w:eastAsia="Cambria" w:hAnsi="Arial" w:cs="Arial"/>
          <w:sz w:val="22"/>
          <w:szCs w:val="22"/>
          <w:lang w:val="en-US" w:eastAsia="en-US"/>
        </w:rPr>
      </w:pPr>
    </w:p>
    <w:sectPr w:rsidR="0017159F" w:rsidSect="00CE0215">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53" w:rsidRDefault="00803853">
      <w:r>
        <w:separator/>
      </w:r>
    </w:p>
  </w:endnote>
  <w:endnote w:type="continuationSeparator" w:id="0">
    <w:p w:rsidR="00803853" w:rsidRDefault="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53" w:rsidRDefault="00803853">
      <w:r>
        <w:separator/>
      </w:r>
    </w:p>
  </w:footnote>
  <w:footnote w:type="continuationSeparator" w:id="0">
    <w:p w:rsidR="00803853" w:rsidRDefault="0080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150BA">
      <w:rPr>
        <w:rFonts w:ascii="Arial" w:eastAsia="Cambria" w:hAnsi="Arial" w:cs="Arial"/>
        <w:i/>
        <w:sz w:val="18"/>
        <w:szCs w:val="18"/>
        <w:lang w:val="es-ES_tradnl" w:eastAsia="x-none"/>
      </w:rPr>
      <w:t>9</w:t>
    </w:r>
    <w:r w:rsidR="00EE02DF">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D12C87">
      <w:rPr>
        <w:rFonts w:ascii="Arial" w:eastAsia="Cambria" w:hAnsi="Arial" w:cs="Arial"/>
        <w:i/>
        <w:sz w:val="18"/>
        <w:szCs w:val="18"/>
        <w:lang w:val="es-ES_tradnl" w:eastAsia="x-none"/>
      </w:rPr>
      <w:t>1</w:t>
    </w:r>
    <w:r w:rsidR="00EE02DF">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E02DF">
      <w:rPr>
        <w:rFonts w:ascii="Arial" w:eastAsia="Cambria" w:hAnsi="Arial" w:cs="Arial"/>
        <w:i/>
        <w:sz w:val="18"/>
        <w:szCs w:val="18"/>
        <w:lang w:val="es-ES_tradnl" w:eastAsia="x-none"/>
      </w:rPr>
      <w:t>10</w:t>
    </w:r>
    <w:r w:rsidR="00D76019">
      <w:rPr>
        <w:rFonts w:ascii="Arial" w:eastAsia="Cambria" w:hAnsi="Arial" w:cs="Arial"/>
        <w:i/>
        <w:sz w:val="18"/>
        <w:szCs w:val="18"/>
        <w:lang w:val="es-ES_tradnl" w:eastAsia="x-none"/>
      </w:rPr>
      <w:t xml:space="preserve"> de </w:t>
    </w:r>
    <w:r w:rsidR="0002009C">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51E87">
      <w:rPr>
        <w:rFonts w:ascii="Arial" w:eastAsia="Cambria" w:hAnsi="Arial" w:cs="Arial"/>
        <w:i/>
        <w:noProof/>
        <w:sz w:val="18"/>
        <w:szCs w:val="18"/>
        <w:lang w:val="es-ES_tradnl" w:eastAsia="x-none"/>
      </w:rPr>
      <w:t>19</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E"/>
    <w:multiLevelType w:val="singleLevel"/>
    <w:tmpl w:val="26F29ADA"/>
    <w:name w:val="WW8Num14"/>
    <w:lvl w:ilvl="0">
      <w:start w:val="1"/>
      <w:numFmt w:val="decimal"/>
      <w:lvlText w:val="%1."/>
      <w:lvlJc w:val="left"/>
      <w:pPr>
        <w:tabs>
          <w:tab w:val="num" w:pos="720"/>
        </w:tabs>
        <w:ind w:left="720" w:hanging="360"/>
      </w:pPr>
      <w:rPr>
        <w:rFonts w:ascii="Arial" w:hAnsi="Arial" w:cs="Arial" w:hint="default"/>
      </w:rPr>
    </w:lvl>
  </w:abstractNum>
  <w:abstractNum w:abstractNumId="2" w15:restartNumberingAfterBreak="0">
    <w:nsid w:val="00F57853"/>
    <w:multiLevelType w:val="hybridMultilevel"/>
    <w:tmpl w:val="F6162C72"/>
    <w:lvl w:ilvl="0" w:tplc="140A0011">
      <w:start w:val="1"/>
      <w:numFmt w:val="decimal"/>
      <w:lvlText w:val="%1)"/>
      <w:lvlJc w:val="left"/>
      <w:pPr>
        <w:tabs>
          <w:tab w:val="num" w:pos="502"/>
        </w:tabs>
        <w:ind w:left="502" w:hanging="360"/>
      </w:pPr>
      <w:rPr>
        <w:rFonts w:hint="default"/>
        <w:shadow w:val="0"/>
        <w:emboss w:val="0"/>
        <w:imprint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877CF6"/>
    <w:multiLevelType w:val="hybridMultilevel"/>
    <w:tmpl w:val="8092DE34"/>
    <w:lvl w:ilvl="0" w:tplc="94B8CFA2">
      <w:start w:val="1"/>
      <w:numFmt w:val="lowerLetter"/>
      <w:lvlText w:val="%1."/>
      <w:lvlJc w:val="left"/>
      <w:pPr>
        <w:ind w:left="7165"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4" w15:restartNumberingAfterBreak="0">
    <w:nsid w:val="03E46803"/>
    <w:multiLevelType w:val="hybridMultilevel"/>
    <w:tmpl w:val="1BD63E7C"/>
    <w:lvl w:ilvl="0" w:tplc="140A0017">
      <w:start w:val="1"/>
      <w:numFmt w:val="lowerLetter"/>
      <w:lvlText w:val="%1)"/>
      <w:lvlJc w:val="left"/>
      <w:pPr>
        <w:ind w:left="720" w:hanging="360"/>
      </w:pPr>
      <w:rPr>
        <w:rFonts w:hint="default"/>
      </w:rPr>
    </w:lvl>
    <w:lvl w:ilvl="1" w:tplc="140A000F">
      <w:start w:val="1"/>
      <w:numFmt w:val="decimal"/>
      <w:lvlText w:val="%2."/>
      <w:lvlJc w:val="left"/>
      <w:pPr>
        <w:ind w:left="1440" w:hanging="360"/>
      </w:pPr>
      <w:rPr>
        <w:rFont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55F4559"/>
    <w:multiLevelType w:val="hybridMultilevel"/>
    <w:tmpl w:val="0E46D7A8"/>
    <w:lvl w:ilvl="0" w:tplc="D262B56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496670"/>
    <w:multiLevelType w:val="hybridMultilevel"/>
    <w:tmpl w:val="8850F4CE"/>
    <w:lvl w:ilvl="0" w:tplc="47D88AAE">
      <w:start w:val="1"/>
      <w:numFmt w:val="decimal"/>
      <w:lvlText w:val="%1."/>
      <w:lvlJc w:val="left"/>
      <w:pPr>
        <w:tabs>
          <w:tab w:val="num" w:pos="720"/>
        </w:tabs>
        <w:ind w:left="720" w:hanging="360"/>
      </w:pPr>
      <w:rPr>
        <w:rFonts w:hint="default"/>
      </w:rPr>
    </w:lvl>
    <w:lvl w:ilvl="1" w:tplc="2BD4D06E">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E5697E"/>
    <w:multiLevelType w:val="hybridMultilevel"/>
    <w:tmpl w:val="9736733C"/>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10BD58B0"/>
    <w:multiLevelType w:val="hybridMultilevel"/>
    <w:tmpl w:val="65E8F324"/>
    <w:lvl w:ilvl="0" w:tplc="140A000F">
      <w:start w:val="1"/>
      <w:numFmt w:val="decimal"/>
      <w:lvlText w:val="%1."/>
      <w:lvlJc w:val="left"/>
      <w:pPr>
        <w:ind w:left="360" w:hanging="360"/>
      </w:pPr>
      <w:rPr>
        <w:rFonts w:hint="default"/>
      </w:rPr>
    </w:lvl>
    <w:lvl w:ilvl="1" w:tplc="3398A230">
      <w:start w:val="1"/>
      <w:numFmt w:val="lowerLetter"/>
      <w:lvlText w:val="%2)"/>
      <w:lvlJc w:val="left"/>
      <w:pPr>
        <w:ind w:left="928"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22E3290"/>
    <w:multiLevelType w:val="hybridMultilevel"/>
    <w:tmpl w:val="3A24C056"/>
    <w:lvl w:ilvl="0" w:tplc="54D267A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9D37C8E"/>
    <w:multiLevelType w:val="hybridMultilevel"/>
    <w:tmpl w:val="082A9FC0"/>
    <w:lvl w:ilvl="0" w:tplc="E1143FC6">
      <w:start w:val="1"/>
      <w:numFmt w:val="lowerLetter"/>
      <w:lvlText w:val="%1)"/>
      <w:lvlJc w:val="left"/>
      <w:pPr>
        <w:tabs>
          <w:tab w:val="num" w:pos="745"/>
        </w:tabs>
        <w:ind w:left="745" w:hanging="397"/>
      </w:pPr>
      <w:rPr>
        <w:rFonts w:hint="default"/>
        <w:b/>
        <w:i w:val="0"/>
      </w:rPr>
    </w:lvl>
    <w:lvl w:ilvl="1" w:tplc="00F4E05E">
      <w:start w:val="1"/>
      <w:numFmt w:val="decimal"/>
      <w:lvlText w:val="%2."/>
      <w:lvlJc w:val="left"/>
      <w:pPr>
        <w:ind w:left="1818" w:hanging="390"/>
      </w:pPr>
      <w:rPr>
        <w:rFonts w:ascii="Helvetica" w:hAnsi="Helvetica" w:cs="Helvetica" w:hint="default"/>
        <w:sz w:val="18"/>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1E5721B8"/>
    <w:multiLevelType w:val="hybridMultilevel"/>
    <w:tmpl w:val="7F601446"/>
    <w:lvl w:ilvl="0" w:tplc="0C0A0005">
      <w:start w:val="1"/>
      <w:numFmt w:val="bullet"/>
      <w:lvlText w:val=""/>
      <w:lvlJc w:val="left"/>
      <w:pPr>
        <w:tabs>
          <w:tab w:val="num" w:pos="720"/>
        </w:tabs>
        <w:ind w:left="720" w:hanging="360"/>
      </w:pPr>
      <w:rPr>
        <w:rFonts w:ascii="Wingdings" w:hAnsi="Wingdings" w:hint="default"/>
        <w:b/>
        <w:i w:val="0"/>
      </w:rPr>
    </w:lvl>
    <w:lvl w:ilvl="1" w:tplc="0C0A0001">
      <w:start w:val="1"/>
      <w:numFmt w:val="bullet"/>
      <w:lvlText w:val=""/>
      <w:lvlJc w:val="left"/>
      <w:pPr>
        <w:tabs>
          <w:tab w:val="num" w:pos="1800"/>
        </w:tabs>
        <w:ind w:left="1800" w:hanging="360"/>
      </w:pPr>
      <w:rPr>
        <w:rFonts w:ascii="Symbol" w:hAnsi="Symbol" w:hint="default"/>
        <w:b/>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E902ED1"/>
    <w:multiLevelType w:val="hybridMultilevel"/>
    <w:tmpl w:val="90E29198"/>
    <w:lvl w:ilvl="0" w:tplc="140A0001">
      <w:start w:val="1"/>
      <w:numFmt w:val="bullet"/>
      <w:lvlText w:val=""/>
      <w:lvlJc w:val="left"/>
      <w:pPr>
        <w:tabs>
          <w:tab w:val="num" w:pos="1776"/>
        </w:tabs>
        <w:ind w:left="1776" w:hanging="360"/>
      </w:pPr>
      <w:rPr>
        <w:rFonts w:ascii="Symbol" w:hAnsi="Symbol"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4" w15:restartNumberingAfterBreak="0">
    <w:nsid w:val="26873B9A"/>
    <w:multiLevelType w:val="hybridMultilevel"/>
    <w:tmpl w:val="B2969A52"/>
    <w:lvl w:ilvl="0" w:tplc="AE92CDF0">
      <w:start w:val="1"/>
      <w:numFmt w:val="lowerLetter"/>
      <w:lvlText w:val="%1)"/>
      <w:lvlJc w:val="left"/>
      <w:pPr>
        <w:ind w:left="1800" w:hanging="360"/>
      </w:pPr>
      <w:rPr>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5" w15:restartNumberingAfterBreak="0">
    <w:nsid w:val="28E81333"/>
    <w:multiLevelType w:val="hybridMultilevel"/>
    <w:tmpl w:val="AFE0964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96C4C13"/>
    <w:multiLevelType w:val="hybridMultilevel"/>
    <w:tmpl w:val="73A4F20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B081200"/>
    <w:multiLevelType w:val="hybridMultilevel"/>
    <w:tmpl w:val="881C24F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325C41C5"/>
    <w:multiLevelType w:val="hybridMultilevel"/>
    <w:tmpl w:val="02A023D0"/>
    <w:lvl w:ilvl="0" w:tplc="D78222C2">
      <w:start w:val="1"/>
      <w:numFmt w:val="lowerLetter"/>
      <w:lvlText w:val="%1)"/>
      <w:lvlJc w:val="left"/>
      <w:pPr>
        <w:tabs>
          <w:tab w:val="num" w:pos="745"/>
        </w:tabs>
        <w:ind w:left="745" w:hanging="397"/>
      </w:pPr>
      <w:rPr>
        <w:rFonts w:ascii="Arial" w:hAnsi="Arial" w:cs="Arial" w:hint="default"/>
        <w:b/>
        <w:i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55B2ACF"/>
    <w:multiLevelType w:val="hybridMultilevel"/>
    <w:tmpl w:val="29BED74C"/>
    <w:lvl w:ilvl="0" w:tplc="140A0001">
      <w:start w:val="1"/>
      <w:numFmt w:val="bullet"/>
      <w:lvlText w:val=""/>
      <w:lvlJc w:val="left"/>
      <w:pPr>
        <w:tabs>
          <w:tab w:val="num" w:pos="1105"/>
        </w:tabs>
        <w:ind w:left="1105" w:hanging="397"/>
      </w:pPr>
      <w:rPr>
        <w:rFonts w:ascii="Symbol" w:hAnsi="Symbol" w:hint="default"/>
        <w:b/>
        <w:i w:val="0"/>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0" w15:restartNumberingAfterBreak="0">
    <w:nsid w:val="362D1BC1"/>
    <w:multiLevelType w:val="hybridMultilevel"/>
    <w:tmpl w:val="0C383374"/>
    <w:lvl w:ilvl="0" w:tplc="37CACBD4">
      <w:start w:val="1"/>
      <w:numFmt w:val="lowerLetter"/>
      <w:lvlText w:val="%1)"/>
      <w:lvlJc w:val="left"/>
      <w:pPr>
        <w:tabs>
          <w:tab w:val="num" w:pos="757"/>
        </w:tabs>
        <w:ind w:left="757" w:hanging="397"/>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37377CFD"/>
    <w:multiLevelType w:val="hybridMultilevel"/>
    <w:tmpl w:val="B73E51BA"/>
    <w:lvl w:ilvl="0" w:tplc="140A0001">
      <w:start w:val="1"/>
      <w:numFmt w:val="bullet"/>
      <w:lvlText w:val=""/>
      <w:lvlJc w:val="left"/>
      <w:pPr>
        <w:ind w:left="1477" w:hanging="360"/>
      </w:pPr>
      <w:rPr>
        <w:rFonts w:ascii="Symbol" w:hAnsi="Symbol" w:hint="default"/>
      </w:rPr>
    </w:lvl>
    <w:lvl w:ilvl="1" w:tplc="140A0003" w:tentative="1">
      <w:start w:val="1"/>
      <w:numFmt w:val="bullet"/>
      <w:lvlText w:val="o"/>
      <w:lvlJc w:val="left"/>
      <w:pPr>
        <w:ind w:left="2197" w:hanging="360"/>
      </w:pPr>
      <w:rPr>
        <w:rFonts w:ascii="Courier New" w:hAnsi="Courier New" w:cs="Courier New" w:hint="default"/>
      </w:rPr>
    </w:lvl>
    <w:lvl w:ilvl="2" w:tplc="140A0005" w:tentative="1">
      <w:start w:val="1"/>
      <w:numFmt w:val="bullet"/>
      <w:lvlText w:val=""/>
      <w:lvlJc w:val="left"/>
      <w:pPr>
        <w:ind w:left="2917" w:hanging="360"/>
      </w:pPr>
      <w:rPr>
        <w:rFonts w:ascii="Wingdings" w:hAnsi="Wingdings" w:hint="default"/>
      </w:rPr>
    </w:lvl>
    <w:lvl w:ilvl="3" w:tplc="140A0001" w:tentative="1">
      <w:start w:val="1"/>
      <w:numFmt w:val="bullet"/>
      <w:lvlText w:val=""/>
      <w:lvlJc w:val="left"/>
      <w:pPr>
        <w:ind w:left="3637" w:hanging="360"/>
      </w:pPr>
      <w:rPr>
        <w:rFonts w:ascii="Symbol" w:hAnsi="Symbol" w:hint="default"/>
      </w:rPr>
    </w:lvl>
    <w:lvl w:ilvl="4" w:tplc="140A0003" w:tentative="1">
      <w:start w:val="1"/>
      <w:numFmt w:val="bullet"/>
      <w:lvlText w:val="o"/>
      <w:lvlJc w:val="left"/>
      <w:pPr>
        <w:ind w:left="4357" w:hanging="360"/>
      </w:pPr>
      <w:rPr>
        <w:rFonts w:ascii="Courier New" w:hAnsi="Courier New" w:cs="Courier New" w:hint="default"/>
      </w:rPr>
    </w:lvl>
    <w:lvl w:ilvl="5" w:tplc="140A0005" w:tentative="1">
      <w:start w:val="1"/>
      <w:numFmt w:val="bullet"/>
      <w:lvlText w:val=""/>
      <w:lvlJc w:val="left"/>
      <w:pPr>
        <w:ind w:left="5077" w:hanging="360"/>
      </w:pPr>
      <w:rPr>
        <w:rFonts w:ascii="Wingdings" w:hAnsi="Wingdings" w:hint="default"/>
      </w:rPr>
    </w:lvl>
    <w:lvl w:ilvl="6" w:tplc="140A0001" w:tentative="1">
      <w:start w:val="1"/>
      <w:numFmt w:val="bullet"/>
      <w:lvlText w:val=""/>
      <w:lvlJc w:val="left"/>
      <w:pPr>
        <w:ind w:left="5797" w:hanging="360"/>
      </w:pPr>
      <w:rPr>
        <w:rFonts w:ascii="Symbol" w:hAnsi="Symbol" w:hint="default"/>
      </w:rPr>
    </w:lvl>
    <w:lvl w:ilvl="7" w:tplc="140A0003" w:tentative="1">
      <w:start w:val="1"/>
      <w:numFmt w:val="bullet"/>
      <w:lvlText w:val="o"/>
      <w:lvlJc w:val="left"/>
      <w:pPr>
        <w:ind w:left="6517" w:hanging="360"/>
      </w:pPr>
      <w:rPr>
        <w:rFonts w:ascii="Courier New" w:hAnsi="Courier New" w:cs="Courier New" w:hint="default"/>
      </w:rPr>
    </w:lvl>
    <w:lvl w:ilvl="8" w:tplc="140A0005" w:tentative="1">
      <w:start w:val="1"/>
      <w:numFmt w:val="bullet"/>
      <w:lvlText w:val=""/>
      <w:lvlJc w:val="left"/>
      <w:pPr>
        <w:ind w:left="7237" w:hanging="360"/>
      </w:pPr>
      <w:rPr>
        <w:rFonts w:ascii="Wingdings" w:hAnsi="Wingdings" w:hint="default"/>
      </w:rPr>
    </w:lvl>
  </w:abstractNum>
  <w:abstractNum w:abstractNumId="22" w15:restartNumberingAfterBreak="0">
    <w:nsid w:val="393A2CCC"/>
    <w:multiLevelType w:val="hybridMultilevel"/>
    <w:tmpl w:val="C8143254"/>
    <w:lvl w:ilvl="0" w:tplc="E1143FC6">
      <w:start w:val="1"/>
      <w:numFmt w:val="lowerLetter"/>
      <w:lvlText w:val="%1)"/>
      <w:lvlJc w:val="left"/>
      <w:pPr>
        <w:tabs>
          <w:tab w:val="num" w:pos="757"/>
        </w:tabs>
        <w:ind w:left="757" w:hanging="397"/>
      </w:pPr>
      <w:rPr>
        <w:rFonts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D3A87"/>
    <w:multiLevelType w:val="hybridMultilevel"/>
    <w:tmpl w:val="18E2E5D4"/>
    <w:lvl w:ilvl="0" w:tplc="9BD25A3E">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3E405DE5"/>
    <w:multiLevelType w:val="hybridMultilevel"/>
    <w:tmpl w:val="A15A882C"/>
    <w:lvl w:ilvl="0" w:tplc="E1143FC6">
      <w:start w:val="1"/>
      <w:numFmt w:val="lowerLetter"/>
      <w:lvlText w:val="%1)"/>
      <w:lvlJc w:val="left"/>
      <w:pPr>
        <w:tabs>
          <w:tab w:val="num" w:pos="757"/>
        </w:tabs>
        <w:ind w:left="757" w:hanging="397"/>
      </w:pPr>
      <w:rPr>
        <w:rFonts w:hint="default"/>
        <w:b/>
        <w:i w:val="0"/>
      </w:rPr>
    </w:lvl>
    <w:lvl w:ilvl="1" w:tplc="0C0A0001">
      <w:start w:val="1"/>
      <w:numFmt w:val="bullet"/>
      <w:lvlText w:val=""/>
      <w:lvlJc w:val="left"/>
      <w:pPr>
        <w:tabs>
          <w:tab w:val="num" w:pos="1800"/>
        </w:tabs>
        <w:ind w:left="1800" w:hanging="360"/>
      </w:pPr>
      <w:rPr>
        <w:rFonts w:ascii="Symbol" w:hAnsi="Symbol" w:hint="default"/>
        <w:b/>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3E8C36F3"/>
    <w:multiLevelType w:val="hybridMultilevel"/>
    <w:tmpl w:val="2F6E19FA"/>
    <w:lvl w:ilvl="0" w:tplc="E4DEA3C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3FBA0CFE"/>
    <w:multiLevelType w:val="hybridMultilevel"/>
    <w:tmpl w:val="3866F61A"/>
    <w:lvl w:ilvl="0" w:tplc="9E5C9DD0">
      <w:start w:val="1"/>
      <w:numFmt w:val="upperLetter"/>
      <w:lvlText w:val="%1."/>
      <w:lvlJc w:val="left"/>
      <w:pPr>
        <w:ind w:left="360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5EE787F"/>
    <w:multiLevelType w:val="hybridMultilevel"/>
    <w:tmpl w:val="1ACA33FC"/>
    <w:lvl w:ilvl="0" w:tplc="C82AA5D0">
      <w:start w:val="1"/>
      <w:numFmt w:val="lowerLetter"/>
      <w:lvlText w:val="%1)"/>
      <w:lvlJc w:val="left"/>
      <w:pPr>
        <w:ind w:left="1525" w:hanging="360"/>
      </w:pPr>
      <w:rPr>
        <w:b/>
      </w:rPr>
    </w:lvl>
    <w:lvl w:ilvl="1" w:tplc="140A0019" w:tentative="1">
      <w:start w:val="1"/>
      <w:numFmt w:val="lowerLetter"/>
      <w:lvlText w:val="%2."/>
      <w:lvlJc w:val="left"/>
      <w:pPr>
        <w:ind w:left="2245" w:hanging="360"/>
      </w:pPr>
    </w:lvl>
    <w:lvl w:ilvl="2" w:tplc="140A001B" w:tentative="1">
      <w:start w:val="1"/>
      <w:numFmt w:val="lowerRoman"/>
      <w:lvlText w:val="%3."/>
      <w:lvlJc w:val="right"/>
      <w:pPr>
        <w:ind w:left="2965" w:hanging="180"/>
      </w:pPr>
    </w:lvl>
    <w:lvl w:ilvl="3" w:tplc="140A000F" w:tentative="1">
      <w:start w:val="1"/>
      <w:numFmt w:val="decimal"/>
      <w:lvlText w:val="%4."/>
      <w:lvlJc w:val="left"/>
      <w:pPr>
        <w:ind w:left="3685" w:hanging="360"/>
      </w:pPr>
    </w:lvl>
    <w:lvl w:ilvl="4" w:tplc="140A0019" w:tentative="1">
      <w:start w:val="1"/>
      <w:numFmt w:val="lowerLetter"/>
      <w:lvlText w:val="%5."/>
      <w:lvlJc w:val="left"/>
      <w:pPr>
        <w:ind w:left="4405" w:hanging="360"/>
      </w:pPr>
    </w:lvl>
    <w:lvl w:ilvl="5" w:tplc="140A001B" w:tentative="1">
      <w:start w:val="1"/>
      <w:numFmt w:val="lowerRoman"/>
      <w:lvlText w:val="%6."/>
      <w:lvlJc w:val="right"/>
      <w:pPr>
        <w:ind w:left="5125" w:hanging="180"/>
      </w:pPr>
    </w:lvl>
    <w:lvl w:ilvl="6" w:tplc="140A000F" w:tentative="1">
      <w:start w:val="1"/>
      <w:numFmt w:val="decimal"/>
      <w:lvlText w:val="%7."/>
      <w:lvlJc w:val="left"/>
      <w:pPr>
        <w:ind w:left="5845" w:hanging="360"/>
      </w:pPr>
    </w:lvl>
    <w:lvl w:ilvl="7" w:tplc="140A0019" w:tentative="1">
      <w:start w:val="1"/>
      <w:numFmt w:val="lowerLetter"/>
      <w:lvlText w:val="%8."/>
      <w:lvlJc w:val="left"/>
      <w:pPr>
        <w:ind w:left="6565" w:hanging="360"/>
      </w:pPr>
    </w:lvl>
    <w:lvl w:ilvl="8" w:tplc="140A001B" w:tentative="1">
      <w:start w:val="1"/>
      <w:numFmt w:val="lowerRoman"/>
      <w:lvlText w:val="%9."/>
      <w:lvlJc w:val="right"/>
      <w:pPr>
        <w:ind w:left="7285" w:hanging="180"/>
      </w:pPr>
    </w:lvl>
  </w:abstractNum>
  <w:abstractNum w:abstractNumId="28" w15:restartNumberingAfterBreak="0">
    <w:nsid w:val="46613F3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7B4A25"/>
    <w:multiLevelType w:val="multilevel"/>
    <w:tmpl w:val="2EBA21FE"/>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580C0446"/>
    <w:multiLevelType w:val="hybridMultilevel"/>
    <w:tmpl w:val="4254E0A8"/>
    <w:lvl w:ilvl="0" w:tplc="E74CE5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D0F7F"/>
    <w:multiLevelType w:val="hybridMultilevel"/>
    <w:tmpl w:val="9B28B5C8"/>
    <w:lvl w:ilvl="0" w:tplc="58C87A18">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63CB2EAC"/>
    <w:multiLevelType w:val="hybridMultilevel"/>
    <w:tmpl w:val="6D74657E"/>
    <w:lvl w:ilvl="0" w:tplc="140A0013">
      <w:start w:val="1"/>
      <w:numFmt w:val="upp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3" w15:restartNumberingAfterBreak="0">
    <w:nsid w:val="66F458BD"/>
    <w:multiLevelType w:val="hybridMultilevel"/>
    <w:tmpl w:val="36F8100C"/>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4" w15:restartNumberingAfterBreak="0">
    <w:nsid w:val="679F7C86"/>
    <w:multiLevelType w:val="hybridMultilevel"/>
    <w:tmpl w:val="D1543F46"/>
    <w:lvl w:ilvl="0" w:tplc="E96EC400">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377BB6"/>
    <w:multiLevelType w:val="hybridMultilevel"/>
    <w:tmpl w:val="584255F2"/>
    <w:lvl w:ilvl="0" w:tplc="AF4C8C4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0EB3B4F"/>
    <w:multiLevelType w:val="hybridMultilevel"/>
    <w:tmpl w:val="0C9069EC"/>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0D3961"/>
    <w:multiLevelType w:val="hybridMultilevel"/>
    <w:tmpl w:val="D9260098"/>
    <w:lvl w:ilvl="0" w:tplc="4454C320">
      <w:start w:val="1"/>
      <w:numFmt w:val="lowerLetter"/>
      <w:lvlText w:val="%1)"/>
      <w:lvlJc w:val="left"/>
      <w:pPr>
        <w:tabs>
          <w:tab w:val="num" w:pos="397"/>
        </w:tabs>
        <w:ind w:left="397" w:hanging="397"/>
      </w:pPr>
      <w:rPr>
        <w:rFonts w:hint="default"/>
        <w:b w:val="0"/>
        <w:i w:val="0"/>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AA486B"/>
    <w:multiLevelType w:val="hybridMultilevel"/>
    <w:tmpl w:val="F52076B2"/>
    <w:lvl w:ilvl="0" w:tplc="140A001B">
      <w:start w:val="1"/>
      <w:numFmt w:val="lowerRoman"/>
      <w:lvlText w:val="%1."/>
      <w:lvlJc w:val="righ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40" w15:restartNumberingAfterBreak="0">
    <w:nsid w:val="7D17345D"/>
    <w:multiLevelType w:val="hybridMultilevel"/>
    <w:tmpl w:val="1E92273C"/>
    <w:lvl w:ilvl="0" w:tplc="47D88AAE">
      <w:start w:val="1"/>
      <w:numFmt w:val="decimal"/>
      <w:lvlText w:val="%1."/>
      <w:lvlJc w:val="left"/>
      <w:pPr>
        <w:tabs>
          <w:tab w:val="num" w:pos="502"/>
        </w:tabs>
        <w:ind w:left="502" w:hanging="360"/>
      </w:pPr>
      <w:rPr>
        <w:rFonts w:hint="default"/>
        <w:shadow w:val="0"/>
        <w:emboss w:val="0"/>
        <w:imprint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26"/>
  </w:num>
  <w:num w:numId="7">
    <w:abstractNumId w:val="22"/>
  </w:num>
  <w:num w:numId="8">
    <w:abstractNumId w:val="7"/>
  </w:num>
  <w:num w:numId="9">
    <w:abstractNumId w:val="1"/>
  </w:num>
  <w:num w:numId="1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5"/>
  </w:num>
  <w:num w:numId="15">
    <w:abstractNumId w:val="19"/>
  </w:num>
  <w:num w:numId="16">
    <w:abstractNumId w:val="21"/>
  </w:num>
  <w:num w:numId="17">
    <w:abstractNumId w:val="2"/>
  </w:num>
  <w:num w:numId="18">
    <w:abstractNumId w:val="9"/>
  </w:num>
  <w:num w:numId="19">
    <w:abstractNumId w:val="23"/>
  </w:num>
  <w:num w:numId="20">
    <w:abstractNumId w:val="35"/>
  </w:num>
  <w:num w:numId="21">
    <w:abstractNumId w:val="34"/>
  </w:num>
  <w:num w:numId="22">
    <w:abstractNumId w:val="39"/>
  </w:num>
  <w:num w:numId="23">
    <w:abstractNumId w:val="29"/>
  </w:num>
  <w:num w:numId="24">
    <w:abstractNumId w:val="31"/>
  </w:num>
  <w:num w:numId="25">
    <w:abstractNumId w:val="13"/>
  </w:num>
  <w:num w:numId="26">
    <w:abstractNumId w:val="14"/>
  </w:num>
  <w:num w:numId="27">
    <w:abstractNumId w:val="27"/>
  </w:num>
  <w:num w:numId="28">
    <w:abstractNumId w:val="36"/>
  </w:num>
  <w:num w:numId="29">
    <w:abstractNumId w:val="5"/>
  </w:num>
  <w:num w:numId="30">
    <w:abstractNumId w:val="10"/>
  </w:num>
  <w:num w:numId="31">
    <w:abstractNumId w:val="25"/>
  </w:num>
  <w:num w:numId="32">
    <w:abstractNumId w:val="20"/>
  </w:num>
  <w:num w:numId="33">
    <w:abstractNumId w:val="17"/>
  </w:num>
  <w:num w:numId="34">
    <w:abstractNumId w:val="32"/>
  </w:num>
  <w:num w:numId="35">
    <w:abstractNumId w:val="16"/>
  </w:num>
  <w:num w:numId="36">
    <w:abstractNumId w:val="40"/>
  </w:num>
  <w:num w:numId="37">
    <w:abstractNumId w:val="8"/>
  </w:num>
  <w:num w:numId="38">
    <w:abstractNumId w:val="33"/>
  </w:num>
  <w:num w:numId="39">
    <w:abstractNumId w:val="38"/>
  </w:num>
  <w:num w:numId="40">
    <w:abstractNumId w:val="30"/>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EC"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09C"/>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59F"/>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5090"/>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2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4DE5"/>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084E"/>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59A4"/>
    <w:rsid w:val="006F6992"/>
    <w:rsid w:val="006F7054"/>
    <w:rsid w:val="006F736E"/>
    <w:rsid w:val="006F7C62"/>
    <w:rsid w:val="00701A5E"/>
    <w:rsid w:val="00704042"/>
    <w:rsid w:val="0071118B"/>
    <w:rsid w:val="007133B5"/>
    <w:rsid w:val="007140BA"/>
    <w:rsid w:val="007149D1"/>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853"/>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6509"/>
    <w:rsid w:val="00887FCC"/>
    <w:rsid w:val="008903EF"/>
    <w:rsid w:val="00891B08"/>
    <w:rsid w:val="00893524"/>
    <w:rsid w:val="00893FAC"/>
    <w:rsid w:val="0089404C"/>
    <w:rsid w:val="008A03C9"/>
    <w:rsid w:val="008A0859"/>
    <w:rsid w:val="008A1075"/>
    <w:rsid w:val="008A160D"/>
    <w:rsid w:val="008A28F0"/>
    <w:rsid w:val="008A32BB"/>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2DD3"/>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4C32"/>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0B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2C8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1E87"/>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2D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506C"/>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1C5E"/>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ABE4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7159F"/>
    <w:rPr>
      <w:color w:val="0563C1" w:themeColor="hyperlink"/>
      <w:u w:val="single"/>
    </w:rPr>
  </w:style>
  <w:style w:type="paragraph" w:styleId="Listaconvietas">
    <w:name w:val="List Bullet"/>
    <w:basedOn w:val="Normal"/>
    <w:rsid w:val="00D51E87"/>
    <w:pPr>
      <w:numPr>
        <w:numId w:val="2"/>
      </w:numPr>
    </w:pPr>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tec.ac.cr/owa/redir.aspx?C=b58fac82a8864765b9892759887ae1f0&amp;URL=http%3a%2f%2finspeccion.mtss.go.cr%2fpatronosmorosos%2f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campos@itcr.ac.cr" TargetMode="External"/><Relationship Id="rId4" Type="http://schemas.openxmlformats.org/officeDocument/2006/relationships/settings" Target="settings.xml"/><Relationship Id="rId9" Type="http://schemas.openxmlformats.org/officeDocument/2006/relationships/hyperlink" Target="http://www.ccss.sa.cr/calculador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51AE-0450-420F-8A30-81A0F07B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8227</Words>
  <Characters>45254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63</cp:revision>
  <cp:lastPrinted>2018-10-04T19:45:00Z</cp:lastPrinted>
  <dcterms:created xsi:type="dcterms:W3CDTF">2018-05-02T21:37:00Z</dcterms:created>
  <dcterms:modified xsi:type="dcterms:W3CDTF">2018-10-10T15:56:00Z</dcterms:modified>
</cp:coreProperties>
</file>