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2A" w:rsidRDefault="005D242A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</w:p>
    <w:p w:rsidR="007742A1" w:rsidRPr="00D958BC" w:rsidRDefault="007742A1" w:rsidP="000E4C68">
      <w:pPr>
        <w:tabs>
          <w:tab w:val="left" w:pos="7313"/>
        </w:tabs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SCI-</w:t>
      </w:r>
      <w:r w:rsidR="00BE62EA">
        <w:rPr>
          <w:rFonts w:ascii="Arial" w:hAnsi="Arial" w:cs="Arial"/>
          <w:b/>
          <w:bCs/>
          <w:iCs/>
          <w:sz w:val="26"/>
          <w:szCs w:val="22"/>
          <w:lang w:val="es-CR"/>
        </w:rPr>
        <w:t>924</w:t>
      </w: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-201</w:t>
      </w:r>
      <w:r w:rsidR="006F7054">
        <w:rPr>
          <w:rFonts w:ascii="Arial" w:hAnsi="Arial" w:cs="Arial"/>
          <w:b/>
          <w:bCs/>
          <w:iCs/>
          <w:sz w:val="26"/>
          <w:szCs w:val="22"/>
          <w:lang w:val="es-CR"/>
        </w:rPr>
        <w:t>8</w:t>
      </w:r>
      <w:r w:rsidR="000E4C68">
        <w:rPr>
          <w:rFonts w:ascii="Arial" w:hAnsi="Arial" w:cs="Arial"/>
          <w:b/>
          <w:bCs/>
          <w:iCs/>
          <w:sz w:val="26"/>
          <w:szCs w:val="22"/>
          <w:lang w:val="es-CR"/>
        </w:rPr>
        <w:tab/>
      </w:r>
    </w:p>
    <w:p w:rsidR="007742A1" w:rsidRPr="009912AB" w:rsidRDefault="007742A1" w:rsidP="00337455">
      <w:pPr>
        <w:tabs>
          <w:tab w:val="left" w:pos="6612"/>
        </w:tabs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</w:pPr>
      <w:r w:rsidRPr="00D958BC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 xml:space="preserve">Comunicación de acuerdo </w:t>
      </w:r>
      <w:r w:rsidR="00337455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ab/>
      </w:r>
    </w:p>
    <w:p w:rsidR="007742A1" w:rsidRPr="00D958BC" w:rsidRDefault="007742A1" w:rsidP="007742A1">
      <w:pPr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</w:p>
    <w:tbl>
      <w:tblPr>
        <w:tblW w:w="8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2"/>
        <w:gridCol w:w="7611"/>
      </w:tblGrid>
      <w:tr w:rsidR="007742A1" w:rsidRPr="00C413F4" w:rsidTr="004F2645">
        <w:trPr>
          <w:trHeight w:val="593"/>
        </w:trPr>
        <w:tc>
          <w:tcPr>
            <w:tcW w:w="1312" w:type="dxa"/>
          </w:tcPr>
          <w:p w:rsidR="007742A1" w:rsidRPr="00D958BC" w:rsidRDefault="007742A1" w:rsidP="007742A1">
            <w:pPr>
              <w:tabs>
                <w:tab w:val="right" w:pos="2100"/>
                <w:tab w:val="left" w:pos="2694"/>
              </w:tabs>
              <w:rPr>
                <w:rFonts w:ascii="Arial" w:eastAsia="SimSun" w:hAnsi="Arial" w:cs="Arial"/>
                <w:b/>
                <w:iCs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iCs/>
                <w:lang w:val="es-ES_tradnl" w:eastAsia="en-US"/>
              </w:rPr>
              <w:t>Para:</w:t>
            </w:r>
          </w:p>
        </w:tc>
        <w:tc>
          <w:tcPr>
            <w:tcW w:w="7611" w:type="dxa"/>
          </w:tcPr>
          <w:p w:rsidR="00D31E17" w:rsidRDefault="00F52439" w:rsidP="00456ABA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Julio Calvo Alvarado</w:t>
            </w:r>
            <w:r w:rsidR="0090700F" w:rsidRPr="008E0D8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Rector</w:t>
            </w:r>
            <w:r w:rsidR="00974D66" w:rsidRPr="008E0D8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Humberto Villalta Solano, Vicerrector de Administración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Ing. Luis Paulino Méndez Badilla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Vicerrector de Docencia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Dr. 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Alexander </w:t>
            </w:r>
            <w:r w:rsidRPr="00EA406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Berrocal Jiménez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Vicerrector de Investigación y Extensión 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Dra. Claudia Madrizova </w:t>
            </w:r>
            <w:proofErr w:type="spellStart"/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Madrizova</w:t>
            </w:r>
            <w:proofErr w:type="spellEnd"/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, Vicerrectora de Vida Estudiantil y Servicios Académicos 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Ing. Alberto Camero Rey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Director </w:t>
            </w: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a.i.</w:t>
            </w:r>
            <w:proofErr w:type="spellEnd"/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Campus Tecnológico Local 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San Carlos</w:t>
            </w:r>
          </w:p>
          <w:p w:rsidR="00BE62E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Máster Ronald Bonilla Rodríguez, Director 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Campus Tecnológico Local </w:t>
            </w: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San José</w:t>
            </w:r>
          </w:p>
          <w:p w:rsidR="00BE62EA" w:rsidRPr="00AC372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M.Sc</w:t>
            </w:r>
            <w:proofErr w:type="spellEnd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. Roxana Jiménez Rodríguez, Directora Centro Académico de Limón</w:t>
            </w:r>
          </w:p>
          <w:p w:rsidR="00BE62E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AC372A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Roberto Pereira Arroyo, Director Centro Académico de Alajuela</w:t>
            </w:r>
          </w:p>
          <w:p w:rsidR="00BE62EA" w:rsidRDefault="00BE62EA" w:rsidP="00BE62EA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MAU. Tatiana Fernández Martín, Directora Oficina de Planificación Institucional</w:t>
            </w:r>
          </w:p>
          <w:p w:rsidR="00F548D2" w:rsidRDefault="00BE62EA" w:rsidP="00BE62EA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Comunidad Institucional</w:t>
            </w:r>
          </w:p>
          <w:p w:rsidR="00BE62EA" w:rsidRDefault="00BE62EA" w:rsidP="00BE62EA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  <w:p w:rsidR="00BE62EA" w:rsidRPr="00F548D2" w:rsidRDefault="00BE62EA" w:rsidP="00BE62EA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</w:tc>
      </w:tr>
      <w:tr w:rsidR="007742A1" w:rsidRPr="00D958BC" w:rsidTr="004F2645">
        <w:trPr>
          <w:trHeight w:val="583"/>
        </w:trPr>
        <w:tc>
          <w:tcPr>
            <w:tcW w:w="1312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 xml:space="preserve">De: </w:t>
            </w:r>
          </w:p>
        </w:tc>
        <w:tc>
          <w:tcPr>
            <w:tcW w:w="7611" w:type="dxa"/>
          </w:tcPr>
          <w:p w:rsidR="008D7E9D" w:rsidRPr="008E0D8C" w:rsidRDefault="00CF4A51" w:rsidP="008D7E9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Julio Calvo Alvarado</w:t>
            </w:r>
            <w:r w:rsidR="008D7E9D" w:rsidRPr="008E0D8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, </w:t>
            </w: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Presidente</w:t>
            </w:r>
          </w:p>
          <w:p w:rsidR="007742A1" w:rsidRPr="008E0D8C" w:rsidRDefault="008D7E9D" w:rsidP="008D7E9D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8E0D8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Consejo Institucional</w:t>
            </w:r>
          </w:p>
        </w:tc>
      </w:tr>
      <w:tr w:rsidR="007742A1" w:rsidRPr="00D958BC" w:rsidTr="004F2645">
        <w:trPr>
          <w:trHeight w:val="253"/>
        </w:trPr>
        <w:tc>
          <w:tcPr>
            <w:tcW w:w="1312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</w:p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>Fecha:</w:t>
            </w:r>
          </w:p>
        </w:tc>
        <w:tc>
          <w:tcPr>
            <w:tcW w:w="7611" w:type="dxa"/>
          </w:tcPr>
          <w:p w:rsidR="007742A1" w:rsidRPr="008E0D8C" w:rsidRDefault="007742A1" w:rsidP="007742A1">
            <w:pPr>
              <w:tabs>
                <w:tab w:val="right" w:pos="2410"/>
                <w:tab w:val="left" w:pos="2694"/>
              </w:tabs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</w:p>
          <w:p w:rsidR="007F1052" w:rsidRPr="008E0D8C" w:rsidRDefault="00BE62EA" w:rsidP="000B5852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07</w:t>
            </w:r>
            <w:r w:rsidR="00D76019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A5669A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de </w:t>
            </w:r>
            <w:r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noviem</w:t>
            </w:r>
            <w:r w:rsidR="00D76019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bre </w:t>
            </w:r>
            <w:r w:rsidR="007742A1" w:rsidRPr="008E0D8C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de 201</w:t>
            </w:r>
            <w:r w:rsidR="003B6DC0" w:rsidRPr="008E0D8C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8</w:t>
            </w:r>
          </w:p>
          <w:p w:rsidR="00336F05" w:rsidRPr="008E0D8C" w:rsidRDefault="00336F05" w:rsidP="000B5852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A2484D" w:rsidRPr="005405AE" w:rsidTr="004F2645">
        <w:trPr>
          <w:trHeight w:val="253"/>
        </w:trPr>
        <w:tc>
          <w:tcPr>
            <w:tcW w:w="1312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  <w:t>Asunto:</w:t>
            </w:r>
          </w:p>
        </w:tc>
        <w:tc>
          <w:tcPr>
            <w:tcW w:w="7611" w:type="dxa"/>
          </w:tcPr>
          <w:p w:rsidR="00821E37" w:rsidRPr="007C12C6" w:rsidRDefault="00FF209C" w:rsidP="00BE62EA">
            <w:pPr>
              <w:ind w:left="30" w:hanging="30"/>
              <w:jc w:val="both"/>
              <w:rPr>
                <w:rFonts w:ascii="Arial" w:hAnsi="Arial" w:cs="Arial"/>
                <w:b/>
                <w:lang w:val="es-ES_tradnl" w:eastAsia="es-CR"/>
              </w:rPr>
            </w:pPr>
            <w:r w:rsidRPr="008F0835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="007742A1" w:rsidRPr="008F0835">
              <w:rPr>
                <w:rFonts w:ascii="Arial" w:eastAsia="Calibri" w:hAnsi="Arial" w:cs="Arial"/>
                <w:b/>
                <w:sz w:val="22"/>
                <w:szCs w:val="22"/>
              </w:rPr>
              <w:t xml:space="preserve">esión Ordinaria No. </w:t>
            </w:r>
            <w:r w:rsidR="00337455" w:rsidRPr="008F0835">
              <w:rPr>
                <w:rFonts w:ascii="Arial" w:eastAsia="Calibri" w:hAnsi="Arial" w:cs="Arial"/>
                <w:b/>
                <w:sz w:val="22"/>
                <w:szCs w:val="22"/>
              </w:rPr>
              <w:t>30</w:t>
            </w:r>
            <w:r w:rsidR="008F0835" w:rsidRPr="008F0835"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  <w:r w:rsidR="00BE62EA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="007742A1" w:rsidRPr="008F0835">
              <w:rPr>
                <w:rFonts w:ascii="Arial" w:eastAsia="Calibri" w:hAnsi="Arial" w:cs="Arial"/>
                <w:b/>
                <w:sz w:val="22"/>
                <w:szCs w:val="22"/>
              </w:rPr>
              <w:t>, Artículo</w:t>
            </w:r>
            <w:r w:rsidR="00A5669A" w:rsidRPr="008F0835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21218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BE62EA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FF3C43" w:rsidRPr="008F0835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7742A1" w:rsidRPr="008F0835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del </w:t>
            </w:r>
            <w:r w:rsidR="00BE62EA">
              <w:rPr>
                <w:rFonts w:ascii="Arial" w:eastAsia="Calibri" w:hAnsi="Arial" w:cs="Arial"/>
                <w:b/>
                <w:sz w:val="22"/>
                <w:szCs w:val="22"/>
              </w:rPr>
              <w:t xml:space="preserve">07 de noviembre </w:t>
            </w:r>
            <w:r w:rsidR="00A772EF" w:rsidRPr="008F0835">
              <w:rPr>
                <w:rFonts w:ascii="Arial" w:eastAsia="Calibri" w:hAnsi="Arial" w:cs="Arial"/>
                <w:b/>
                <w:sz w:val="22"/>
                <w:szCs w:val="22"/>
              </w:rPr>
              <w:t>de 201</w:t>
            </w:r>
            <w:r w:rsidR="003B6DC0" w:rsidRPr="008F0835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  <w:r w:rsidR="00925985" w:rsidRPr="008F0835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="008D499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BE62EA" w:rsidRPr="00BE62EA">
              <w:rPr>
                <w:rFonts w:ascii="Arial" w:hAnsi="Arial" w:cs="Arial"/>
                <w:b/>
                <w:sz w:val="22"/>
                <w:szCs w:val="22"/>
              </w:rPr>
              <w:t>Consulta a la Comunidad Institucional sobre la propuesta de Políticas Específicas 2020</w:t>
            </w:r>
          </w:p>
        </w:tc>
      </w:tr>
    </w:tbl>
    <w:p w:rsidR="00FF209C" w:rsidRDefault="00FF209C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7742A1" w:rsidRDefault="007742A1" w:rsidP="007742A1">
      <w:pPr>
        <w:jc w:val="both"/>
        <w:rPr>
          <w:rFonts w:ascii="Arial" w:eastAsia="Cambria" w:hAnsi="Arial" w:cs="Arial"/>
          <w:lang w:val="es-ES_tradnl" w:eastAsia="en-US"/>
        </w:rPr>
      </w:pPr>
      <w:r w:rsidRPr="00D958BC">
        <w:rPr>
          <w:rFonts w:ascii="Arial" w:eastAsia="Cambria" w:hAnsi="Arial" w:cs="Arial"/>
          <w:lang w:val="es-ES_tradnl" w:eastAsia="en-US"/>
        </w:rPr>
        <w:t>Para los fines correspondientes se transcribe el acuerdo tomado por el Consejo Institucional, citado en la referencia, el cual dice:</w:t>
      </w:r>
    </w:p>
    <w:p w:rsidR="00215C41" w:rsidRDefault="00215C41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BE62EA" w:rsidRPr="00BE62EA" w:rsidRDefault="00BE62EA" w:rsidP="00BE62EA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BE62EA">
        <w:rPr>
          <w:rFonts w:ascii="Arial" w:hAnsi="Arial" w:cs="Arial"/>
          <w:b/>
          <w:lang w:val="es-CR"/>
        </w:rPr>
        <w:t>RESULTANDO QUE:</w:t>
      </w:r>
    </w:p>
    <w:p w:rsidR="00BE62EA" w:rsidRPr="00BE62EA" w:rsidRDefault="00BE62EA" w:rsidP="00BE62EA">
      <w:pPr>
        <w:ind w:left="1320" w:hanging="1320"/>
        <w:jc w:val="both"/>
        <w:rPr>
          <w:rFonts w:ascii="Arial" w:hAnsi="Arial" w:cs="Arial"/>
          <w:lang w:val="es-CR"/>
        </w:rPr>
      </w:pPr>
    </w:p>
    <w:p w:rsidR="00BE62EA" w:rsidRPr="00BE62EA" w:rsidRDefault="00BE62EA" w:rsidP="00BE62EA">
      <w:pPr>
        <w:numPr>
          <w:ilvl w:val="0"/>
          <w:numId w:val="8"/>
        </w:numPr>
        <w:ind w:left="360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 xml:space="preserve">El Estatuto Orgánico del Instituto Tecnológico de Costa Rica establece, en los artículos 94 Bis 1, inciso d., 96, inciso c, 99, </w:t>
      </w:r>
      <w:proofErr w:type="gramStart"/>
      <w:r w:rsidRPr="00BE62EA">
        <w:rPr>
          <w:rFonts w:ascii="Arial" w:hAnsi="Arial" w:cs="Arial"/>
          <w:lang w:val="es-CR"/>
        </w:rPr>
        <w:t>100  y</w:t>
      </w:r>
      <w:proofErr w:type="gramEnd"/>
      <w:r w:rsidRPr="00BE62EA">
        <w:rPr>
          <w:rFonts w:ascii="Arial" w:hAnsi="Arial" w:cs="Arial"/>
          <w:lang w:val="es-CR"/>
        </w:rPr>
        <w:t xml:space="preserve"> 101, lo siguiente:</w:t>
      </w:r>
    </w:p>
    <w:p w:rsidR="00BE62EA" w:rsidRPr="00BE62EA" w:rsidRDefault="00BE62EA" w:rsidP="00BE62EA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“Artículo 94 BIS 1</w:t>
      </w: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BE62EA" w:rsidRPr="00BE62EA" w:rsidRDefault="00BE62EA" w:rsidP="00BE62EA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d. Políticas específicas: son formuladas por el Rector y aprobadas por el Consejo Institucional.</w:t>
      </w:r>
    </w:p>
    <w:p w:rsidR="00BE62EA" w:rsidRPr="00BE62EA" w:rsidRDefault="00BE62EA" w:rsidP="00BE62EA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Artículo 96</w:t>
      </w: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BE62EA" w:rsidRPr="00BE62EA" w:rsidRDefault="00BE62EA" w:rsidP="00BE62EA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c. Las Políticas Específicas, deben derivarse de las Políticas Generales y serán aprobadas por el Consejo Institucional, según los procedimientos establecidos en este Estatuto Orgánico y en los reglamentos respectivos. Constituyen la base para la toma de decisiones de los ejecutivos y cuerpos colegiados.”</w:t>
      </w:r>
    </w:p>
    <w:p w:rsidR="00BE62EA" w:rsidRPr="00BE62EA" w:rsidRDefault="00BE62EA" w:rsidP="00BE62EA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Artículo 99 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El Consejo Institucional deberá aprobar anualmente las Políticas Específicas que deben usarse para orientar la elaboración y la ejecución de los Planes anuales operativos del Instituto. 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lastRenderedPageBreak/>
        <w:t>Igualmente, el Consejo Institucional deberá aprobar los ajustes que corresponda a las políticas específicas cada vez que la Asamblea Institucional Representativa apruebe nuevas políticas generales o modifique las existentes.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Artículo 100 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>El Rector deberá formular y presentar anualmente al Consejo Institucional para su discusión y aprobación, las políticas específicas que propone utilizar para orientar la elaboración y la ejecución del Plan Anual Operativo y del Presupuesto institucional, en apego a lo dispuesto por el Plan estratégico institucional.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BE62EA" w:rsidRPr="00BE62EA" w:rsidRDefault="00BE62EA" w:rsidP="00BE62EA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Artículo 101 </w:t>
      </w:r>
    </w:p>
    <w:p w:rsidR="00BE62EA" w:rsidRPr="00BE62EA" w:rsidRDefault="00BE62EA" w:rsidP="00BE62EA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Las propuestas para crear, modificar, o eliminar Políticas Específicas, deberán ser consultadas a la comunidad institucional por parte del Consejo Institucional, al menos, diez días hábiles antes de su discusión y aprobación en el pleno de este órgano, para que los interesados envíen las observaciones que estimen pertinentes. </w:t>
      </w:r>
    </w:p>
    <w:p w:rsidR="00BE62EA" w:rsidRPr="00BE62EA" w:rsidRDefault="00BE62EA" w:rsidP="00932C87">
      <w:pPr>
        <w:ind w:right="689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BE62EA" w:rsidRPr="00BE62EA" w:rsidRDefault="00BE62EA" w:rsidP="00BE62EA">
      <w:pPr>
        <w:numPr>
          <w:ilvl w:val="0"/>
          <w:numId w:val="8"/>
        </w:numPr>
        <w:ind w:left="360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>La Asamblea Institucional Representativa aprobó, en la Sesión Ordinaria 88-2015 del 7 de octubre del 2015, las Políticas Generales 2015-2020.</w:t>
      </w:r>
    </w:p>
    <w:p w:rsidR="00BE62EA" w:rsidRPr="00BE62EA" w:rsidRDefault="00BE62EA" w:rsidP="00BE62EA">
      <w:pPr>
        <w:ind w:left="708"/>
        <w:rPr>
          <w:rFonts w:ascii="Arial" w:hAnsi="Arial" w:cs="Arial"/>
          <w:lang w:val="es-CR"/>
        </w:rPr>
      </w:pPr>
    </w:p>
    <w:p w:rsidR="00BE62EA" w:rsidRPr="00BE62EA" w:rsidRDefault="00BE62EA" w:rsidP="00BE62EA">
      <w:pPr>
        <w:numPr>
          <w:ilvl w:val="0"/>
          <w:numId w:val="8"/>
        </w:numPr>
        <w:ind w:left="360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>El Consejo Institucional, en la Sesión Ordinaria No. 3091, Artículo 7, del 10 de octubre de 2018, modificó el “Reglamento para la Elaboración, Aprobación y Modificación de los Cronogramas Institucionales”, aprobado en la Sesión del Consejo Institucional No. 2449, Artículo 10, del 26 de enero del 2006, estableciendo lo siguiente:</w:t>
      </w:r>
    </w:p>
    <w:p w:rsidR="00BE62EA" w:rsidRPr="00BE62EA" w:rsidRDefault="00BE62EA" w:rsidP="00BE62EA">
      <w:pPr>
        <w:ind w:left="708"/>
        <w:jc w:val="both"/>
        <w:rPr>
          <w:rFonts w:ascii="Arial" w:hAnsi="Arial" w:cs="Arial"/>
          <w:b/>
          <w:bCs/>
          <w:sz w:val="22"/>
          <w:szCs w:val="22"/>
          <w:lang w:val="es-CR" w:eastAsia="es-CR"/>
        </w:rPr>
      </w:pPr>
    </w:p>
    <w:p w:rsidR="00BE62EA" w:rsidRPr="00BE62EA" w:rsidRDefault="00BE62EA" w:rsidP="00BE62EA">
      <w:pPr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 “a. Modificar el artículo 5 del “Reglamento para la Elaboración, Aprobación y Modificación de los Cronogramas Institucionales”, aprobado en la Sesión del Consejo Institucional No. 2094, artículo 8, celebrada el 2 de diciembre de 1999 y publicado en la Gaceta 96, de manera que sea lea de la siguiente forma:</w:t>
      </w:r>
    </w:p>
    <w:p w:rsidR="00BE62EA" w:rsidRPr="00BE62EA" w:rsidRDefault="00BE62EA" w:rsidP="00BE62EA">
      <w:pPr>
        <w:spacing w:before="120"/>
        <w:ind w:left="993" w:right="440" w:hanging="284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BE62EA">
        <w:rPr>
          <w:rFonts w:ascii="Arial" w:hAnsi="Arial" w:cs="Arial"/>
          <w:i/>
          <w:sz w:val="20"/>
          <w:szCs w:val="20"/>
          <w:lang w:val="es-CR"/>
        </w:rPr>
        <w:t xml:space="preserve">  </w:t>
      </w:r>
      <w:r w:rsidRPr="00BE62EA">
        <w:rPr>
          <w:rFonts w:ascii="Arial" w:hAnsi="Arial" w:cs="Arial"/>
          <w:i/>
          <w:sz w:val="20"/>
          <w:szCs w:val="20"/>
          <w:lang w:val="es-CR"/>
        </w:rPr>
        <w:tab/>
        <w:t xml:space="preserve">El Consejo Institucional iniciará el proceso de formulación del Plan-Presupuesto Operativo del año siguiente en el mes de octubre de cada año, con el propósito de cumplir lo establecido por la Contraloría General de la República y considerando las siguientes dos etapas: </w:t>
      </w:r>
    </w:p>
    <w:p w:rsidR="00BE62EA" w:rsidRPr="00BE62EA" w:rsidRDefault="00BE62EA" w:rsidP="00BE62EA">
      <w:pPr>
        <w:spacing w:before="120"/>
        <w:ind w:left="993" w:right="440" w:hanging="284"/>
        <w:jc w:val="both"/>
        <w:rPr>
          <w:rFonts w:ascii="Arial" w:hAnsi="Arial" w:cs="Arial"/>
          <w:b/>
          <w:i/>
          <w:sz w:val="20"/>
          <w:szCs w:val="20"/>
          <w:lang w:val="es-CR"/>
        </w:rPr>
      </w:pPr>
      <w:r w:rsidRPr="00BE62EA">
        <w:rPr>
          <w:rFonts w:ascii="Arial" w:hAnsi="Arial" w:cs="Arial"/>
          <w:b/>
          <w:i/>
          <w:sz w:val="20"/>
          <w:szCs w:val="20"/>
          <w:lang w:val="es-CR"/>
        </w:rPr>
        <w:t>I ETAPA: FORMULACIÓN Y APROBACIÓN PLAN-PRESUPUESTO</w:t>
      </w:r>
    </w:p>
    <w:p w:rsidR="00BE62EA" w:rsidRPr="00BE62EA" w:rsidRDefault="00BE62EA" w:rsidP="00BE62EA">
      <w:pPr>
        <w:spacing w:before="120"/>
        <w:ind w:left="1056" w:right="440" w:hanging="144"/>
        <w:jc w:val="both"/>
        <w:rPr>
          <w:rFonts w:ascii="Arial" w:hAnsi="Arial" w:cs="Arial"/>
          <w:i/>
          <w:sz w:val="20"/>
          <w:szCs w:val="20"/>
          <w:lang w:val="es-CR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942"/>
        <w:gridCol w:w="1307"/>
        <w:gridCol w:w="2007"/>
      </w:tblGrid>
      <w:tr w:rsidR="00BE62EA" w:rsidRPr="00BE62EA" w:rsidTr="00CF570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39"/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>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>RESPONSABLE</w:t>
            </w:r>
          </w:p>
        </w:tc>
      </w:tr>
      <w:tr w:rsidR="00BE62EA" w:rsidRPr="00BE62EA" w:rsidTr="00CF5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numPr>
                <w:ilvl w:val="0"/>
                <w:numId w:val="30"/>
              </w:numPr>
              <w:ind w:left="248" w:right="39" w:hanging="142"/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 xml:space="preserve"> Estado actual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both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 xml:space="preserve">Presentación y análisis de los indicadores de gestión del año que inicia la formulación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both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>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both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>Oficina de Planificación Institucional</w:t>
            </w:r>
          </w:p>
        </w:tc>
      </w:tr>
      <w:tr w:rsidR="00BE62EA" w:rsidRPr="00BE62EA" w:rsidTr="00CF5705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numPr>
                <w:ilvl w:val="0"/>
                <w:numId w:val="30"/>
              </w:numPr>
              <w:ind w:left="248" w:right="39" w:hanging="142"/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b/>
                <w:i/>
                <w:sz w:val="20"/>
                <w:szCs w:val="20"/>
                <w:lang w:val="es-CR"/>
              </w:rPr>
              <w:t>Políticas específicas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both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>Entrega del Rector al Consejo Institucional de la propuesta de políticas específicas para el año siguiente, a la luz de las Políticas Generales y los Objetivos Estratégicos.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ind w:right="440"/>
              <w:jc w:val="both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>Octubre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EA" w:rsidRPr="00BE62EA" w:rsidRDefault="00BE62EA" w:rsidP="00BE62EA">
            <w:pPr>
              <w:keepNext/>
              <w:ind w:right="440"/>
              <w:jc w:val="both"/>
              <w:outlineLvl w:val="0"/>
              <w:rPr>
                <w:rFonts w:ascii="Calibri" w:hAnsi="Calibri" w:cs="Arial"/>
                <w:i/>
                <w:sz w:val="20"/>
                <w:szCs w:val="20"/>
                <w:lang w:val="es-CR"/>
              </w:rPr>
            </w:pPr>
            <w:r w:rsidRPr="00BE62EA">
              <w:rPr>
                <w:rFonts w:ascii="Calibri" w:hAnsi="Calibri" w:cs="Arial"/>
                <w:i/>
                <w:sz w:val="20"/>
                <w:szCs w:val="20"/>
                <w:lang w:val="es-CR"/>
              </w:rPr>
              <w:t>Rector</w:t>
            </w:r>
          </w:p>
        </w:tc>
      </w:tr>
    </w:tbl>
    <w:p w:rsidR="00BE62EA" w:rsidRPr="00BE62EA" w:rsidRDefault="00BE62EA" w:rsidP="00BE62EA">
      <w:pPr>
        <w:rPr>
          <w:rFonts w:ascii="Arial" w:hAnsi="Arial" w:cs="Arial"/>
          <w:b/>
          <w:lang w:val="es-CR"/>
        </w:rPr>
      </w:pPr>
    </w:p>
    <w:p w:rsidR="00BE62EA" w:rsidRPr="00BE62EA" w:rsidRDefault="00BE62EA" w:rsidP="00BE62EA">
      <w:pPr>
        <w:rPr>
          <w:rFonts w:ascii="Arial" w:hAnsi="Arial" w:cs="Arial"/>
          <w:b/>
          <w:sz w:val="22"/>
          <w:szCs w:val="20"/>
          <w:lang w:val="es-CR"/>
        </w:rPr>
      </w:pPr>
      <w:r w:rsidRPr="00BE62EA">
        <w:rPr>
          <w:rFonts w:ascii="Arial" w:hAnsi="Arial" w:cs="Arial"/>
          <w:b/>
          <w:sz w:val="20"/>
          <w:szCs w:val="20"/>
          <w:lang w:val="es-CR"/>
        </w:rPr>
        <w:tab/>
      </w:r>
      <w:r w:rsidRPr="00BE62EA">
        <w:rPr>
          <w:rFonts w:ascii="Arial" w:hAnsi="Arial" w:cs="Arial"/>
          <w:b/>
          <w:sz w:val="22"/>
          <w:szCs w:val="20"/>
          <w:lang w:val="es-CR"/>
        </w:rPr>
        <w:t>…”</w:t>
      </w:r>
    </w:p>
    <w:p w:rsidR="00BE62EA" w:rsidRPr="00BE62EA" w:rsidRDefault="00BE62EA" w:rsidP="00BE62EA">
      <w:pPr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:rsidR="00BE62EA" w:rsidRPr="00BE62EA" w:rsidRDefault="00BE62EA" w:rsidP="00BE62EA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BE62EA">
        <w:rPr>
          <w:rFonts w:ascii="Arial" w:hAnsi="Arial" w:cs="Arial"/>
          <w:b/>
          <w:lang w:val="es-CR"/>
        </w:rPr>
        <w:t>CONSIDERANDO QUE:</w:t>
      </w:r>
    </w:p>
    <w:p w:rsidR="00BE62EA" w:rsidRPr="00BE62EA" w:rsidRDefault="00BE62EA" w:rsidP="00BE62EA">
      <w:pPr>
        <w:jc w:val="both"/>
        <w:rPr>
          <w:rFonts w:ascii="Arial" w:hAnsi="Arial" w:cs="Arial"/>
          <w:sz w:val="20"/>
          <w:szCs w:val="20"/>
          <w:highlight w:val="yellow"/>
          <w:lang w:val="es-CR"/>
        </w:rPr>
      </w:pPr>
    </w:p>
    <w:p w:rsidR="00BE62EA" w:rsidRPr="00BE62EA" w:rsidRDefault="00BE62EA" w:rsidP="00BE62EA">
      <w:pPr>
        <w:numPr>
          <w:ilvl w:val="0"/>
          <w:numId w:val="29"/>
        </w:numPr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 xml:space="preserve">La Secretaría del Consejo Institucional recibió el oficio R-1167-2018, con fecha de recibido 19 de octubre de 2018, suscrito por el Dr. Julio Calvo Alvarado, Rector, dirigido a la </w:t>
      </w:r>
      <w:proofErr w:type="spellStart"/>
      <w:r w:rsidRPr="00BE62EA">
        <w:rPr>
          <w:rFonts w:ascii="Arial" w:hAnsi="Arial" w:cs="Arial"/>
          <w:lang w:val="es-CR"/>
        </w:rPr>
        <w:t>M.Sc</w:t>
      </w:r>
      <w:proofErr w:type="spellEnd"/>
      <w:r w:rsidRPr="00BE62EA">
        <w:rPr>
          <w:rFonts w:ascii="Arial" w:hAnsi="Arial" w:cs="Arial"/>
          <w:lang w:val="es-CR"/>
        </w:rPr>
        <w:t xml:space="preserve">. Ana Rosa Ruiz Fernández, Coordinadora de la Comisión de </w:t>
      </w:r>
      <w:r w:rsidRPr="00BE62EA">
        <w:rPr>
          <w:rFonts w:ascii="Arial" w:hAnsi="Arial" w:cs="Arial"/>
          <w:lang w:val="es-CR"/>
        </w:rPr>
        <w:lastRenderedPageBreak/>
        <w:t xml:space="preserve">Planificación y Administración, en el cual remite la propuesta de Políticas Específicas 2020. </w:t>
      </w:r>
    </w:p>
    <w:p w:rsidR="00BE62EA" w:rsidRPr="00BE62EA" w:rsidRDefault="00BE62EA" w:rsidP="00BE62EA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BE62EA" w:rsidRPr="00BE62EA" w:rsidRDefault="00BE62EA" w:rsidP="00BE62EA">
      <w:pPr>
        <w:numPr>
          <w:ilvl w:val="0"/>
          <w:numId w:val="29"/>
        </w:numPr>
        <w:jc w:val="both"/>
        <w:rPr>
          <w:rFonts w:ascii="Arial" w:hAnsi="Arial" w:cs="Arial"/>
          <w:b/>
          <w:lang w:val="es-CR"/>
        </w:rPr>
      </w:pPr>
      <w:bookmarkStart w:id="0" w:name="_Toc272225920"/>
      <w:bookmarkStart w:id="1" w:name="_Toc272238511"/>
      <w:bookmarkStart w:id="2" w:name="_Toc274319984"/>
      <w:r w:rsidRPr="00BE62EA">
        <w:rPr>
          <w:rFonts w:ascii="Arial" w:hAnsi="Arial" w:cs="Arial"/>
          <w:lang w:val="es-CR"/>
        </w:rPr>
        <w:t xml:space="preserve">La Comisión de Planificación y Administración en la reunión No. 794-2018, realizada el jueves 01 de noviembre de 2018, revisa la propuesta remitida por la Rectoría mediante el oficio R-1167-2018.  Producto de ese análisis se introducen cambios, generándose la siguiente propuesta de Políticas Específicas:   </w:t>
      </w:r>
    </w:p>
    <w:p w:rsidR="00BE62EA" w:rsidRPr="00BE62EA" w:rsidRDefault="00BE62EA" w:rsidP="00BE62EA">
      <w:pPr>
        <w:ind w:left="708"/>
        <w:rPr>
          <w:rFonts w:ascii="Arial" w:hAnsi="Arial" w:cs="Arial"/>
          <w:b/>
          <w:lang w:val="es-CR"/>
        </w:rPr>
      </w:pPr>
    </w:p>
    <w:tbl>
      <w:tblPr>
        <w:tblStyle w:val="Tablaconcuadrcula10"/>
        <w:tblW w:w="5621" w:type="pct"/>
        <w:tblInd w:w="-431" w:type="dxa"/>
        <w:tblLook w:val="04A0" w:firstRow="1" w:lastRow="0" w:firstColumn="1" w:lastColumn="0" w:noHBand="0" w:noVBand="1"/>
      </w:tblPr>
      <w:tblGrid>
        <w:gridCol w:w="3636"/>
        <w:gridCol w:w="3058"/>
        <w:gridCol w:w="3491"/>
      </w:tblGrid>
      <w:tr w:rsidR="00BE62EA" w:rsidRPr="00BE62EA" w:rsidTr="00CF5705">
        <w:trPr>
          <w:tblHeader/>
        </w:trPr>
        <w:tc>
          <w:tcPr>
            <w:tcW w:w="1785" w:type="pct"/>
            <w:shd w:val="clear" w:color="auto" w:fill="9CC2E5" w:themeFill="accent1" w:themeFillTint="99"/>
            <w:vAlign w:val="center"/>
          </w:tcPr>
          <w:p w:rsidR="00BE62EA" w:rsidRPr="00BE62EA" w:rsidRDefault="00BE62EA" w:rsidP="00BE62E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POLÍTICAS GENERALES</w:t>
            </w:r>
          </w:p>
        </w:tc>
        <w:tc>
          <w:tcPr>
            <w:tcW w:w="1501" w:type="pct"/>
            <w:shd w:val="clear" w:color="auto" w:fill="9CC2E5" w:themeFill="accent1" w:themeFillTint="99"/>
            <w:vAlign w:val="center"/>
          </w:tcPr>
          <w:p w:rsidR="00BE62EA" w:rsidRPr="00BE62EA" w:rsidRDefault="00BE62EA" w:rsidP="00BE62E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PROPUESTA DE LA RECTORÍA</w:t>
            </w:r>
          </w:p>
        </w:tc>
        <w:tc>
          <w:tcPr>
            <w:tcW w:w="1714" w:type="pct"/>
            <w:shd w:val="clear" w:color="auto" w:fill="9CC2E5" w:themeFill="accent1" w:themeFillTint="99"/>
            <w:vAlign w:val="center"/>
          </w:tcPr>
          <w:p w:rsidR="00BE62EA" w:rsidRPr="00BE62EA" w:rsidRDefault="00BE62EA" w:rsidP="00BE62E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>PROPUESTA DE LA COMISION DE PLANIFICACION Y ADMNISTRACION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ind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Se desarrollarán programas  académicos 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1.1.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Se mantendrán los programas académicos de grado y posgrado y se evaluarán nuevas ofertas académicas, en las áreas de ciencia y tecnología en consonancia con los ejes transversales del Modelo Académico aprobado en el III Congreso Institucional.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1.1.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Se mantendrán los programas académicos de grado y posgrado ofertados en el 2019.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1.2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 xml:space="preserve">Se ofertarán los programas de formación técnica y posgrado en concordancia a las necesidades del sector productivo, en </w:t>
            </w:r>
            <w:proofErr w:type="spellStart"/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coadyuvancia</w:t>
            </w:r>
            <w:proofErr w:type="spellEnd"/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 xml:space="preserve"> con FUNDATEC.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1.2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 xml:space="preserve">. Se desarrollarán programas de formación técnica en concordancia con las necesidades del sector productivo y en procura del incremento de la oferta en diferentes regiones del país. </w:t>
            </w:r>
          </w:p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1.3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. Se evaluarán nuevas ofertas académicas en las áreas de ciencia y tecnología y  las formas potenciales de su financiamiento.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2. 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destinarán los recursos presupuestarios necesarios para la planificación, ejecución, control y evaluación exitosa de los 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>programas académicos, vida estudiantil y apoyo a la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academia acorde con los ejes de conocimiento estratégicos. 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2.1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asignarán los recursos para la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atención de los servicios básicos estudiantiles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y de apoyo a la academia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2.1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asignará los recursos presupuestarios a los programas académicos, servicios estudiantiles y de apoyo a la academia en forma racionalizada, bajo criterios </w:t>
            </w:r>
            <w:proofErr w:type="gram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de  eficacia</w:t>
            </w:r>
            <w:proofErr w:type="gram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y eficiencia en el desempeño y cumplimiento de metas del año 2019. 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continuará con los procesos de autoevaluación y </w:t>
            </w:r>
            <w:proofErr w:type="spell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reacreditación</w:t>
            </w:r>
            <w:proofErr w:type="spell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de programas de grado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realizarán procesos de autoevaluación con miras a la acreditación o </w:t>
            </w:r>
            <w:proofErr w:type="spell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reacreditación</w:t>
            </w:r>
            <w:proofErr w:type="spell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de programas de grado y posgrado, desde una perspectiva de autonomía universitaria.</w:t>
            </w:r>
          </w:p>
        </w:tc>
      </w:tr>
      <w:tr w:rsidR="00BE62EA" w:rsidRPr="00BE62EA" w:rsidTr="00CF5705">
        <w:tc>
          <w:tcPr>
            <w:tcW w:w="1785" w:type="pct"/>
            <w:vAlign w:val="center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2.3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Se continuará con los procesos de autoevaluación, acreditación y </w:t>
            </w:r>
            <w:proofErr w:type="spell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reacreditación</w:t>
            </w:r>
            <w:proofErr w:type="spell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de programas de posgrado.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Se elimina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3.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emprendedurismo</w:t>
            </w:r>
            <w:proofErr w:type="spell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en los programas académicos.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  <w:r w:rsidRPr="00BE62EA">
              <w:rPr>
                <w:rFonts w:hAnsi="Arial"/>
                <w:sz w:val="18"/>
                <w:szCs w:val="18"/>
                <w:lang w:val="es-CR" w:eastAsia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continuará impulsando los procesos de internacionalización académica con el objetivo de lograr el fortalecimiento de los programas académicos y el dominio de una segunda lengua.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  <w:r w:rsidRPr="00BE62EA">
              <w:rPr>
                <w:rFonts w:hAnsi="Arial"/>
                <w:sz w:val="18"/>
                <w:szCs w:val="18"/>
                <w:lang w:val="es-CR" w:eastAsia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impulsarán los procesos de internacionalización académica, tendientes al fortalecimiento de los programas académicos, la generación de nuevas oportunidades de aprendizaje y el dominio de una segunda lengua.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estimulará el desarrollo del emprendimiento e innovación en los procesos de enseñanza-aprendizaje.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acciones para impulsar el emprendimiento y la innovación en las y los estudiantes a través de la docencia, la investigación y la extensión y acción social.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un uso racional y eficiente de los recursos presupuestarios en todos los niveles institucionales.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un uso racional y eficiente de los recursos mediante los indicadores de gestión en todos los niveles institucionales.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3.4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la visión global, la cultura de comunicación y la conciencia hacia la sostenibilidad ambiental, los derechos humanos y los valores socio-culturales.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3.4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acciones hacia una cultura de comunicación y  conciencia para la sostenibilidad ambiental, los derechos humanos y los valores socio-culturales.</w:t>
            </w: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>4.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planificarán y ejecutarán los procesos académicos, vida estudiantil y apoyo a la academia orientados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a favorecer el impacto positivo sobre la salud integral y el ambiente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4.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fortalecerá el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desarrollo y mejoramiento continuo integral, en la gestión de todos los procesos institucionales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4.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actividades hacia la salud integral y la protección del ambiente, bajo parámetros de calidad y rendición de cuentas.</w:t>
            </w:r>
          </w:p>
        </w:tc>
      </w:tr>
      <w:tr w:rsidR="00BE62EA" w:rsidRPr="00BE62EA" w:rsidTr="00CF5705">
        <w:tc>
          <w:tcPr>
            <w:tcW w:w="1785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5. 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potenciará el desarrollo del profesorado en aspectos pedagógicos  y propios de su disciplina para alcanzar la excelencia académica desde una perspectiva humanística y multidisciplinaria.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5.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fortalecerá la formación integral de los profesores(as).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Pr="00BE62EA">
              <w:rPr>
                <w:b/>
                <w:bCs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desarrollarán programas de formación pedagógica del profesorado que estimule la filosofía de “aprender a aprender” y el compromiso permanente de educadores y educandos con el proceso de enseñanza-aprendizaje. </w:t>
            </w:r>
          </w:p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5.2.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Se mantendrá un programa de formación a nivel de posgrado del profesorado,  que responda a las líneas prioritarias de desarrollo de las Unidades Académicas.</w:t>
            </w:r>
          </w:p>
        </w:tc>
      </w:tr>
      <w:tr w:rsidR="00BE62EA" w:rsidRPr="00BE62EA" w:rsidTr="00CF5705">
        <w:tc>
          <w:tcPr>
            <w:tcW w:w="1785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6.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incrementará la formación, capacitación y superación del personal para alcanzar la excelencia desde una perspectiva humanística que contemple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el compromiso con la equidad, el ambiente y una cultura de paz.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6.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fortalecerá la formación integral, la capacitación y el entrenamiento que mejoren el nivel de desempeño de su puesto de trabajo, a partir de las prioridades Institucionales.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6.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fortalecerá la formación integral, la capacitación y el entrenamiento del personal, con el fin de  que mejoren el nivel de desempeño de su puesto de trabajo, desde una perspectiva humanística que contemple el compromiso con la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equidad, el ambiente y una cultura de paz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a partir de las prioridades y objetivos Institucionales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120" w:after="12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7.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mejorarán las capacidades de las instancias institucionales para el fortalecimiento de los proyectos de investigación, extensión y acción social, según los ejes de conocimiento estratégicos y transversales.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proyectos de investigación, extensión y acción social orientados a generar conocimientos para la solución de problemas prioritarios del país, en procura del mejoramiento de la calidad de vida y la edificación de una sociedad más justa y solidaria.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7.2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 implementarán estrategias de búsqueda de recursos financieros nacionales e internacionales, para reforzar el desarrollo de la investigación, la extensión, la cooperación, el intercambio estudiantil, la acción social, la innovación, el desarrollo científico y tecnológico y el desarrollo regional.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7.2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 definirá una estrategia de búsqueda de recursos financieros a nivel nacional e internacional, para reforzar el desarrollo de la docencia, la investigación, la extensión, la cooperación, el intercambio estudiantil, la acción social, la innovación, el desarrollo científico y tecnológico y el desarrollo territorial.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8. 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fortalecerán los programas y servicios existentes para el ingreso, la formación integral, el bienestar estudiantil y la graduación exitosa de los estudiantes.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Se ofrecerán los programa y servicios existentes para el ingreso, la formación integral, el bienestar estudiantil y la graduación exitosa del estudiantado bajo parámetros de calidad y rendición de cuentas.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8.2.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acciones en la comunidad Institucional,  que fortalezca una vida estudiantil integral e impulsar la equidad e igualdad de oportunidades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8.2.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Se mantendrán las acciones en la comunidad </w:t>
            </w:r>
            <w:proofErr w:type="gramStart"/>
            <w:r w:rsidRPr="00BE62EA">
              <w:rPr>
                <w:rFonts w:ascii="Arial" w:hAnsi="Arial" w:cs="Arial"/>
                <w:sz w:val="18"/>
                <w:szCs w:val="18"/>
              </w:rPr>
              <w:t>Institucional,  que</w:t>
            </w:r>
            <w:proofErr w:type="gramEnd"/>
            <w:r w:rsidRPr="00BE62EA">
              <w:rPr>
                <w:rFonts w:ascii="Arial" w:hAnsi="Arial" w:cs="Arial"/>
                <w:sz w:val="18"/>
                <w:szCs w:val="18"/>
              </w:rPr>
              <w:t xml:space="preserve"> fortalezcan una vida estudiantil integral e impulsen la equidad e igualdad de oportunidades bajo parámetros de calidad y rendición de cuentas.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9. 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9.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estimulará la participación estudiantil en los proyectos de investigación y extensión.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9.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estimulará en los  procesos de enseñanza aprendizaje la participación estudiantil en actividades y proyectos  de investigación, extensión y acción social.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10.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10.1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el desarrollo de actividades de vinculación con los graduados, para fortalecer el quehacer institucional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10.1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el desarrollo de actividades de vinculación con los graduados, para fortalecer el quehacer institucional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62EA" w:rsidRPr="00BE62EA" w:rsidTr="00CF5705">
        <w:tc>
          <w:tcPr>
            <w:tcW w:w="1785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10.2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programas de educación continua para los graduados, según las necesidades vigentes del sector laboral y necesidades del  país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10.2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programas de educación continua para los graduados, según las necesidades vigentes del sector laboral y las necesidades del  país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62EA" w:rsidRPr="00BE62EA" w:rsidTr="00CF5705">
        <w:tc>
          <w:tcPr>
            <w:tcW w:w="1785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11.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 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11.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Se fomentará la prestación de servicios en campos especializados, desde las competencias académicas de cada unidad operativa, con carácter remunerado a nivel nacional e internacional.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>Se fomentará la prestación de servicios en campos especializados, desde las competencias académicas de cada unidad operativa, con carácter remunerado a nivel nacional e internacional.</w:t>
            </w: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 12. 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12.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gestionarán los recursos disponibles para atender los proyectos o actividades prioritarias de extensión y acción social, que respondan a las necesidades de los diferentes sectores.</w:t>
            </w:r>
          </w:p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sz w:val="18"/>
                <w:szCs w:val="18"/>
                <w:lang w:val="es-CR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>12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asignarán recursos para atender los proyectos o actividades prioritarias de extensión y acción social, que respondan a las necesidades de los diferentes sectores bajo parámetros de calidad y rendición de cuentas.</w:t>
            </w: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13.  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fortalecerá el trabajo conjunto  en áreas estratégicas con las universidades que conforman el Sistema de  Educación Superior Universitario Público.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13.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impulsarán actividades, proyectos o programas conjuntos entre las universidades que conforman el Sistema de Educación Superior Universitario Público.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13.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actividades, proyectos o programas conjuntos entre las universidades que conforman el Sistema de Educación Superior Universitario Público, bajo parámetros de calidad y rendición de cuentas.</w:t>
            </w: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14.  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14.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programas de capacitación y formación a la comunidad institucional en la formulación, el desarrollo sostenible y la administración de proyectos, que contribuyan al logro de los objetivos institucionales.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14.</w:t>
            </w:r>
            <w:r w:rsidRPr="00BE62EA">
              <w:rPr>
                <w:rFonts w:ascii="Arial" w:hAnsi="Arial" w:cs="Arial"/>
                <w:b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programas de capacitación y formación a la comunidad institucional en la formulación, el desarrollo sostenible y la administración de proyectos, que contribuyan al logro de los objetivos institucionales acordes con la realidad nacional.</w:t>
            </w:r>
          </w:p>
        </w:tc>
      </w:tr>
      <w:tr w:rsidR="00BE62EA" w:rsidRPr="00BE62EA" w:rsidTr="00CF5705">
        <w:tc>
          <w:tcPr>
            <w:tcW w:w="1785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15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. Los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procesos institucionales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se desarrollarán con </w:t>
            </w:r>
            <w:r w:rsidRPr="00BE62EA">
              <w:rPr>
                <w:rFonts w:ascii="Arial" w:hAnsi="Arial" w:cs="Arial"/>
                <w:sz w:val="18"/>
                <w:szCs w:val="18"/>
                <w:u w:val="single"/>
                <w:lang w:val="es-CR"/>
              </w:rPr>
              <w:t>excelencia, sustentados en la evaluación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 continua que involucre a los usuarios directos.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la incorporación de buenas prácticas de gestión orientadas al mejoramiento de los procesos, los proyectos y las funciones que se desarrollan en la Institución, ofreciendo prioridad a aquellos que tengan alto impacto en la relación con los usuarios directos.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promoverá la incorporación de buenas prácticas de gestión orientadas al mejoramiento de los procesos, los proyectos y las funciones que se desarrollan en la Institución, dando prioridad a aquellos que tengan alto impacto en la relación con los usuarios directos. 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optimizarán el uso y desarrollo de sistemas de información que permitan integrar  los procesos y sistemas institucionales.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.2.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establecerán indicadores de calidad, eficiencia y eficacia en procesos estratégicos institucionales.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  <w:vMerge w:val="restar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.3.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acciones enfocadas en la construcción de una cultura institucional de rendición de cuentas.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  <w:vMerge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.4. 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 xml:space="preserve">Se implantarán acciones para incrementar el número de servicios evaluados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con la participación de los usuarios directos.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  <w:vMerge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15.5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optimizará el uso y desarrollo de sistemas de información que permitan integrar  los procesos y sistemas institucionales.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  <w:vMerge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15.6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 xml:space="preserve">Se desarrollarán acciones para atender los hallazgos que las auditorías externas han señalado al Instituto Tecnológico de Costa Rica en la gobernanza de las </w:t>
            </w:r>
            <w:proofErr w:type="spellStart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TIC´s</w:t>
            </w:r>
            <w:proofErr w:type="spellEnd"/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.</w:t>
            </w:r>
          </w:p>
        </w:tc>
      </w:tr>
      <w:tr w:rsidR="00BE62EA" w:rsidRPr="00BE62EA" w:rsidTr="00CF5705">
        <w:tc>
          <w:tcPr>
            <w:tcW w:w="1785" w:type="pct"/>
            <w:vMerge w:val="restart"/>
            <w:vAlign w:val="center"/>
          </w:tcPr>
          <w:p w:rsidR="00BE62EA" w:rsidRPr="00BE62EA" w:rsidRDefault="00BE62EA" w:rsidP="00BE62EA">
            <w:pPr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16.  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ejecutarán los recursos asignados a la Institución de manera oportuna, eficiente,   racional y transparente y se promoverá la consecución de fondos nacionales e internacionales que favorezcan el desarrollo y el impacto del quehacer  de la Institución en la sociedad.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16.1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implementarán acciones de seguimiento y evaluación, para asegurar una ejecución oportuna, eficiente y transparente de los recursos asignados a la Institución, así como la rendición de cuentas a la sociedad</w:t>
            </w:r>
            <w:r w:rsidRPr="00BE62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16.1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establecerá un riguroso proceso de planificación, a corto, mediano y largo plazo, incluyendo  seguimiento y evaluación  de todas las actividades fundamentales del ITCR, respondiendo a las necesidades fundamentales del país bajo parámetros de calidad y rendición de cuentas.</w:t>
            </w:r>
          </w:p>
        </w:tc>
      </w:tr>
      <w:tr w:rsidR="00BE62EA" w:rsidRPr="00BE62EA" w:rsidTr="00CF5705">
        <w:tc>
          <w:tcPr>
            <w:tcW w:w="1785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16.2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promoverá la consecución de nuevos recursos, en coordinación con las instancias institucionales y actores externos, que permitan incrementar el nivel de gestión de la Institución.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16.2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 una rendición de cuentas a nivel nacional y territorial de los aportes del ITCR en los diferentes territorios.</w:t>
            </w:r>
          </w:p>
        </w:tc>
      </w:tr>
      <w:tr w:rsidR="00BE62EA" w:rsidRPr="00BE62EA" w:rsidTr="00CF5705">
        <w:tc>
          <w:tcPr>
            <w:tcW w:w="1785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 xml:space="preserve">17.  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desarrollarán acciones en  distintas regiones para ampliar el acceso a la educación superior y contribuir con el desarrollo integral de la población, con atención a  necesidades de grupos vulnerables, en condición de desventaja social</w:t>
            </w:r>
          </w:p>
        </w:tc>
        <w:tc>
          <w:tcPr>
            <w:tcW w:w="1501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</w:rPr>
              <w:t>17.1</w:t>
            </w:r>
            <w:r w:rsidRPr="00BE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continuará desarrollando actividades y acciones para atender las regiones del país, para favorecer el acceso y fomentar el bienestar de las poblaciones de grupos vulnerables o en condición de desventaja social.</w:t>
            </w:r>
          </w:p>
        </w:tc>
        <w:tc>
          <w:tcPr>
            <w:tcW w:w="1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2EA">
              <w:rPr>
                <w:rFonts w:ascii="Arial" w:hAnsi="Arial" w:cs="Arial"/>
                <w:b/>
                <w:bCs/>
                <w:sz w:val="18"/>
                <w:szCs w:val="18"/>
                <w:lang w:val="es-CR"/>
              </w:rPr>
              <w:t>17.</w:t>
            </w:r>
            <w:r w:rsidRPr="00BE62EA">
              <w:rPr>
                <w:rFonts w:ascii="Arial" w:hAnsi="Arial" w:cs="Arial"/>
                <w:bCs/>
                <w:sz w:val="18"/>
                <w:szCs w:val="18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18"/>
                <w:szCs w:val="18"/>
                <w:lang w:val="es-CR"/>
              </w:rPr>
              <w:t>Se continuará desarrollando actividades y acciones para atender las regiones del país, para favorecer el acceso y fomentar el bienestar de las poblaciones de grupos vulnerables o en condición de desventaja social.</w:t>
            </w:r>
          </w:p>
        </w:tc>
      </w:tr>
    </w:tbl>
    <w:p w:rsidR="00BE62EA" w:rsidRPr="00BE62EA" w:rsidRDefault="00BE62EA" w:rsidP="00BE62EA">
      <w:pPr>
        <w:ind w:left="708"/>
        <w:rPr>
          <w:rFonts w:ascii="Arial" w:hAnsi="Arial" w:cs="Arial"/>
          <w:b/>
          <w:lang w:val="es-CR"/>
        </w:rPr>
      </w:pPr>
    </w:p>
    <w:p w:rsidR="00BE62EA" w:rsidRPr="00BE62EA" w:rsidRDefault="00BE62EA" w:rsidP="00BE62EA">
      <w:pPr>
        <w:ind w:left="708"/>
        <w:rPr>
          <w:rFonts w:ascii="Arial" w:hAnsi="Arial" w:cs="Arial"/>
          <w:b/>
          <w:sz w:val="20"/>
          <w:szCs w:val="20"/>
          <w:lang w:val="es-CR"/>
        </w:rPr>
      </w:pPr>
    </w:p>
    <w:p w:rsidR="00BE62EA" w:rsidRPr="00BE62EA" w:rsidRDefault="00BE62EA" w:rsidP="00BE62EA">
      <w:pPr>
        <w:jc w:val="both"/>
        <w:rPr>
          <w:rFonts w:ascii="Arial" w:hAnsi="Arial" w:cs="Arial"/>
          <w:b/>
          <w:lang w:val="es-CR"/>
        </w:rPr>
      </w:pPr>
      <w:r w:rsidRPr="00BE62EA">
        <w:rPr>
          <w:rFonts w:ascii="Arial" w:hAnsi="Arial" w:cs="Arial"/>
          <w:b/>
          <w:lang w:val="es-CR"/>
        </w:rPr>
        <w:t>SE</w:t>
      </w:r>
      <w:r>
        <w:rPr>
          <w:rFonts w:ascii="Arial" w:hAnsi="Arial" w:cs="Arial"/>
          <w:b/>
          <w:lang w:val="es-CR"/>
        </w:rPr>
        <w:t xml:space="preserve"> ACUERDA</w:t>
      </w:r>
      <w:r w:rsidRPr="00BE62EA">
        <w:rPr>
          <w:rFonts w:ascii="Arial" w:hAnsi="Arial" w:cs="Arial"/>
          <w:b/>
          <w:lang w:val="es-CR"/>
        </w:rPr>
        <w:t>:</w:t>
      </w:r>
    </w:p>
    <w:p w:rsidR="00BE62EA" w:rsidRPr="00BE62EA" w:rsidRDefault="00BE62EA" w:rsidP="00BE62EA">
      <w:pPr>
        <w:jc w:val="both"/>
        <w:rPr>
          <w:rFonts w:ascii="Arial" w:hAnsi="Arial" w:cs="Arial"/>
        </w:rPr>
      </w:pPr>
    </w:p>
    <w:p w:rsidR="00BE62EA" w:rsidRPr="00BE62EA" w:rsidRDefault="00BE62EA" w:rsidP="00BE62EA">
      <w:pPr>
        <w:numPr>
          <w:ilvl w:val="0"/>
          <w:numId w:val="7"/>
        </w:numPr>
        <w:ind w:left="378" w:right="-91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>Someter a consulta de la Comunidad Institucional la propuesta de Políticas Específicas 2020.</w:t>
      </w:r>
    </w:p>
    <w:p w:rsidR="00BE62EA" w:rsidRPr="00BE62EA" w:rsidRDefault="00BE62EA" w:rsidP="00BE62EA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BE62EA" w:rsidRPr="00BE62EA" w:rsidRDefault="00BE62EA" w:rsidP="00BE62EA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Style w:val="Tablaconcuadrcula10"/>
        <w:tblW w:w="5621" w:type="pct"/>
        <w:tblInd w:w="-431" w:type="dxa"/>
        <w:tblLook w:val="04A0" w:firstRow="1" w:lastRow="0" w:firstColumn="1" w:lastColumn="0" w:noHBand="0" w:noVBand="1"/>
      </w:tblPr>
      <w:tblGrid>
        <w:gridCol w:w="4657"/>
        <w:gridCol w:w="5528"/>
      </w:tblGrid>
      <w:tr w:rsidR="00BE62EA" w:rsidRPr="00BE62EA" w:rsidTr="00CF5705">
        <w:trPr>
          <w:tblHeader/>
        </w:trPr>
        <w:tc>
          <w:tcPr>
            <w:tcW w:w="2286" w:type="pct"/>
            <w:shd w:val="clear" w:color="auto" w:fill="9CC2E5" w:themeFill="accent1" w:themeFillTint="99"/>
            <w:vAlign w:val="center"/>
          </w:tcPr>
          <w:p w:rsidR="00BE62EA" w:rsidRPr="00BE62EA" w:rsidRDefault="00BE62EA" w:rsidP="00BE62E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POLÍTICAS GENERALES</w:t>
            </w:r>
          </w:p>
        </w:tc>
        <w:tc>
          <w:tcPr>
            <w:tcW w:w="2714" w:type="pct"/>
            <w:shd w:val="clear" w:color="auto" w:fill="9CC2E5" w:themeFill="accent1" w:themeFillTint="99"/>
            <w:vAlign w:val="center"/>
          </w:tcPr>
          <w:p w:rsidR="00BE62EA" w:rsidRPr="00BE62EA" w:rsidRDefault="00BE62EA" w:rsidP="00D5377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PROPUESTA  POLÍTICAS </w:t>
            </w:r>
            <w:r w:rsidR="00D53770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ESPECÍFICAS </w:t>
            </w:r>
            <w:bookmarkStart w:id="3" w:name="_GoBack"/>
            <w:bookmarkEnd w:id="3"/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2020 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Se desarrollarán programas  académicos  en las áreas de ciencia y tecnología en concordancia con los ejes de conocimiento estratégicos, los fines y principios institucionales y con lo establecido en la Ley Orgánica del ITCR.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1.1. 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>Se mantendrán los programas académicos de grado y posgrado ofertados en el 2019.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1.2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. Se desarrollarán programas de formación técnica en concordancia con las necesidades del sector productivo y en procura del incremento de la oferta en diferentes regiones del país. </w:t>
            </w:r>
          </w:p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1.3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>. Se evaluarán nuevas ofertas académicas en las áreas de ciencia y tecnología y  las formas potenciales de su financiamiento.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2. 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destinarán los recursos presupuestarios necesarios para la planificación, ejecución, control y evaluación exitosa de los 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>programas académicos, vida estudiantil y apoyo a la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academia acorde con los ejes de conocimiento estratégicos. 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asignará los recursos presupuestarios a los programas académicos, servicios estudiantiles y de apoyo a la academia en forma racionalizada, bajo criterios </w:t>
            </w:r>
            <w:proofErr w:type="gramStart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de  eficacia</w:t>
            </w:r>
            <w:proofErr w:type="gramEnd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y eficiencia en el desempeño y cumplimiento de metas del año 2019. 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realizarán procesos de autoevaluación con miras a la acreditación o </w:t>
            </w:r>
            <w:proofErr w:type="spellStart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reacreditación</w:t>
            </w:r>
            <w:proofErr w:type="spellEnd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de programas de grado y posgrado, desde una perspectiva de autonomía universitaria.</w:t>
            </w:r>
          </w:p>
        </w:tc>
      </w:tr>
      <w:tr w:rsidR="00BE62EA" w:rsidRPr="00BE62EA" w:rsidTr="00CF5705">
        <w:tc>
          <w:tcPr>
            <w:tcW w:w="2286" w:type="pct"/>
            <w:vAlign w:val="center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Se elimina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3.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emprendedurismo</w:t>
            </w:r>
            <w:proofErr w:type="spellEnd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en los programas académicos.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00BE62EA">
              <w:rPr>
                <w:rFonts w:ascii="Arial" w:hAnsi="Arial" w:cs="Arial"/>
                <w:sz w:val="20"/>
                <w:szCs w:val="20"/>
              </w:rPr>
              <w:t>.</w:t>
            </w:r>
            <w:r w:rsidRPr="00BE62EA">
              <w:rPr>
                <w:rFonts w:hAnsi="Arial"/>
                <w:sz w:val="20"/>
                <w:szCs w:val="20"/>
                <w:lang w:val="es-CR" w:eastAsia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impulsarán los procesos de internacionalización académica, tendientes al fortalecimiento de los programas académicos, la generación de nuevas oportunidades de aprendizaje y el dominio de una segunda lengua.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3.2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acciones para impulsar el emprendimiento y la innovación en las y los estudiantes a través de la docencia, la investigación y la extensión y acción social.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promoverá un uso racional y eficiente de los recursos mediante los indicadores de gestión en todos los niveles institucionales.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3.4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acciones hacia una cultura de comunicación y  conciencia para la sostenibilidad ambiental, los derechos humanos y los valores socio-culturales.</w:t>
            </w: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>4.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planificarán y ejecutarán los procesos académicos, vida estudiantil y apoyo a la academia orientados </w:t>
            </w:r>
            <w:r w:rsidRPr="00BE62EA">
              <w:rPr>
                <w:rFonts w:ascii="Arial" w:hAnsi="Arial" w:cs="Arial"/>
                <w:sz w:val="20"/>
                <w:szCs w:val="20"/>
                <w:u w:val="single"/>
                <w:lang w:val="es-CR"/>
              </w:rPr>
              <w:t>a favorecer el impacto positivo sobre la salud integral y el ambiente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4.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actividades hacia la salud integral y la protección del ambiente, bajo parámetros de calidad y rendición de cuentas.</w:t>
            </w:r>
          </w:p>
        </w:tc>
      </w:tr>
      <w:tr w:rsidR="00BE62EA" w:rsidRPr="00BE62EA" w:rsidTr="00CF5705">
        <w:tc>
          <w:tcPr>
            <w:tcW w:w="2286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5. 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potenciará el desarrollo del profesorado en aspectos pedagógicos  y propios de su disciplina para alcanzar la excelencia académica desde una perspectiva humanística y multidisciplinaria.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  <w:r w:rsidRPr="00BE62EA">
              <w:rPr>
                <w:b/>
                <w:bCs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desarrollarán programas de formación pedagógica del profesorado que estimule la filosofía de “aprender a aprender” y el compromiso permanente de educadores y educandos con el proceso de enseñanza-aprendizaje. </w:t>
            </w:r>
          </w:p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5.2. 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>Se mantendrá un programa de formación a nivel de posgrado del profesorado,  que responda a las líneas prioritarias de desarrollo de las Unidades Académicas.</w:t>
            </w:r>
          </w:p>
        </w:tc>
      </w:tr>
      <w:tr w:rsidR="00BE62EA" w:rsidRPr="00BE62EA" w:rsidTr="00CF5705">
        <w:tc>
          <w:tcPr>
            <w:tcW w:w="2286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6.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incrementará la formación, capacitación y superación del personal para alcanzar la excelencia desde una perspectiva humanística que contemple </w:t>
            </w:r>
            <w:r w:rsidRPr="00BE62EA">
              <w:rPr>
                <w:rFonts w:ascii="Arial" w:hAnsi="Arial" w:cs="Arial"/>
                <w:sz w:val="20"/>
                <w:szCs w:val="20"/>
                <w:u w:val="single"/>
                <w:lang w:val="es-CR"/>
              </w:rPr>
              <w:t>el compromiso con la equidad, el ambiente y una cultura de paz.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6.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fortalecerá la formación integral, la capacitación y el entrenamiento del personal, con el fin de  que mejoren el nivel de desempeño de su puesto de trabajo, desde una perspectiva humanística que contemple el compromiso con la </w:t>
            </w:r>
            <w:r w:rsidRPr="00BE62EA">
              <w:rPr>
                <w:rFonts w:ascii="Arial" w:hAnsi="Arial" w:cs="Arial"/>
                <w:sz w:val="20"/>
                <w:szCs w:val="20"/>
                <w:u w:val="single"/>
                <w:lang w:val="es-CR"/>
              </w:rPr>
              <w:t>equidad, el ambiente y una cultura de paz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a partir de las prioridades y objetivos Institucionales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120" w:after="12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7.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7.1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proyectos de investigación, extensión y acción social orientados a generar conocimientos para la solución de problemas prioritarios del país, en procura del mejoramiento de la calidad de vida y la edificación de una sociedad más justa y solidaria.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7.2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 definirá una estrategia de búsqueda de recursos financieros a nivel nacional e internacional, para reforzar el desarrollo de la docencia, la investigación, la extensión, la cooperación, el intercambio estudiantil, la acción social, la innovación, el desarrollo científico y tecnológico y el desarrollo territorial.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8. 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Se ofrecerán los programa y servicios existentes para el ingreso, la formación integral, el bienestar estudiantil y la graduación exitosa del estudiantado bajo parámetros de calidad y rendición de cuentas.</w:t>
            </w:r>
          </w:p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8.2.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Se mantendrán las acciones en la comunidad </w:t>
            </w:r>
            <w:proofErr w:type="gramStart"/>
            <w:r w:rsidRPr="00BE62EA">
              <w:rPr>
                <w:rFonts w:ascii="Arial" w:hAnsi="Arial" w:cs="Arial"/>
                <w:sz w:val="20"/>
                <w:szCs w:val="20"/>
              </w:rPr>
              <w:t>Institucional,  que</w:t>
            </w:r>
            <w:proofErr w:type="gramEnd"/>
            <w:r w:rsidRPr="00BE62EA">
              <w:rPr>
                <w:rFonts w:ascii="Arial" w:hAnsi="Arial" w:cs="Arial"/>
                <w:sz w:val="20"/>
                <w:szCs w:val="20"/>
              </w:rPr>
              <w:t xml:space="preserve"> fortalezcan una vida estudiantil integral e impulsen la equidad e igualdad de oportunidades bajo parámetros de calidad y rendición de cuentas.</w:t>
            </w:r>
          </w:p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9. 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9.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estimulará en los  procesos de enseñanza aprendizaje la participación estudiantil en actividades y proyectos  de investigación, extensión y acción social.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10.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Se mantendrá la vinculación permanente con los graduados con el propósito de retroalimentar el quehacer institucional y de fomentar su incorporación exitosa en el mercado laboral.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10.1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promoverá el desarrollo de actividades de vinculación con los graduados, para fortalecer el quehacer institucional</w:t>
            </w:r>
            <w:r w:rsidRPr="00BE62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62EA" w:rsidRPr="00BE62EA" w:rsidTr="00CF5705">
        <w:tc>
          <w:tcPr>
            <w:tcW w:w="2286" w:type="pct"/>
            <w:vMerge/>
            <w:vAlign w:val="center"/>
          </w:tcPr>
          <w:p w:rsidR="00BE62EA" w:rsidRPr="00BE62EA" w:rsidRDefault="00BE62EA" w:rsidP="00BE62EA">
            <w:pPr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10.2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programas de educación continua para los graduados, según las necesidades vigentes del sector laboral y las necesidades del  país</w:t>
            </w:r>
            <w:r w:rsidRPr="00BE62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62EA" w:rsidRPr="00BE62EA" w:rsidTr="00CF5705">
        <w:tc>
          <w:tcPr>
            <w:tcW w:w="2286" w:type="pct"/>
            <w:vAlign w:val="center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11.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 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. 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>Se fomentará la prestación de servicios en campos especializados, desde las competencias académicas de cada unidad operativa, con carácter remunerado a nivel nacional e internacional.</w:t>
            </w: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 12. 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>12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.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asignarán recursos para atender los proyectos o actividades prioritarias de extensión y acción social, que respondan a las necesidades de los diferentes sectores bajo parámetros de calidad y rendición de cuentas.</w:t>
            </w: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13.  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fortalecerá el trabajo conjunto  en áreas estratégicas con las universidades que conforman el Sistema de  Educación Superior Universitario Público.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13.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actividades, proyectos o programas conjuntos entre las universidades que conforman el Sistema de Educación Superior Universitario Público, bajo parámetros de calidad y rendición de cuentas.</w:t>
            </w: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14.  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14.</w:t>
            </w:r>
            <w:r w:rsidRPr="00BE62EA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programas de capacitación y formación a la comunidad institucional en la formulación, el desarrollo sostenible y la administración de proyectos, que contribuyan al logro de los objetivos institucionales acordes con la realidad nacional.</w:t>
            </w:r>
          </w:p>
        </w:tc>
      </w:tr>
      <w:tr w:rsidR="00BE62EA" w:rsidRPr="00BE62EA" w:rsidTr="00CF5705">
        <w:tc>
          <w:tcPr>
            <w:tcW w:w="2286" w:type="pct"/>
            <w:vMerge w:val="restar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15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. Los </w:t>
            </w:r>
            <w:r w:rsidRPr="00BE62EA">
              <w:rPr>
                <w:rFonts w:ascii="Arial" w:hAnsi="Arial" w:cs="Arial"/>
                <w:sz w:val="20"/>
                <w:szCs w:val="20"/>
                <w:u w:val="single"/>
                <w:lang w:val="es-CR"/>
              </w:rPr>
              <w:t>procesos institucionales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se desarrollarán con </w:t>
            </w:r>
            <w:r w:rsidRPr="00BE62EA">
              <w:rPr>
                <w:rFonts w:ascii="Arial" w:hAnsi="Arial" w:cs="Arial"/>
                <w:sz w:val="20"/>
                <w:szCs w:val="20"/>
                <w:u w:val="single"/>
                <w:lang w:val="es-CR"/>
              </w:rPr>
              <w:t>excelencia, sustentados en la evaluación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 continua que involucre a los usuarios directos.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15.1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promoverá la incorporación de buenas prácticas de gestión orientadas al mejoramiento de los procesos, los proyectos y las funciones que se desarrollan en la Institución, dando prioridad a aquellos que tengan alto impacto en la relación con los usuarios directos. 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.2.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establecerán indicadores de calidad, eficiencia y eficacia en procesos estratégicos institucionales.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.3.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acciones enfocadas en la construcción de una cultura institucional de rendición de cuentas.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.4. 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Se implantarán acciones para incrementar el número de servicios evaluados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con la participación de los usuarios directos.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15.5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optimizará el uso y desarrollo de sistemas de información que permitan integrar  los procesos y sistemas institucionales.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15.6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 xml:space="preserve">Se desarrollarán acciones para atender los hallazgos que las auditorías externas han señalado al Instituto Tecnológico de Costa Rica en la gobernanza de las </w:t>
            </w:r>
            <w:proofErr w:type="spellStart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TIC´s</w:t>
            </w:r>
            <w:proofErr w:type="spellEnd"/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</w:tr>
      <w:tr w:rsidR="00BE62EA" w:rsidRPr="00BE62EA" w:rsidTr="00CF5705">
        <w:tc>
          <w:tcPr>
            <w:tcW w:w="2286" w:type="pct"/>
            <w:vMerge w:val="restart"/>
            <w:vAlign w:val="center"/>
          </w:tcPr>
          <w:p w:rsidR="00BE62EA" w:rsidRPr="00BE62EA" w:rsidRDefault="00BE62EA" w:rsidP="00BE62E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16.  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ejecutarán los recursos asignados a la Institución de manera oportuna, eficiente,   racional y transparente y se promoverá la consecución de fondos nacionales e internacionales que favorezcan el desarrollo y el impacto del quehacer  de la Institución en la sociedad.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16.1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establecerá un riguroso proceso de planificación, a corto, mediano y largo plazo, incluyendo  seguimiento y evaluación  de todas las actividades fundamentales del ITCR, respondiendo a las necesidades fundamentales del país bajo parámetros de calidad y rendición de cuentas.</w:t>
            </w:r>
          </w:p>
        </w:tc>
      </w:tr>
      <w:tr w:rsidR="00BE62EA" w:rsidRPr="00BE62EA" w:rsidTr="00CF5705">
        <w:tc>
          <w:tcPr>
            <w:tcW w:w="2286" w:type="pct"/>
            <w:vMerge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120"/>
              <w:ind w:right="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  <w:r w:rsidRPr="00BE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 una rendición de cuentas a nivel nacional y territorial de los aportes del ITCR en los diferentes territorios.</w:t>
            </w:r>
          </w:p>
        </w:tc>
      </w:tr>
      <w:tr w:rsidR="00BE62EA" w:rsidRPr="00BE62EA" w:rsidTr="00CF5705">
        <w:tc>
          <w:tcPr>
            <w:tcW w:w="2286" w:type="pct"/>
          </w:tcPr>
          <w:p w:rsidR="00BE62EA" w:rsidRPr="00BE62EA" w:rsidRDefault="00BE62EA" w:rsidP="00BE62EA">
            <w:pPr>
              <w:spacing w:before="240" w:after="240"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 xml:space="preserve">17.  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desarrollarán acciones en  distintas regiones para ampliar el acceso a la educación superior y contribuir con el desarrollo integral de la población, con atención a  necesidades de grupos vulnerables, en condición de desventaja social</w:t>
            </w:r>
          </w:p>
        </w:tc>
        <w:tc>
          <w:tcPr>
            <w:tcW w:w="2714" w:type="pct"/>
          </w:tcPr>
          <w:p w:rsidR="00BE62EA" w:rsidRPr="00BE62EA" w:rsidRDefault="00BE62EA" w:rsidP="00BE62EA">
            <w:pPr>
              <w:spacing w:before="240" w:after="240" w:line="252" w:lineRule="auto"/>
              <w:ind w:right="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2EA">
              <w:rPr>
                <w:rFonts w:ascii="Arial" w:hAnsi="Arial" w:cs="Arial"/>
                <w:b/>
                <w:bCs/>
                <w:sz w:val="20"/>
                <w:szCs w:val="20"/>
                <w:lang w:val="es-CR"/>
              </w:rPr>
              <w:t>17.</w:t>
            </w:r>
            <w:r w:rsidRPr="00BE62EA">
              <w:rPr>
                <w:rFonts w:ascii="Arial" w:hAnsi="Arial" w:cs="Arial"/>
                <w:bCs/>
                <w:sz w:val="20"/>
                <w:szCs w:val="20"/>
                <w:lang w:val="es-CR"/>
              </w:rPr>
              <w:t xml:space="preserve"> </w:t>
            </w:r>
            <w:r w:rsidRPr="00BE62EA">
              <w:rPr>
                <w:rFonts w:ascii="Arial" w:hAnsi="Arial" w:cs="Arial"/>
                <w:sz w:val="20"/>
                <w:szCs w:val="20"/>
                <w:lang w:val="es-CR"/>
              </w:rPr>
              <w:t>Se continuará desarrollando actividades y acciones para atender las regiones del país, para favorecer el acceso y fomentar el bienestar de las poblaciones de grupos vulnerables o en condición de desventaja social.</w:t>
            </w:r>
          </w:p>
        </w:tc>
      </w:tr>
    </w:tbl>
    <w:p w:rsidR="00BE62EA" w:rsidRPr="00BE62EA" w:rsidRDefault="00BE62EA" w:rsidP="00BE62EA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BE62EA" w:rsidRPr="00BE62EA" w:rsidRDefault="00BE62EA" w:rsidP="00BE62EA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BE62EA" w:rsidRPr="00BE62EA" w:rsidRDefault="00BE62EA" w:rsidP="00BE62EA">
      <w:pPr>
        <w:numPr>
          <w:ilvl w:val="0"/>
          <w:numId w:val="7"/>
        </w:numPr>
        <w:ind w:left="378" w:right="-91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>Indicar que las observaciones o recomendaciones en el marco de esta consulta pueden ser planteadas</w:t>
      </w:r>
      <w:r>
        <w:rPr>
          <w:rFonts w:ascii="Arial" w:hAnsi="Arial" w:cs="Arial"/>
          <w:lang w:val="es-CR"/>
        </w:rPr>
        <w:t>,</w:t>
      </w:r>
      <w:r w:rsidRPr="00BE62EA">
        <w:rPr>
          <w:rFonts w:ascii="Arial" w:hAnsi="Arial" w:cs="Arial"/>
          <w:lang w:val="es-CR"/>
        </w:rPr>
        <w:t xml:space="preserve"> tanto por los órganos e instancias formales de la Institución, como por cualquiera de las personas que forman parte de la comunidad institucional</w:t>
      </w:r>
      <w:r>
        <w:rPr>
          <w:rFonts w:ascii="Arial" w:hAnsi="Arial" w:cs="Arial"/>
          <w:lang w:val="es-CR"/>
        </w:rPr>
        <w:t>,</w:t>
      </w:r>
      <w:r w:rsidRPr="00BE62EA">
        <w:rPr>
          <w:rFonts w:ascii="Arial" w:hAnsi="Arial" w:cs="Arial"/>
          <w:lang w:val="es-CR"/>
        </w:rPr>
        <w:t xml:space="preserve"> en su carácter individual.</w:t>
      </w:r>
    </w:p>
    <w:p w:rsidR="00BE62EA" w:rsidRPr="00BE62EA" w:rsidRDefault="00BE62EA" w:rsidP="00BE62EA">
      <w:pPr>
        <w:ind w:left="18" w:right="-91"/>
        <w:jc w:val="both"/>
        <w:rPr>
          <w:rFonts w:ascii="Arial" w:hAnsi="Arial" w:cs="Arial"/>
          <w:lang w:val="es-CR"/>
        </w:rPr>
      </w:pPr>
    </w:p>
    <w:p w:rsidR="00BE62EA" w:rsidRPr="00BE62EA" w:rsidRDefault="00BE62EA" w:rsidP="007742A1">
      <w:pPr>
        <w:numPr>
          <w:ilvl w:val="0"/>
          <w:numId w:val="7"/>
        </w:numPr>
        <w:ind w:left="378" w:right="-91"/>
        <w:jc w:val="both"/>
        <w:rPr>
          <w:rFonts w:ascii="Arial" w:hAnsi="Arial" w:cs="Arial"/>
          <w:lang w:val="es-CR"/>
        </w:rPr>
      </w:pPr>
      <w:r w:rsidRPr="00BE62EA">
        <w:rPr>
          <w:rFonts w:ascii="Arial" w:hAnsi="Arial" w:cs="Arial"/>
          <w:lang w:val="es-CR"/>
        </w:rPr>
        <w:t xml:space="preserve">Establecer que las observaciones o recomendaciones deben ser presentadas mediante el correo electrónico </w:t>
      </w:r>
      <w:hyperlink r:id="rId8" w:history="1">
        <w:r w:rsidRPr="00BE62EA">
          <w:rPr>
            <w:rFonts w:ascii="Arial" w:hAnsi="Arial" w:cs="Arial"/>
            <w:u w:val="single"/>
            <w:lang w:val="es-CR"/>
          </w:rPr>
          <w:t>secretariaci@itcr.ac.cr</w:t>
        </w:r>
      </w:hyperlink>
      <w:r w:rsidRPr="00BE62EA">
        <w:rPr>
          <w:rFonts w:ascii="Arial" w:hAnsi="Arial" w:cs="Arial"/>
          <w:lang w:val="es-CR"/>
        </w:rPr>
        <w:t xml:space="preserve"> y a más tardar el 22 de noviembre  de 2018.</w:t>
      </w:r>
      <w:bookmarkEnd w:id="0"/>
      <w:bookmarkEnd w:id="1"/>
      <w:bookmarkEnd w:id="2"/>
    </w:p>
    <w:p w:rsidR="00110466" w:rsidRPr="00F548D2" w:rsidRDefault="00110466" w:rsidP="007742A1">
      <w:pPr>
        <w:jc w:val="both"/>
        <w:rPr>
          <w:rFonts w:ascii="Arial" w:eastAsia="Cambria" w:hAnsi="Arial" w:cs="Arial"/>
          <w:lang w:val="es-CR" w:eastAsia="en-US"/>
        </w:rPr>
      </w:pPr>
    </w:p>
    <w:p w:rsidR="00215C41" w:rsidRPr="00BE62EA" w:rsidRDefault="00BB6A5E" w:rsidP="00BE62EA">
      <w:pPr>
        <w:numPr>
          <w:ilvl w:val="0"/>
          <w:numId w:val="7"/>
        </w:numPr>
        <w:ind w:left="378" w:right="-91"/>
        <w:jc w:val="both"/>
        <w:rPr>
          <w:rFonts w:ascii="Arial" w:hAnsi="Arial" w:cs="Arial"/>
        </w:rPr>
      </w:pPr>
      <w:r w:rsidRPr="00F41044">
        <w:rPr>
          <w:rFonts w:ascii="Arial" w:eastAsia="Cambria" w:hAnsi="Arial" w:cs="Arial"/>
          <w:lang w:eastAsia="en-US"/>
        </w:rPr>
        <w:t>Comunicar</w:t>
      </w:r>
      <w:r w:rsidRPr="002204D7">
        <w:rPr>
          <w:rFonts w:ascii="Arial" w:hAnsi="Arial" w:cs="Arial"/>
          <w:lang w:val="es-CR"/>
        </w:rPr>
        <w:t xml:space="preserve">. </w:t>
      </w:r>
      <w:r>
        <w:rPr>
          <w:rFonts w:ascii="Arial" w:hAnsi="Arial" w:cs="Arial"/>
          <w:b/>
          <w:lang w:val="es-CR"/>
        </w:rPr>
        <w:t xml:space="preserve"> ACUERDO FIRME.</w:t>
      </w:r>
    </w:p>
    <w:p w:rsidR="00BE62EA" w:rsidRDefault="00BE62EA" w:rsidP="00BE62EA">
      <w:pPr>
        <w:pStyle w:val="Prrafodelista"/>
        <w:rPr>
          <w:rFonts w:ascii="Arial" w:hAnsi="Arial" w:cs="Arial"/>
        </w:rPr>
      </w:pPr>
    </w:p>
    <w:p w:rsidR="00BE62EA" w:rsidRPr="00BE62EA" w:rsidRDefault="00BE62EA" w:rsidP="00BE62EA">
      <w:pPr>
        <w:ind w:left="378" w:right="-91"/>
        <w:jc w:val="both"/>
        <w:rPr>
          <w:rFonts w:ascii="Arial" w:hAnsi="Arial" w:cs="Arial"/>
        </w:rPr>
      </w:pPr>
    </w:p>
    <w:p w:rsidR="00BE62EA" w:rsidRDefault="00BE62EA" w:rsidP="00BE62EA">
      <w:pPr>
        <w:spacing w:after="160" w:line="259" w:lineRule="auto"/>
        <w:contextualSpacing/>
        <w:jc w:val="both"/>
        <w:rPr>
          <w:rFonts w:ascii="Arial" w:hAnsi="Arial" w:cs="Arial"/>
          <w:b/>
          <w:lang w:val="es-CR"/>
        </w:rPr>
      </w:pPr>
    </w:p>
    <w:p w:rsidR="00BE62EA" w:rsidRPr="00BE62EA" w:rsidRDefault="00BE62EA" w:rsidP="00BE62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R"/>
        </w:rPr>
      </w:pPr>
      <w:r w:rsidRPr="00BE62EA">
        <w:rPr>
          <w:rFonts w:ascii="Arial" w:hAnsi="Arial" w:cs="Arial"/>
          <w:b/>
          <w:sz w:val="22"/>
          <w:szCs w:val="22"/>
          <w:lang w:val="es-CR"/>
        </w:rPr>
        <w:t>PALABRAS CLAVE:  Consulta – Comunidad Institucional – Políticas – Específicas -  2020</w:t>
      </w:r>
    </w:p>
    <w:p w:rsidR="00A7618F" w:rsidRDefault="00A7618F" w:rsidP="00A7618F">
      <w:pPr>
        <w:pStyle w:val="Prrafodelista"/>
        <w:rPr>
          <w:rFonts w:ascii="Arial" w:hAnsi="Arial" w:cs="Arial"/>
        </w:rPr>
      </w:pPr>
    </w:p>
    <w:tbl>
      <w:tblPr>
        <w:tblpPr w:leftFromText="142" w:rightFromText="142" w:vertAnchor="text" w:horzAnchor="margin" w:tblpY="1"/>
        <w:tblOverlap w:val="never"/>
        <w:tblW w:w="22547" w:type="dxa"/>
        <w:tblLook w:val="04A0" w:firstRow="1" w:lastRow="0" w:firstColumn="1" w:lastColumn="0" w:noHBand="0" w:noVBand="1"/>
      </w:tblPr>
      <w:tblGrid>
        <w:gridCol w:w="4361"/>
        <w:gridCol w:w="4361"/>
        <w:gridCol w:w="4361"/>
        <w:gridCol w:w="4361"/>
        <w:gridCol w:w="742"/>
        <w:gridCol w:w="4361"/>
      </w:tblGrid>
      <w:tr w:rsidR="00CE7F7E" w:rsidRPr="00474B22" w:rsidTr="004411B2">
        <w:trPr>
          <w:trHeight w:val="183"/>
        </w:trPr>
        <w:tc>
          <w:tcPr>
            <w:tcW w:w="4361" w:type="dxa"/>
          </w:tcPr>
          <w:p w:rsidR="00AC372A" w:rsidRPr="00AC372A" w:rsidRDefault="00AC372A" w:rsidP="003859C1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  <w:tr w:rsidR="00CE7F7E" w:rsidRPr="00474B22" w:rsidTr="004411B2">
        <w:trPr>
          <w:gridAfter w:val="1"/>
          <w:wAfter w:w="4361" w:type="dxa"/>
          <w:trHeight w:val="183"/>
        </w:trPr>
        <w:tc>
          <w:tcPr>
            <w:tcW w:w="4361" w:type="dxa"/>
          </w:tcPr>
          <w:p w:rsidR="00F4695B" w:rsidRPr="00474B22" w:rsidRDefault="00F4695B" w:rsidP="00EB0F8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D23962">
            <w:pPr>
              <w:ind w:left="720" w:hanging="720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</w:p>
        </w:tc>
        <w:tc>
          <w:tcPr>
            <w:tcW w:w="4361" w:type="dxa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CE7F7E" w:rsidRPr="00474B22" w:rsidRDefault="00CE7F7E" w:rsidP="004411B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:rsidR="00885F0A" w:rsidRDefault="00EB0F82" w:rsidP="00885F0A">
      <w:pPr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proofErr w:type="spellStart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>c.i.</w:t>
      </w:r>
      <w:proofErr w:type="spellEnd"/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   </w:t>
      </w:r>
      <w:r w:rsidR="00D23962"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>Auditoría Interna (Notificado a la Secretaria vía correo electrónico)</w:t>
      </w:r>
    </w:p>
    <w:p w:rsidR="0003651A" w:rsidRPr="00D31E17" w:rsidRDefault="00C413F4" w:rsidP="00F41044">
      <w:pPr>
        <w:jc w:val="both"/>
        <w:rPr>
          <w:rFonts w:ascii="Arial" w:eastAsia="Cambria" w:hAnsi="Arial" w:cs="Arial"/>
          <w:b/>
          <w:sz w:val="16"/>
          <w:szCs w:val="16"/>
          <w:lang w:val="es-CR" w:eastAsia="en-US"/>
        </w:rPr>
      </w:pPr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        </w:t>
      </w:r>
      <w:r w:rsidR="00956670" w:rsidRPr="00C413F4">
        <w:rPr>
          <w:rFonts w:ascii="Arial" w:eastAsia="Cambria" w:hAnsi="Arial" w:cs="Arial"/>
          <w:b/>
          <w:sz w:val="16"/>
          <w:szCs w:val="16"/>
          <w:lang w:val="es-CR" w:eastAsia="en-US"/>
        </w:rPr>
        <w:t xml:space="preserve"> </w:t>
      </w:r>
    </w:p>
    <w:p w:rsidR="00F41044" w:rsidRPr="00C413F4" w:rsidRDefault="00F41044" w:rsidP="00F41044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C413F4">
        <w:rPr>
          <w:rFonts w:ascii="Arial" w:eastAsia="Cambria" w:hAnsi="Arial" w:cs="Arial"/>
          <w:sz w:val="22"/>
          <w:szCs w:val="22"/>
          <w:lang w:val="en-US" w:eastAsia="en-US"/>
        </w:rPr>
        <w:t>ars</w:t>
      </w:r>
      <w:proofErr w:type="spellEnd"/>
      <w:proofErr w:type="gramEnd"/>
      <w:r w:rsidR="00885F0A" w:rsidRPr="00C413F4">
        <w:rPr>
          <w:rFonts w:ascii="Arial" w:hAnsi="Arial" w:cs="Arial"/>
          <w:lang w:val="en-US"/>
        </w:rPr>
        <w:t xml:space="preserve"> </w:t>
      </w:r>
    </w:p>
    <w:p w:rsidR="002C0D34" w:rsidRPr="00C413F4" w:rsidRDefault="002C0D34" w:rsidP="00F41044">
      <w:pPr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</w:p>
    <w:sectPr w:rsidR="002C0D34" w:rsidRPr="00C413F4" w:rsidSect="00CE0215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69" w:rsidRDefault="000A5F69">
      <w:r>
        <w:separator/>
      </w:r>
    </w:p>
  </w:endnote>
  <w:endnote w:type="continuationSeparator" w:id="0">
    <w:p w:rsidR="000A5F69" w:rsidRDefault="000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6538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Default="003538E7">
    <w:pPr>
      <w:pStyle w:val="Piedepgina"/>
      <w:jc w:val="center"/>
    </w:pPr>
  </w:p>
  <w:p w:rsidR="003538E7" w:rsidRDefault="00353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69" w:rsidRDefault="000A5F69">
      <w:r>
        <w:separator/>
      </w:r>
    </w:p>
  </w:footnote>
  <w:footnote w:type="continuationSeparator" w:id="0">
    <w:p w:rsidR="000A5F69" w:rsidRDefault="000A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E7" w:rsidRPr="00D958BC" w:rsidRDefault="003538E7" w:rsidP="007742A1">
    <w:pPr>
      <w:ind w:right="-40"/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</w:pPr>
    <w:r w:rsidRPr="00D958BC"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  <w:t>COMUNICACIÓN DE ACUERDO</w:t>
    </w:r>
  </w:p>
  <w:p w:rsidR="003538E7" w:rsidRPr="00D958BC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Sesión Ordinaria No. 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30</w:t>
    </w:r>
    <w:r w:rsidR="008F0835">
      <w:rPr>
        <w:rFonts w:ascii="Arial" w:eastAsia="Cambria" w:hAnsi="Arial" w:cs="Arial"/>
        <w:i/>
        <w:sz w:val="18"/>
        <w:szCs w:val="18"/>
        <w:lang w:val="es-ES_tradnl" w:eastAsia="x-none"/>
      </w:rPr>
      <w:t>9</w:t>
    </w:r>
    <w:r w:rsidR="00BE62EA">
      <w:rPr>
        <w:rFonts w:ascii="Arial" w:eastAsia="Cambria" w:hAnsi="Arial" w:cs="Arial"/>
        <w:i/>
        <w:sz w:val="18"/>
        <w:szCs w:val="18"/>
        <w:lang w:val="es-ES_tradnl" w:eastAsia="x-none"/>
      </w:rPr>
      <w:t>6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, Artículo </w:t>
    </w:r>
    <w:r w:rsidR="00621218">
      <w:rPr>
        <w:rFonts w:ascii="Arial" w:eastAsia="Cambria" w:hAnsi="Arial" w:cs="Arial"/>
        <w:i/>
        <w:sz w:val="18"/>
        <w:szCs w:val="18"/>
        <w:lang w:val="es-ES_tradnl" w:eastAsia="x-none"/>
      </w:rPr>
      <w:t>1</w:t>
    </w:r>
    <w:r w:rsidR="00BE62EA">
      <w:rPr>
        <w:rFonts w:ascii="Arial" w:eastAsia="Cambria" w:hAnsi="Arial" w:cs="Arial"/>
        <w:i/>
        <w:sz w:val="18"/>
        <w:szCs w:val="18"/>
        <w:lang w:val="es-ES_tradnl" w:eastAsia="x-none"/>
      </w:rPr>
      <w:t>1,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del </w:t>
    </w:r>
    <w:r w:rsidR="00BE62EA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07 de noviembre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>de 201</w:t>
    </w:r>
    <w:r w:rsidR="003B6DC0">
      <w:rPr>
        <w:rFonts w:ascii="Arial" w:eastAsia="Cambria" w:hAnsi="Arial" w:cs="Arial"/>
        <w:i/>
        <w:sz w:val="18"/>
        <w:szCs w:val="18"/>
        <w:lang w:val="es-ES_tradnl" w:eastAsia="x-none"/>
      </w:rPr>
      <w:t>8</w:t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Página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begin"/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instrText xml:space="preserve"> PAGE   \* MERGEFORMAT </w:instrTex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separate"/>
    </w:r>
    <w:r w:rsidR="00D53770">
      <w:rPr>
        <w:rFonts w:ascii="Arial" w:eastAsia="Cambria" w:hAnsi="Arial" w:cs="Arial"/>
        <w:i/>
        <w:noProof/>
        <w:sz w:val="18"/>
        <w:szCs w:val="18"/>
        <w:lang w:val="es-ES_tradnl" w:eastAsia="x-none"/>
      </w:rPr>
      <w:t>10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end"/>
    </w:r>
  </w:p>
  <w:p w:rsidR="003538E7" w:rsidRDefault="003538E7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8001B"/>
    <w:multiLevelType w:val="hybridMultilevel"/>
    <w:tmpl w:val="37A40CA0"/>
    <w:lvl w:ilvl="0" w:tplc="C4BE44F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988"/>
    <w:multiLevelType w:val="multilevel"/>
    <w:tmpl w:val="A866C36E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0DC86D3F"/>
    <w:multiLevelType w:val="hybridMultilevel"/>
    <w:tmpl w:val="1786D6A6"/>
    <w:lvl w:ilvl="0" w:tplc="245087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E21A9"/>
    <w:multiLevelType w:val="hybridMultilevel"/>
    <w:tmpl w:val="A83C82D2"/>
    <w:lvl w:ilvl="0" w:tplc="5BD8F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5814EE"/>
    <w:multiLevelType w:val="hybridMultilevel"/>
    <w:tmpl w:val="1C52E866"/>
    <w:lvl w:ilvl="0" w:tplc="06D21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319D"/>
    <w:multiLevelType w:val="hybridMultilevel"/>
    <w:tmpl w:val="F67A4DF4"/>
    <w:lvl w:ilvl="0" w:tplc="330485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4300"/>
    <w:multiLevelType w:val="hybridMultilevel"/>
    <w:tmpl w:val="6E1C8A38"/>
    <w:lvl w:ilvl="0" w:tplc="1C8CA7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269D0"/>
    <w:multiLevelType w:val="hybridMultilevel"/>
    <w:tmpl w:val="B9928B5C"/>
    <w:lvl w:ilvl="0" w:tplc="844A81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073" w:hanging="360"/>
      </w:pPr>
    </w:lvl>
    <w:lvl w:ilvl="2" w:tplc="140A001B" w:tentative="1">
      <w:start w:val="1"/>
      <w:numFmt w:val="lowerRoman"/>
      <w:lvlText w:val="%3."/>
      <w:lvlJc w:val="right"/>
      <w:pPr>
        <w:ind w:left="2793" w:hanging="180"/>
      </w:pPr>
    </w:lvl>
    <w:lvl w:ilvl="3" w:tplc="140A000F" w:tentative="1">
      <w:start w:val="1"/>
      <w:numFmt w:val="decimal"/>
      <w:lvlText w:val="%4."/>
      <w:lvlJc w:val="left"/>
      <w:pPr>
        <w:ind w:left="3513" w:hanging="360"/>
      </w:pPr>
    </w:lvl>
    <w:lvl w:ilvl="4" w:tplc="140A0019" w:tentative="1">
      <w:start w:val="1"/>
      <w:numFmt w:val="lowerLetter"/>
      <w:lvlText w:val="%5."/>
      <w:lvlJc w:val="left"/>
      <w:pPr>
        <w:ind w:left="4233" w:hanging="360"/>
      </w:pPr>
    </w:lvl>
    <w:lvl w:ilvl="5" w:tplc="140A001B" w:tentative="1">
      <w:start w:val="1"/>
      <w:numFmt w:val="lowerRoman"/>
      <w:lvlText w:val="%6."/>
      <w:lvlJc w:val="right"/>
      <w:pPr>
        <w:ind w:left="4953" w:hanging="180"/>
      </w:pPr>
    </w:lvl>
    <w:lvl w:ilvl="6" w:tplc="140A000F" w:tentative="1">
      <w:start w:val="1"/>
      <w:numFmt w:val="decimal"/>
      <w:lvlText w:val="%7."/>
      <w:lvlJc w:val="left"/>
      <w:pPr>
        <w:ind w:left="5673" w:hanging="360"/>
      </w:pPr>
    </w:lvl>
    <w:lvl w:ilvl="7" w:tplc="140A0019" w:tentative="1">
      <w:start w:val="1"/>
      <w:numFmt w:val="lowerLetter"/>
      <w:lvlText w:val="%8."/>
      <w:lvlJc w:val="left"/>
      <w:pPr>
        <w:ind w:left="6393" w:hanging="360"/>
      </w:pPr>
    </w:lvl>
    <w:lvl w:ilvl="8" w:tplc="1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5C86636"/>
    <w:multiLevelType w:val="hybridMultilevel"/>
    <w:tmpl w:val="DEF2A6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7ED4"/>
    <w:multiLevelType w:val="hybridMultilevel"/>
    <w:tmpl w:val="ED28A224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62C"/>
    <w:multiLevelType w:val="hybridMultilevel"/>
    <w:tmpl w:val="ED28A224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26E8"/>
    <w:multiLevelType w:val="hybridMultilevel"/>
    <w:tmpl w:val="4B2C2796"/>
    <w:lvl w:ilvl="0" w:tplc="030E7B34">
      <w:start w:val="1"/>
      <w:numFmt w:val="decimal"/>
      <w:lvlText w:val="%1."/>
      <w:lvlJc w:val="left"/>
      <w:pPr>
        <w:ind w:left="6172" w:hanging="360"/>
      </w:pPr>
      <w:rPr>
        <w:rFonts w:hint="default"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132F"/>
    <w:multiLevelType w:val="hybridMultilevel"/>
    <w:tmpl w:val="4F26F5E4"/>
    <w:lvl w:ilvl="0" w:tplc="BECE6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427F0"/>
    <w:multiLevelType w:val="hybridMultilevel"/>
    <w:tmpl w:val="93DE44FE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F1C0F"/>
    <w:multiLevelType w:val="hybridMultilevel"/>
    <w:tmpl w:val="79448BA6"/>
    <w:lvl w:ilvl="0" w:tplc="F3DA9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40198"/>
    <w:multiLevelType w:val="hybridMultilevel"/>
    <w:tmpl w:val="92DA360A"/>
    <w:lvl w:ilvl="0" w:tplc="DF344760">
      <w:start w:val="1"/>
      <w:numFmt w:val="upperRoman"/>
      <w:lvlText w:val="%1."/>
      <w:lvlJc w:val="left"/>
      <w:pPr>
        <w:ind w:left="720" w:hanging="72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3178C"/>
    <w:multiLevelType w:val="hybridMultilevel"/>
    <w:tmpl w:val="0FFA5260"/>
    <w:lvl w:ilvl="0" w:tplc="140A0017">
      <w:start w:val="1"/>
      <w:numFmt w:val="lowerLetter"/>
      <w:lvlText w:val="%1)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BE47362"/>
    <w:multiLevelType w:val="hybridMultilevel"/>
    <w:tmpl w:val="B642979E"/>
    <w:lvl w:ilvl="0" w:tplc="2DE29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3214D"/>
    <w:multiLevelType w:val="hybridMultilevel"/>
    <w:tmpl w:val="4C3888E2"/>
    <w:lvl w:ilvl="0" w:tplc="ADD8B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3422A"/>
    <w:multiLevelType w:val="hybridMultilevel"/>
    <w:tmpl w:val="1786D6A6"/>
    <w:lvl w:ilvl="0" w:tplc="24508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4CE6"/>
    <w:multiLevelType w:val="hybridMultilevel"/>
    <w:tmpl w:val="8A0EE344"/>
    <w:lvl w:ilvl="0" w:tplc="FDE4C5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TE1865388t00" w:hint="default"/>
        <w:b/>
        <w:i w:val="0"/>
        <w:sz w:val="24"/>
        <w:szCs w:val="24"/>
      </w:rPr>
    </w:lvl>
    <w:lvl w:ilvl="1" w:tplc="140A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786C3A"/>
    <w:multiLevelType w:val="hybridMultilevel"/>
    <w:tmpl w:val="5A888E58"/>
    <w:lvl w:ilvl="0" w:tplc="C804C934">
      <w:start w:val="1"/>
      <w:numFmt w:val="lowerLetter"/>
      <w:lvlText w:val="%1."/>
      <w:lvlJc w:val="left"/>
      <w:pPr>
        <w:tabs>
          <w:tab w:val="num" w:pos="400"/>
        </w:tabs>
        <w:ind w:left="400" w:hanging="360"/>
      </w:pPr>
      <w:rPr>
        <w:rFonts w:cs="Arial" w:hint="default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6CEC5D64"/>
    <w:multiLevelType w:val="hybridMultilevel"/>
    <w:tmpl w:val="D318E652"/>
    <w:lvl w:ilvl="0" w:tplc="60B21C56">
      <w:start w:val="1"/>
      <w:numFmt w:val="lowerLetter"/>
      <w:lvlText w:val="%1."/>
      <w:lvlJc w:val="left"/>
      <w:pPr>
        <w:ind w:left="720" w:hanging="360"/>
      </w:pPr>
      <w:rPr>
        <w:b/>
        <w:strike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A3189"/>
    <w:multiLevelType w:val="hybridMultilevel"/>
    <w:tmpl w:val="02582900"/>
    <w:lvl w:ilvl="0" w:tplc="7696D67A">
      <w:start w:val="1"/>
      <w:numFmt w:val="lowerLetter"/>
      <w:lvlText w:val="%1."/>
      <w:lvlJc w:val="left"/>
      <w:pPr>
        <w:ind w:left="68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09" w:hanging="360"/>
      </w:pPr>
    </w:lvl>
    <w:lvl w:ilvl="2" w:tplc="140A001B" w:tentative="1">
      <w:start w:val="1"/>
      <w:numFmt w:val="lowerRoman"/>
      <w:lvlText w:val="%3."/>
      <w:lvlJc w:val="right"/>
      <w:pPr>
        <w:ind w:left="2129" w:hanging="180"/>
      </w:pPr>
    </w:lvl>
    <w:lvl w:ilvl="3" w:tplc="140A000F" w:tentative="1">
      <w:start w:val="1"/>
      <w:numFmt w:val="decimal"/>
      <w:lvlText w:val="%4."/>
      <w:lvlJc w:val="left"/>
      <w:pPr>
        <w:ind w:left="2849" w:hanging="360"/>
      </w:pPr>
    </w:lvl>
    <w:lvl w:ilvl="4" w:tplc="140A0019" w:tentative="1">
      <w:start w:val="1"/>
      <w:numFmt w:val="lowerLetter"/>
      <w:lvlText w:val="%5."/>
      <w:lvlJc w:val="left"/>
      <w:pPr>
        <w:ind w:left="3569" w:hanging="360"/>
      </w:pPr>
    </w:lvl>
    <w:lvl w:ilvl="5" w:tplc="140A001B" w:tentative="1">
      <w:start w:val="1"/>
      <w:numFmt w:val="lowerRoman"/>
      <w:lvlText w:val="%6."/>
      <w:lvlJc w:val="right"/>
      <w:pPr>
        <w:ind w:left="4289" w:hanging="180"/>
      </w:pPr>
    </w:lvl>
    <w:lvl w:ilvl="6" w:tplc="140A000F" w:tentative="1">
      <w:start w:val="1"/>
      <w:numFmt w:val="decimal"/>
      <w:lvlText w:val="%7."/>
      <w:lvlJc w:val="left"/>
      <w:pPr>
        <w:ind w:left="5009" w:hanging="360"/>
      </w:pPr>
    </w:lvl>
    <w:lvl w:ilvl="7" w:tplc="140A0019" w:tentative="1">
      <w:start w:val="1"/>
      <w:numFmt w:val="lowerLetter"/>
      <w:lvlText w:val="%8."/>
      <w:lvlJc w:val="left"/>
      <w:pPr>
        <w:ind w:left="5729" w:hanging="360"/>
      </w:pPr>
    </w:lvl>
    <w:lvl w:ilvl="8" w:tplc="140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5" w15:restartNumberingAfterBreak="0">
    <w:nsid w:val="7713603E"/>
    <w:multiLevelType w:val="hybridMultilevel"/>
    <w:tmpl w:val="CF5A2F24"/>
    <w:lvl w:ilvl="0" w:tplc="EB220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1D12"/>
    <w:multiLevelType w:val="hybridMultilevel"/>
    <w:tmpl w:val="1EA897C8"/>
    <w:lvl w:ilvl="0" w:tplc="55C4C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11AF3"/>
    <w:multiLevelType w:val="hybridMultilevel"/>
    <w:tmpl w:val="12DE1FB0"/>
    <w:lvl w:ilvl="0" w:tplc="00E47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E382C"/>
    <w:multiLevelType w:val="hybridMultilevel"/>
    <w:tmpl w:val="B2781866"/>
    <w:lvl w:ilvl="0" w:tplc="C49E78C6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i w:val="0"/>
        <w:color w:val="auto"/>
        <w:sz w:val="24"/>
        <w:szCs w:val="24"/>
        <w:lang w:val="es-ES_tradnl"/>
      </w:rPr>
    </w:lvl>
    <w:lvl w:ilvl="1" w:tplc="140A0019">
      <w:start w:val="1"/>
      <w:numFmt w:val="lowerLetter"/>
      <w:lvlText w:val="%2."/>
      <w:lvlJc w:val="left"/>
      <w:pPr>
        <w:ind w:left="447" w:hanging="360"/>
      </w:pPr>
    </w:lvl>
    <w:lvl w:ilvl="2" w:tplc="140A001B" w:tentative="1">
      <w:start w:val="1"/>
      <w:numFmt w:val="lowerRoman"/>
      <w:lvlText w:val="%3."/>
      <w:lvlJc w:val="right"/>
      <w:pPr>
        <w:ind w:left="1167" w:hanging="180"/>
      </w:pPr>
    </w:lvl>
    <w:lvl w:ilvl="3" w:tplc="140A000F" w:tentative="1">
      <w:start w:val="1"/>
      <w:numFmt w:val="decimal"/>
      <w:lvlText w:val="%4."/>
      <w:lvlJc w:val="left"/>
      <w:pPr>
        <w:ind w:left="1887" w:hanging="360"/>
      </w:pPr>
    </w:lvl>
    <w:lvl w:ilvl="4" w:tplc="140A0019" w:tentative="1">
      <w:start w:val="1"/>
      <w:numFmt w:val="lowerLetter"/>
      <w:lvlText w:val="%5."/>
      <w:lvlJc w:val="left"/>
      <w:pPr>
        <w:ind w:left="2607" w:hanging="360"/>
      </w:pPr>
    </w:lvl>
    <w:lvl w:ilvl="5" w:tplc="140A001B" w:tentative="1">
      <w:start w:val="1"/>
      <w:numFmt w:val="lowerRoman"/>
      <w:lvlText w:val="%6."/>
      <w:lvlJc w:val="right"/>
      <w:pPr>
        <w:ind w:left="3327" w:hanging="180"/>
      </w:pPr>
    </w:lvl>
    <w:lvl w:ilvl="6" w:tplc="140A000F" w:tentative="1">
      <w:start w:val="1"/>
      <w:numFmt w:val="decimal"/>
      <w:lvlText w:val="%7."/>
      <w:lvlJc w:val="left"/>
      <w:pPr>
        <w:ind w:left="4047" w:hanging="360"/>
      </w:pPr>
    </w:lvl>
    <w:lvl w:ilvl="7" w:tplc="140A0019" w:tentative="1">
      <w:start w:val="1"/>
      <w:numFmt w:val="lowerLetter"/>
      <w:lvlText w:val="%8."/>
      <w:lvlJc w:val="left"/>
      <w:pPr>
        <w:ind w:left="4767" w:hanging="360"/>
      </w:pPr>
    </w:lvl>
    <w:lvl w:ilvl="8" w:tplc="14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9" w15:restartNumberingAfterBreak="0">
    <w:nsid w:val="7E972F00"/>
    <w:multiLevelType w:val="hybridMultilevel"/>
    <w:tmpl w:val="4F721C74"/>
    <w:lvl w:ilvl="0" w:tplc="FC6C57B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9"/>
  </w:num>
  <w:num w:numId="6">
    <w:abstractNumId w:val="8"/>
  </w:num>
  <w:num w:numId="7">
    <w:abstractNumId w:val="23"/>
  </w:num>
  <w:num w:numId="8">
    <w:abstractNumId w:val="10"/>
  </w:num>
  <w:num w:numId="9">
    <w:abstractNumId w:val="11"/>
  </w:num>
  <w:num w:numId="10">
    <w:abstractNumId w:val="22"/>
  </w:num>
  <w:num w:numId="11">
    <w:abstractNumId w:val="13"/>
  </w:num>
  <w:num w:numId="12">
    <w:abstractNumId w:val="19"/>
  </w:num>
  <w:num w:numId="13">
    <w:abstractNumId w:val="26"/>
  </w:num>
  <w:num w:numId="14">
    <w:abstractNumId w:val="17"/>
  </w:num>
  <w:num w:numId="15">
    <w:abstractNumId w:val="7"/>
  </w:num>
  <w:num w:numId="16">
    <w:abstractNumId w:val="2"/>
  </w:num>
  <w:num w:numId="17">
    <w:abstractNumId w:val="24"/>
  </w:num>
  <w:num w:numId="18">
    <w:abstractNumId w:val="14"/>
  </w:num>
  <w:num w:numId="19">
    <w:abstractNumId w:val="20"/>
  </w:num>
  <w:num w:numId="20">
    <w:abstractNumId w:val="6"/>
  </w:num>
  <w:num w:numId="21">
    <w:abstractNumId w:val="12"/>
  </w:num>
  <w:num w:numId="22">
    <w:abstractNumId w:val="4"/>
  </w:num>
  <w:num w:numId="23">
    <w:abstractNumId w:val="15"/>
  </w:num>
  <w:num w:numId="24">
    <w:abstractNumId w:val="3"/>
  </w:num>
  <w:num w:numId="25">
    <w:abstractNumId w:val="5"/>
  </w:num>
  <w:num w:numId="26">
    <w:abstractNumId w:val="29"/>
  </w:num>
  <w:num w:numId="27">
    <w:abstractNumId w:val="18"/>
  </w:num>
  <w:num w:numId="28">
    <w:abstractNumId w:val="25"/>
  </w:num>
  <w:num w:numId="29">
    <w:abstractNumId w:val="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7"/>
    <w:rsid w:val="000012C8"/>
    <w:rsid w:val="00001369"/>
    <w:rsid w:val="000040EF"/>
    <w:rsid w:val="000046BC"/>
    <w:rsid w:val="00004A0B"/>
    <w:rsid w:val="0000518D"/>
    <w:rsid w:val="0000683B"/>
    <w:rsid w:val="00010592"/>
    <w:rsid w:val="00011DBE"/>
    <w:rsid w:val="000120EB"/>
    <w:rsid w:val="000128E2"/>
    <w:rsid w:val="00017DE2"/>
    <w:rsid w:val="00020858"/>
    <w:rsid w:val="000213DD"/>
    <w:rsid w:val="00024564"/>
    <w:rsid w:val="00024BA5"/>
    <w:rsid w:val="000254A5"/>
    <w:rsid w:val="000256DE"/>
    <w:rsid w:val="00033918"/>
    <w:rsid w:val="00034CE3"/>
    <w:rsid w:val="000359F5"/>
    <w:rsid w:val="0003651A"/>
    <w:rsid w:val="00036DAC"/>
    <w:rsid w:val="000401D6"/>
    <w:rsid w:val="000414FE"/>
    <w:rsid w:val="000428F8"/>
    <w:rsid w:val="000437DE"/>
    <w:rsid w:val="00043B22"/>
    <w:rsid w:val="00044242"/>
    <w:rsid w:val="00047F2B"/>
    <w:rsid w:val="00050123"/>
    <w:rsid w:val="000602DE"/>
    <w:rsid w:val="00060CCC"/>
    <w:rsid w:val="000642E4"/>
    <w:rsid w:val="00067296"/>
    <w:rsid w:val="00067992"/>
    <w:rsid w:val="00067BE7"/>
    <w:rsid w:val="00067C8C"/>
    <w:rsid w:val="0007411A"/>
    <w:rsid w:val="00076DBD"/>
    <w:rsid w:val="00076EC1"/>
    <w:rsid w:val="00077028"/>
    <w:rsid w:val="00077BC7"/>
    <w:rsid w:val="00077D4B"/>
    <w:rsid w:val="0008022E"/>
    <w:rsid w:val="00080FD1"/>
    <w:rsid w:val="000813BE"/>
    <w:rsid w:val="00081BCF"/>
    <w:rsid w:val="000846DF"/>
    <w:rsid w:val="00084FDD"/>
    <w:rsid w:val="000856DA"/>
    <w:rsid w:val="00087607"/>
    <w:rsid w:val="00087623"/>
    <w:rsid w:val="000903CE"/>
    <w:rsid w:val="00090FDF"/>
    <w:rsid w:val="00091B7B"/>
    <w:rsid w:val="000934FF"/>
    <w:rsid w:val="00093971"/>
    <w:rsid w:val="000955C3"/>
    <w:rsid w:val="000A0756"/>
    <w:rsid w:val="000A0FF7"/>
    <w:rsid w:val="000A19B8"/>
    <w:rsid w:val="000A5D85"/>
    <w:rsid w:val="000A5F69"/>
    <w:rsid w:val="000A6BE8"/>
    <w:rsid w:val="000B10B4"/>
    <w:rsid w:val="000B10C0"/>
    <w:rsid w:val="000B39AF"/>
    <w:rsid w:val="000B55D7"/>
    <w:rsid w:val="000B5852"/>
    <w:rsid w:val="000B624C"/>
    <w:rsid w:val="000B6B41"/>
    <w:rsid w:val="000B7C5A"/>
    <w:rsid w:val="000C0A23"/>
    <w:rsid w:val="000C25EB"/>
    <w:rsid w:val="000C3E9F"/>
    <w:rsid w:val="000C52B7"/>
    <w:rsid w:val="000C55F1"/>
    <w:rsid w:val="000C68C0"/>
    <w:rsid w:val="000D1A31"/>
    <w:rsid w:val="000D220C"/>
    <w:rsid w:val="000D2AD1"/>
    <w:rsid w:val="000D34C2"/>
    <w:rsid w:val="000D5ACC"/>
    <w:rsid w:val="000D5C6B"/>
    <w:rsid w:val="000D6061"/>
    <w:rsid w:val="000D62F0"/>
    <w:rsid w:val="000D7162"/>
    <w:rsid w:val="000E1F4D"/>
    <w:rsid w:val="000E39E4"/>
    <w:rsid w:val="000E420E"/>
    <w:rsid w:val="000E4C68"/>
    <w:rsid w:val="000E4FED"/>
    <w:rsid w:val="000E5B14"/>
    <w:rsid w:val="000E6DC9"/>
    <w:rsid w:val="000F106C"/>
    <w:rsid w:val="000F1E1D"/>
    <w:rsid w:val="000F2A0F"/>
    <w:rsid w:val="000F4527"/>
    <w:rsid w:val="000F473C"/>
    <w:rsid w:val="000F490D"/>
    <w:rsid w:val="000F4B43"/>
    <w:rsid w:val="000F5572"/>
    <w:rsid w:val="000F5EFB"/>
    <w:rsid w:val="000F710B"/>
    <w:rsid w:val="000F7A0A"/>
    <w:rsid w:val="000F7FF1"/>
    <w:rsid w:val="00102A7F"/>
    <w:rsid w:val="00104E6C"/>
    <w:rsid w:val="00105392"/>
    <w:rsid w:val="00107032"/>
    <w:rsid w:val="00107C78"/>
    <w:rsid w:val="00110466"/>
    <w:rsid w:val="0011053E"/>
    <w:rsid w:val="001113FE"/>
    <w:rsid w:val="001125EE"/>
    <w:rsid w:val="00115853"/>
    <w:rsid w:val="00117C68"/>
    <w:rsid w:val="00121308"/>
    <w:rsid w:val="001237E1"/>
    <w:rsid w:val="001240CC"/>
    <w:rsid w:val="001248CE"/>
    <w:rsid w:val="001256AA"/>
    <w:rsid w:val="001272AF"/>
    <w:rsid w:val="001304BF"/>
    <w:rsid w:val="0013093C"/>
    <w:rsid w:val="001319DF"/>
    <w:rsid w:val="00132C08"/>
    <w:rsid w:val="00133EEB"/>
    <w:rsid w:val="00135EE8"/>
    <w:rsid w:val="001370D6"/>
    <w:rsid w:val="001370DB"/>
    <w:rsid w:val="001372BC"/>
    <w:rsid w:val="0013796E"/>
    <w:rsid w:val="00141B28"/>
    <w:rsid w:val="00143E80"/>
    <w:rsid w:val="00146F6F"/>
    <w:rsid w:val="00150F07"/>
    <w:rsid w:val="00153E19"/>
    <w:rsid w:val="00154839"/>
    <w:rsid w:val="00155121"/>
    <w:rsid w:val="00155891"/>
    <w:rsid w:val="00156111"/>
    <w:rsid w:val="001644B1"/>
    <w:rsid w:val="00165556"/>
    <w:rsid w:val="00165902"/>
    <w:rsid w:val="00165B51"/>
    <w:rsid w:val="00165C83"/>
    <w:rsid w:val="00165F34"/>
    <w:rsid w:val="00166375"/>
    <w:rsid w:val="00171AC3"/>
    <w:rsid w:val="001746E5"/>
    <w:rsid w:val="0018030A"/>
    <w:rsid w:val="001806C4"/>
    <w:rsid w:val="00182124"/>
    <w:rsid w:val="00187E00"/>
    <w:rsid w:val="00190010"/>
    <w:rsid w:val="001962C2"/>
    <w:rsid w:val="00196E82"/>
    <w:rsid w:val="001A0A20"/>
    <w:rsid w:val="001A214B"/>
    <w:rsid w:val="001A33C3"/>
    <w:rsid w:val="001A7DF9"/>
    <w:rsid w:val="001B1E0E"/>
    <w:rsid w:val="001B208D"/>
    <w:rsid w:val="001B59CC"/>
    <w:rsid w:val="001B7AB0"/>
    <w:rsid w:val="001C1124"/>
    <w:rsid w:val="001C1335"/>
    <w:rsid w:val="001C1C6A"/>
    <w:rsid w:val="001C54CE"/>
    <w:rsid w:val="001D40F5"/>
    <w:rsid w:val="001D7008"/>
    <w:rsid w:val="001E0224"/>
    <w:rsid w:val="001E08C0"/>
    <w:rsid w:val="001E0E52"/>
    <w:rsid w:val="001E11D4"/>
    <w:rsid w:val="001E1E49"/>
    <w:rsid w:val="001E3DCB"/>
    <w:rsid w:val="001E684C"/>
    <w:rsid w:val="001E69A6"/>
    <w:rsid w:val="001E69C9"/>
    <w:rsid w:val="001F0C0F"/>
    <w:rsid w:val="001F26FD"/>
    <w:rsid w:val="001F3C06"/>
    <w:rsid w:val="001F3E92"/>
    <w:rsid w:val="0020019E"/>
    <w:rsid w:val="00200318"/>
    <w:rsid w:val="0020223D"/>
    <w:rsid w:val="00202E06"/>
    <w:rsid w:val="00203662"/>
    <w:rsid w:val="0020429C"/>
    <w:rsid w:val="00204A01"/>
    <w:rsid w:val="00204A3D"/>
    <w:rsid w:val="00210743"/>
    <w:rsid w:val="002118B2"/>
    <w:rsid w:val="00212069"/>
    <w:rsid w:val="002127EE"/>
    <w:rsid w:val="002139D9"/>
    <w:rsid w:val="00215C41"/>
    <w:rsid w:val="002172C6"/>
    <w:rsid w:val="00217BCB"/>
    <w:rsid w:val="002204D7"/>
    <w:rsid w:val="002207D9"/>
    <w:rsid w:val="00220ED5"/>
    <w:rsid w:val="00221713"/>
    <w:rsid w:val="00221F57"/>
    <w:rsid w:val="00222C2E"/>
    <w:rsid w:val="00224810"/>
    <w:rsid w:val="00225D59"/>
    <w:rsid w:val="002279E5"/>
    <w:rsid w:val="00227D3E"/>
    <w:rsid w:val="00230EB0"/>
    <w:rsid w:val="00233B57"/>
    <w:rsid w:val="00234BB0"/>
    <w:rsid w:val="00235258"/>
    <w:rsid w:val="0024107D"/>
    <w:rsid w:val="00241503"/>
    <w:rsid w:val="00242D06"/>
    <w:rsid w:val="00242F8A"/>
    <w:rsid w:val="00245783"/>
    <w:rsid w:val="002462C8"/>
    <w:rsid w:val="00246D38"/>
    <w:rsid w:val="00247443"/>
    <w:rsid w:val="00250B47"/>
    <w:rsid w:val="002535D4"/>
    <w:rsid w:val="00253D5C"/>
    <w:rsid w:val="002543F5"/>
    <w:rsid w:val="00255202"/>
    <w:rsid w:val="002569E9"/>
    <w:rsid w:val="00260F3E"/>
    <w:rsid w:val="00261D4A"/>
    <w:rsid w:val="00263233"/>
    <w:rsid w:val="00264EFA"/>
    <w:rsid w:val="00266024"/>
    <w:rsid w:val="00266221"/>
    <w:rsid w:val="002668E5"/>
    <w:rsid w:val="0026727D"/>
    <w:rsid w:val="00267A3B"/>
    <w:rsid w:val="00267FAF"/>
    <w:rsid w:val="002743B7"/>
    <w:rsid w:val="00274B8E"/>
    <w:rsid w:val="00275822"/>
    <w:rsid w:val="00275FE3"/>
    <w:rsid w:val="00280C7B"/>
    <w:rsid w:val="00281B37"/>
    <w:rsid w:val="00283360"/>
    <w:rsid w:val="00283375"/>
    <w:rsid w:val="00284956"/>
    <w:rsid w:val="00286461"/>
    <w:rsid w:val="0029068F"/>
    <w:rsid w:val="00293111"/>
    <w:rsid w:val="00293149"/>
    <w:rsid w:val="00293595"/>
    <w:rsid w:val="0029396B"/>
    <w:rsid w:val="00294D1D"/>
    <w:rsid w:val="002978E4"/>
    <w:rsid w:val="002A148D"/>
    <w:rsid w:val="002A285B"/>
    <w:rsid w:val="002A39D6"/>
    <w:rsid w:val="002A51A3"/>
    <w:rsid w:val="002A57B5"/>
    <w:rsid w:val="002A7751"/>
    <w:rsid w:val="002B2032"/>
    <w:rsid w:val="002B2346"/>
    <w:rsid w:val="002B3224"/>
    <w:rsid w:val="002B4AA8"/>
    <w:rsid w:val="002C0D34"/>
    <w:rsid w:val="002C163E"/>
    <w:rsid w:val="002C19F4"/>
    <w:rsid w:val="002C228F"/>
    <w:rsid w:val="002C2B58"/>
    <w:rsid w:val="002C468D"/>
    <w:rsid w:val="002C4D2C"/>
    <w:rsid w:val="002C6BE2"/>
    <w:rsid w:val="002D170E"/>
    <w:rsid w:val="002D2A79"/>
    <w:rsid w:val="002D2C7C"/>
    <w:rsid w:val="002D2DF2"/>
    <w:rsid w:val="002D6978"/>
    <w:rsid w:val="002D76DD"/>
    <w:rsid w:val="002E03BF"/>
    <w:rsid w:val="002E1507"/>
    <w:rsid w:val="002E2751"/>
    <w:rsid w:val="002E49F2"/>
    <w:rsid w:val="002E5A2A"/>
    <w:rsid w:val="002F03FC"/>
    <w:rsid w:val="002F05FD"/>
    <w:rsid w:val="002F1374"/>
    <w:rsid w:val="002F6367"/>
    <w:rsid w:val="00300778"/>
    <w:rsid w:val="003011A3"/>
    <w:rsid w:val="0030153B"/>
    <w:rsid w:val="00301B0B"/>
    <w:rsid w:val="00302A99"/>
    <w:rsid w:val="00305BC2"/>
    <w:rsid w:val="00310865"/>
    <w:rsid w:val="003162A0"/>
    <w:rsid w:val="00316937"/>
    <w:rsid w:val="00316C74"/>
    <w:rsid w:val="00316F7C"/>
    <w:rsid w:val="00317D3B"/>
    <w:rsid w:val="0032099D"/>
    <w:rsid w:val="00322446"/>
    <w:rsid w:val="00322B8A"/>
    <w:rsid w:val="00323397"/>
    <w:rsid w:val="00323590"/>
    <w:rsid w:val="00324AB0"/>
    <w:rsid w:val="00325DEA"/>
    <w:rsid w:val="00325E1C"/>
    <w:rsid w:val="003262C5"/>
    <w:rsid w:val="00332808"/>
    <w:rsid w:val="00333402"/>
    <w:rsid w:val="00334300"/>
    <w:rsid w:val="00336F05"/>
    <w:rsid w:val="00337455"/>
    <w:rsid w:val="0034046D"/>
    <w:rsid w:val="00340863"/>
    <w:rsid w:val="0034405E"/>
    <w:rsid w:val="00344103"/>
    <w:rsid w:val="00345207"/>
    <w:rsid w:val="0035043F"/>
    <w:rsid w:val="00350681"/>
    <w:rsid w:val="003506A7"/>
    <w:rsid w:val="00350E0D"/>
    <w:rsid w:val="003518BD"/>
    <w:rsid w:val="00352E01"/>
    <w:rsid w:val="003538E7"/>
    <w:rsid w:val="0035725E"/>
    <w:rsid w:val="00365D1B"/>
    <w:rsid w:val="0036607E"/>
    <w:rsid w:val="00366F0E"/>
    <w:rsid w:val="00370216"/>
    <w:rsid w:val="00371DC1"/>
    <w:rsid w:val="003756F2"/>
    <w:rsid w:val="00380871"/>
    <w:rsid w:val="00381397"/>
    <w:rsid w:val="0038212F"/>
    <w:rsid w:val="00382EA8"/>
    <w:rsid w:val="00385402"/>
    <w:rsid w:val="003859C1"/>
    <w:rsid w:val="00387158"/>
    <w:rsid w:val="00387E4E"/>
    <w:rsid w:val="00391FB9"/>
    <w:rsid w:val="003921B6"/>
    <w:rsid w:val="00392B56"/>
    <w:rsid w:val="00394733"/>
    <w:rsid w:val="00395647"/>
    <w:rsid w:val="00396AAA"/>
    <w:rsid w:val="003A34C0"/>
    <w:rsid w:val="003A3C06"/>
    <w:rsid w:val="003A434F"/>
    <w:rsid w:val="003A49BC"/>
    <w:rsid w:val="003A5456"/>
    <w:rsid w:val="003A5BCA"/>
    <w:rsid w:val="003A7912"/>
    <w:rsid w:val="003B0A2D"/>
    <w:rsid w:val="003B245E"/>
    <w:rsid w:val="003B4C91"/>
    <w:rsid w:val="003B5F32"/>
    <w:rsid w:val="003B5FFB"/>
    <w:rsid w:val="003B6DC0"/>
    <w:rsid w:val="003B70AD"/>
    <w:rsid w:val="003C0783"/>
    <w:rsid w:val="003C19D5"/>
    <w:rsid w:val="003C1FAB"/>
    <w:rsid w:val="003C2706"/>
    <w:rsid w:val="003C3290"/>
    <w:rsid w:val="003C388C"/>
    <w:rsid w:val="003C5113"/>
    <w:rsid w:val="003C5FFE"/>
    <w:rsid w:val="003C6ED7"/>
    <w:rsid w:val="003D2633"/>
    <w:rsid w:val="003D3F8A"/>
    <w:rsid w:val="003D5AAA"/>
    <w:rsid w:val="003D7515"/>
    <w:rsid w:val="003E02A1"/>
    <w:rsid w:val="003E0C89"/>
    <w:rsid w:val="003E2233"/>
    <w:rsid w:val="003E2804"/>
    <w:rsid w:val="003E369B"/>
    <w:rsid w:val="003E6A14"/>
    <w:rsid w:val="003E7EDF"/>
    <w:rsid w:val="003F0170"/>
    <w:rsid w:val="003F0204"/>
    <w:rsid w:val="003F0538"/>
    <w:rsid w:val="003F7349"/>
    <w:rsid w:val="003F7807"/>
    <w:rsid w:val="003F7A14"/>
    <w:rsid w:val="00400C92"/>
    <w:rsid w:val="0040137C"/>
    <w:rsid w:val="004023E1"/>
    <w:rsid w:val="004053D4"/>
    <w:rsid w:val="004060DD"/>
    <w:rsid w:val="0040694C"/>
    <w:rsid w:val="0040799C"/>
    <w:rsid w:val="00407FF0"/>
    <w:rsid w:val="004114DA"/>
    <w:rsid w:val="00411530"/>
    <w:rsid w:val="00411531"/>
    <w:rsid w:val="00411F04"/>
    <w:rsid w:val="00412158"/>
    <w:rsid w:val="004161F8"/>
    <w:rsid w:val="00416909"/>
    <w:rsid w:val="00416BD5"/>
    <w:rsid w:val="00420202"/>
    <w:rsid w:val="0042189A"/>
    <w:rsid w:val="004227AA"/>
    <w:rsid w:val="00423B77"/>
    <w:rsid w:val="004246F4"/>
    <w:rsid w:val="00424D7C"/>
    <w:rsid w:val="0042619C"/>
    <w:rsid w:val="00426401"/>
    <w:rsid w:val="004268E7"/>
    <w:rsid w:val="00426AC7"/>
    <w:rsid w:val="00427B05"/>
    <w:rsid w:val="00430CF8"/>
    <w:rsid w:val="004314B6"/>
    <w:rsid w:val="00432A0F"/>
    <w:rsid w:val="004335D5"/>
    <w:rsid w:val="00436940"/>
    <w:rsid w:val="00436F0E"/>
    <w:rsid w:val="00437F0F"/>
    <w:rsid w:val="0044013A"/>
    <w:rsid w:val="00443B63"/>
    <w:rsid w:val="004442EF"/>
    <w:rsid w:val="00445CED"/>
    <w:rsid w:val="00447784"/>
    <w:rsid w:val="004505E8"/>
    <w:rsid w:val="004511A1"/>
    <w:rsid w:val="00452394"/>
    <w:rsid w:val="0045318C"/>
    <w:rsid w:val="004542F9"/>
    <w:rsid w:val="00455473"/>
    <w:rsid w:val="00456A37"/>
    <w:rsid w:val="00456ABA"/>
    <w:rsid w:val="0045743F"/>
    <w:rsid w:val="00457DD8"/>
    <w:rsid w:val="00460D38"/>
    <w:rsid w:val="00461FB2"/>
    <w:rsid w:val="00462436"/>
    <w:rsid w:val="00464247"/>
    <w:rsid w:val="00465585"/>
    <w:rsid w:val="00467089"/>
    <w:rsid w:val="004730AC"/>
    <w:rsid w:val="0047360D"/>
    <w:rsid w:val="00473A47"/>
    <w:rsid w:val="00474B22"/>
    <w:rsid w:val="00475D28"/>
    <w:rsid w:val="00476861"/>
    <w:rsid w:val="00480A91"/>
    <w:rsid w:val="00481E38"/>
    <w:rsid w:val="004823B5"/>
    <w:rsid w:val="00482A59"/>
    <w:rsid w:val="004873EC"/>
    <w:rsid w:val="00487C3B"/>
    <w:rsid w:val="00492457"/>
    <w:rsid w:val="0049385C"/>
    <w:rsid w:val="004945D5"/>
    <w:rsid w:val="004947BD"/>
    <w:rsid w:val="00495B4F"/>
    <w:rsid w:val="00497506"/>
    <w:rsid w:val="00497832"/>
    <w:rsid w:val="004A0A9A"/>
    <w:rsid w:val="004A172B"/>
    <w:rsid w:val="004A4274"/>
    <w:rsid w:val="004A48E6"/>
    <w:rsid w:val="004A6FE0"/>
    <w:rsid w:val="004A7236"/>
    <w:rsid w:val="004B2B3D"/>
    <w:rsid w:val="004B3C97"/>
    <w:rsid w:val="004B43AF"/>
    <w:rsid w:val="004B4763"/>
    <w:rsid w:val="004B66FD"/>
    <w:rsid w:val="004C2F5E"/>
    <w:rsid w:val="004C36C4"/>
    <w:rsid w:val="004C43F0"/>
    <w:rsid w:val="004C568E"/>
    <w:rsid w:val="004C5B2A"/>
    <w:rsid w:val="004C5DDD"/>
    <w:rsid w:val="004D0616"/>
    <w:rsid w:val="004D0B7A"/>
    <w:rsid w:val="004D0E9A"/>
    <w:rsid w:val="004D19F3"/>
    <w:rsid w:val="004D2D67"/>
    <w:rsid w:val="004D3777"/>
    <w:rsid w:val="004D5B06"/>
    <w:rsid w:val="004D6CA2"/>
    <w:rsid w:val="004E1FC9"/>
    <w:rsid w:val="004E23CB"/>
    <w:rsid w:val="004E3D7B"/>
    <w:rsid w:val="004E6438"/>
    <w:rsid w:val="004E65FB"/>
    <w:rsid w:val="004E6E23"/>
    <w:rsid w:val="004E7D9D"/>
    <w:rsid w:val="004E7FFC"/>
    <w:rsid w:val="004F2645"/>
    <w:rsid w:val="004F319C"/>
    <w:rsid w:val="004F36F9"/>
    <w:rsid w:val="004F6BA9"/>
    <w:rsid w:val="004F7EB0"/>
    <w:rsid w:val="00502116"/>
    <w:rsid w:val="00503263"/>
    <w:rsid w:val="005032E7"/>
    <w:rsid w:val="00504D5D"/>
    <w:rsid w:val="005052C7"/>
    <w:rsid w:val="00506EDE"/>
    <w:rsid w:val="00510C22"/>
    <w:rsid w:val="00511246"/>
    <w:rsid w:val="005121D8"/>
    <w:rsid w:val="005156CF"/>
    <w:rsid w:val="00515CEC"/>
    <w:rsid w:val="00523260"/>
    <w:rsid w:val="0052377B"/>
    <w:rsid w:val="0052523D"/>
    <w:rsid w:val="00525250"/>
    <w:rsid w:val="00525FBA"/>
    <w:rsid w:val="00526DD2"/>
    <w:rsid w:val="00527985"/>
    <w:rsid w:val="005300C8"/>
    <w:rsid w:val="00530C30"/>
    <w:rsid w:val="00530CF9"/>
    <w:rsid w:val="00531529"/>
    <w:rsid w:val="005318C7"/>
    <w:rsid w:val="00531D6E"/>
    <w:rsid w:val="00532545"/>
    <w:rsid w:val="00532698"/>
    <w:rsid w:val="00533095"/>
    <w:rsid w:val="005335F3"/>
    <w:rsid w:val="00533D6D"/>
    <w:rsid w:val="00535BFB"/>
    <w:rsid w:val="00537CCA"/>
    <w:rsid w:val="00540263"/>
    <w:rsid w:val="005405AE"/>
    <w:rsid w:val="00540BF7"/>
    <w:rsid w:val="005428FF"/>
    <w:rsid w:val="00542FD2"/>
    <w:rsid w:val="00543D7B"/>
    <w:rsid w:val="005447D0"/>
    <w:rsid w:val="00546B67"/>
    <w:rsid w:val="00554E8E"/>
    <w:rsid w:val="005578CB"/>
    <w:rsid w:val="005579A5"/>
    <w:rsid w:val="00561FD4"/>
    <w:rsid w:val="00563417"/>
    <w:rsid w:val="00563E83"/>
    <w:rsid w:val="005653A1"/>
    <w:rsid w:val="0056674D"/>
    <w:rsid w:val="00570916"/>
    <w:rsid w:val="00574E3C"/>
    <w:rsid w:val="005766E0"/>
    <w:rsid w:val="00577426"/>
    <w:rsid w:val="005832B2"/>
    <w:rsid w:val="00591483"/>
    <w:rsid w:val="00591A6C"/>
    <w:rsid w:val="00593737"/>
    <w:rsid w:val="005972A7"/>
    <w:rsid w:val="005978DB"/>
    <w:rsid w:val="00597AA2"/>
    <w:rsid w:val="005A1349"/>
    <w:rsid w:val="005A2507"/>
    <w:rsid w:val="005A2803"/>
    <w:rsid w:val="005A3172"/>
    <w:rsid w:val="005A57FA"/>
    <w:rsid w:val="005A583E"/>
    <w:rsid w:val="005A5BEC"/>
    <w:rsid w:val="005A7087"/>
    <w:rsid w:val="005A74FE"/>
    <w:rsid w:val="005A76D9"/>
    <w:rsid w:val="005B2823"/>
    <w:rsid w:val="005B465B"/>
    <w:rsid w:val="005B6F1F"/>
    <w:rsid w:val="005C0755"/>
    <w:rsid w:val="005C2C87"/>
    <w:rsid w:val="005C52A3"/>
    <w:rsid w:val="005C56A6"/>
    <w:rsid w:val="005D234B"/>
    <w:rsid w:val="005D242A"/>
    <w:rsid w:val="005E06F0"/>
    <w:rsid w:val="005E10A2"/>
    <w:rsid w:val="005E1B2D"/>
    <w:rsid w:val="005E4831"/>
    <w:rsid w:val="005E6C51"/>
    <w:rsid w:val="005E6F3F"/>
    <w:rsid w:val="005E779D"/>
    <w:rsid w:val="005F3429"/>
    <w:rsid w:val="005F3B68"/>
    <w:rsid w:val="005F4079"/>
    <w:rsid w:val="005F40F5"/>
    <w:rsid w:val="005F6B28"/>
    <w:rsid w:val="005F79E5"/>
    <w:rsid w:val="005F7BC7"/>
    <w:rsid w:val="00603C4D"/>
    <w:rsid w:val="00604520"/>
    <w:rsid w:val="006059E6"/>
    <w:rsid w:val="0060685F"/>
    <w:rsid w:val="00607B7C"/>
    <w:rsid w:val="00610697"/>
    <w:rsid w:val="0061239A"/>
    <w:rsid w:val="00612C0F"/>
    <w:rsid w:val="006133E5"/>
    <w:rsid w:val="00621218"/>
    <w:rsid w:val="0062298E"/>
    <w:rsid w:val="00623598"/>
    <w:rsid w:val="00623979"/>
    <w:rsid w:val="00623BA9"/>
    <w:rsid w:val="0062557C"/>
    <w:rsid w:val="00625AB2"/>
    <w:rsid w:val="00631B4A"/>
    <w:rsid w:val="00633029"/>
    <w:rsid w:val="00633C40"/>
    <w:rsid w:val="00633E40"/>
    <w:rsid w:val="00636361"/>
    <w:rsid w:val="00641982"/>
    <w:rsid w:val="00641F5E"/>
    <w:rsid w:val="0064406E"/>
    <w:rsid w:val="006442DF"/>
    <w:rsid w:val="0064444E"/>
    <w:rsid w:val="00645C62"/>
    <w:rsid w:val="006465AB"/>
    <w:rsid w:val="00646ED5"/>
    <w:rsid w:val="00647711"/>
    <w:rsid w:val="00651E73"/>
    <w:rsid w:val="0065208E"/>
    <w:rsid w:val="00653936"/>
    <w:rsid w:val="00656B1D"/>
    <w:rsid w:val="00661406"/>
    <w:rsid w:val="00662142"/>
    <w:rsid w:val="00664E8B"/>
    <w:rsid w:val="00665335"/>
    <w:rsid w:val="0066604E"/>
    <w:rsid w:val="0066690B"/>
    <w:rsid w:val="00672900"/>
    <w:rsid w:val="00672D32"/>
    <w:rsid w:val="0067394A"/>
    <w:rsid w:val="00675C04"/>
    <w:rsid w:val="00676630"/>
    <w:rsid w:val="00676DF3"/>
    <w:rsid w:val="0068346A"/>
    <w:rsid w:val="006842AD"/>
    <w:rsid w:val="006851C8"/>
    <w:rsid w:val="0068595E"/>
    <w:rsid w:val="006862AA"/>
    <w:rsid w:val="006871B3"/>
    <w:rsid w:val="00691130"/>
    <w:rsid w:val="006938F4"/>
    <w:rsid w:val="00696E1C"/>
    <w:rsid w:val="006976E0"/>
    <w:rsid w:val="006A0355"/>
    <w:rsid w:val="006A0409"/>
    <w:rsid w:val="006A0667"/>
    <w:rsid w:val="006A0BF8"/>
    <w:rsid w:val="006A2A49"/>
    <w:rsid w:val="006A3233"/>
    <w:rsid w:val="006A362E"/>
    <w:rsid w:val="006A4A3E"/>
    <w:rsid w:val="006A6770"/>
    <w:rsid w:val="006B08A7"/>
    <w:rsid w:val="006B0A68"/>
    <w:rsid w:val="006B0D38"/>
    <w:rsid w:val="006B1523"/>
    <w:rsid w:val="006B1A7B"/>
    <w:rsid w:val="006B1D76"/>
    <w:rsid w:val="006B20B4"/>
    <w:rsid w:val="006B3AB9"/>
    <w:rsid w:val="006B3AF3"/>
    <w:rsid w:val="006B4FBB"/>
    <w:rsid w:val="006B59C4"/>
    <w:rsid w:val="006B5EC0"/>
    <w:rsid w:val="006B7393"/>
    <w:rsid w:val="006B7D15"/>
    <w:rsid w:val="006C3D72"/>
    <w:rsid w:val="006C45BA"/>
    <w:rsid w:val="006C4FFB"/>
    <w:rsid w:val="006C7BCB"/>
    <w:rsid w:val="006D0052"/>
    <w:rsid w:val="006D2575"/>
    <w:rsid w:val="006D4753"/>
    <w:rsid w:val="006D5CAB"/>
    <w:rsid w:val="006E0F76"/>
    <w:rsid w:val="006E1429"/>
    <w:rsid w:val="006E2881"/>
    <w:rsid w:val="006E4522"/>
    <w:rsid w:val="006E4F8A"/>
    <w:rsid w:val="006E64C7"/>
    <w:rsid w:val="006E6682"/>
    <w:rsid w:val="006E673C"/>
    <w:rsid w:val="006F39FD"/>
    <w:rsid w:val="006F47D9"/>
    <w:rsid w:val="006F6992"/>
    <w:rsid w:val="006F7054"/>
    <w:rsid w:val="006F736E"/>
    <w:rsid w:val="006F7C62"/>
    <w:rsid w:val="00704042"/>
    <w:rsid w:val="0071118B"/>
    <w:rsid w:val="007133B5"/>
    <w:rsid w:val="007140BA"/>
    <w:rsid w:val="0071574F"/>
    <w:rsid w:val="00716307"/>
    <w:rsid w:val="00716A85"/>
    <w:rsid w:val="00717E7B"/>
    <w:rsid w:val="00720E26"/>
    <w:rsid w:val="00722637"/>
    <w:rsid w:val="00725291"/>
    <w:rsid w:val="00730242"/>
    <w:rsid w:val="00730BAA"/>
    <w:rsid w:val="00730FA5"/>
    <w:rsid w:val="007313FD"/>
    <w:rsid w:val="00731403"/>
    <w:rsid w:val="00731891"/>
    <w:rsid w:val="0073280F"/>
    <w:rsid w:val="00733178"/>
    <w:rsid w:val="00734993"/>
    <w:rsid w:val="0073629D"/>
    <w:rsid w:val="007369BA"/>
    <w:rsid w:val="00740752"/>
    <w:rsid w:val="0074284B"/>
    <w:rsid w:val="00744C74"/>
    <w:rsid w:val="007512F6"/>
    <w:rsid w:val="0075179A"/>
    <w:rsid w:val="00751AB1"/>
    <w:rsid w:val="007548D7"/>
    <w:rsid w:val="007553D4"/>
    <w:rsid w:val="00760AD1"/>
    <w:rsid w:val="00760D93"/>
    <w:rsid w:val="00761133"/>
    <w:rsid w:val="007619FB"/>
    <w:rsid w:val="0076203A"/>
    <w:rsid w:val="00763AF2"/>
    <w:rsid w:val="00767A01"/>
    <w:rsid w:val="00767AF5"/>
    <w:rsid w:val="00771193"/>
    <w:rsid w:val="007729C9"/>
    <w:rsid w:val="007742A1"/>
    <w:rsid w:val="00774600"/>
    <w:rsid w:val="00777FF4"/>
    <w:rsid w:val="00781332"/>
    <w:rsid w:val="007819B0"/>
    <w:rsid w:val="007837C1"/>
    <w:rsid w:val="0078514D"/>
    <w:rsid w:val="00791713"/>
    <w:rsid w:val="00794454"/>
    <w:rsid w:val="00795377"/>
    <w:rsid w:val="007A2D73"/>
    <w:rsid w:val="007A5E5B"/>
    <w:rsid w:val="007B381B"/>
    <w:rsid w:val="007B56C0"/>
    <w:rsid w:val="007B6F61"/>
    <w:rsid w:val="007B7700"/>
    <w:rsid w:val="007C024F"/>
    <w:rsid w:val="007C10F3"/>
    <w:rsid w:val="007C12C6"/>
    <w:rsid w:val="007C46B5"/>
    <w:rsid w:val="007C6A05"/>
    <w:rsid w:val="007D0868"/>
    <w:rsid w:val="007D13D9"/>
    <w:rsid w:val="007D2E3F"/>
    <w:rsid w:val="007D3430"/>
    <w:rsid w:val="007D3593"/>
    <w:rsid w:val="007D4708"/>
    <w:rsid w:val="007D4B77"/>
    <w:rsid w:val="007D5BC0"/>
    <w:rsid w:val="007D6321"/>
    <w:rsid w:val="007D71B4"/>
    <w:rsid w:val="007D77B2"/>
    <w:rsid w:val="007D7B7B"/>
    <w:rsid w:val="007E0809"/>
    <w:rsid w:val="007E12A1"/>
    <w:rsid w:val="007E7814"/>
    <w:rsid w:val="007F0A2E"/>
    <w:rsid w:val="007F1052"/>
    <w:rsid w:val="007F49BB"/>
    <w:rsid w:val="007F5314"/>
    <w:rsid w:val="007F60AC"/>
    <w:rsid w:val="007F625C"/>
    <w:rsid w:val="007F63D0"/>
    <w:rsid w:val="007F6D48"/>
    <w:rsid w:val="007F6F78"/>
    <w:rsid w:val="007F7114"/>
    <w:rsid w:val="007F730F"/>
    <w:rsid w:val="00800060"/>
    <w:rsid w:val="00800337"/>
    <w:rsid w:val="008009B0"/>
    <w:rsid w:val="00800C95"/>
    <w:rsid w:val="00803BB3"/>
    <w:rsid w:val="00804036"/>
    <w:rsid w:val="008059AB"/>
    <w:rsid w:val="008071A7"/>
    <w:rsid w:val="00807CCB"/>
    <w:rsid w:val="008101FC"/>
    <w:rsid w:val="008108E8"/>
    <w:rsid w:val="0081353F"/>
    <w:rsid w:val="00816407"/>
    <w:rsid w:val="00817E8C"/>
    <w:rsid w:val="00821226"/>
    <w:rsid w:val="00821E37"/>
    <w:rsid w:val="00821E72"/>
    <w:rsid w:val="00823CC6"/>
    <w:rsid w:val="00825809"/>
    <w:rsid w:val="00825F93"/>
    <w:rsid w:val="00831982"/>
    <w:rsid w:val="0083257F"/>
    <w:rsid w:val="00833CF7"/>
    <w:rsid w:val="00835E65"/>
    <w:rsid w:val="00836144"/>
    <w:rsid w:val="00837AFC"/>
    <w:rsid w:val="00841F61"/>
    <w:rsid w:val="008434BA"/>
    <w:rsid w:val="00845D24"/>
    <w:rsid w:val="00845DBC"/>
    <w:rsid w:val="00851093"/>
    <w:rsid w:val="008517A6"/>
    <w:rsid w:val="008522DF"/>
    <w:rsid w:val="008544DB"/>
    <w:rsid w:val="00862FA3"/>
    <w:rsid w:val="00862FDC"/>
    <w:rsid w:val="00863F94"/>
    <w:rsid w:val="00865845"/>
    <w:rsid w:val="00866EEF"/>
    <w:rsid w:val="008757CC"/>
    <w:rsid w:val="008765DF"/>
    <w:rsid w:val="00876EC4"/>
    <w:rsid w:val="00877453"/>
    <w:rsid w:val="0088064F"/>
    <w:rsid w:val="00880D5D"/>
    <w:rsid w:val="008833CD"/>
    <w:rsid w:val="00885F0A"/>
    <w:rsid w:val="00887FCC"/>
    <w:rsid w:val="008903EF"/>
    <w:rsid w:val="00891B08"/>
    <w:rsid w:val="00893524"/>
    <w:rsid w:val="00893FAC"/>
    <w:rsid w:val="0089404C"/>
    <w:rsid w:val="008A03C9"/>
    <w:rsid w:val="008A0859"/>
    <w:rsid w:val="008A1075"/>
    <w:rsid w:val="008A160D"/>
    <w:rsid w:val="008A28F0"/>
    <w:rsid w:val="008A53D4"/>
    <w:rsid w:val="008A5C04"/>
    <w:rsid w:val="008A6AE5"/>
    <w:rsid w:val="008B0272"/>
    <w:rsid w:val="008B43F5"/>
    <w:rsid w:val="008C03A0"/>
    <w:rsid w:val="008C0ED3"/>
    <w:rsid w:val="008C0FFF"/>
    <w:rsid w:val="008C162C"/>
    <w:rsid w:val="008C2C97"/>
    <w:rsid w:val="008C3A8F"/>
    <w:rsid w:val="008C57E2"/>
    <w:rsid w:val="008C7007"/>
    <w:rsid w:val="008D06F2"/>
    <w:rsid w:val="008D0FEC"/>
    <w:rsid w:val="008D1976"/>
    <w:rsid w:val="008D3FB0"/>
    <w:rsid w:val="008D4991"/>
    <w:rsid w:val="008D74B3"/>
    <w:rsid w:val="008D7C3D"/>
    <w:rsid w:val="008D7E9D"/>
    <w:rsid w:val="008E0D8C"/>
    <w:rsid w:val="008E18B1"/>
    <w:rsid w:val="008E23D2"/>
    <w:rsid w:val="008E3496"/>
    <w:rsid w:val="008E4197"/>
    <w:rsid w:val="008E463C"/>
    <w:rsid w:val="008E4708"/>
    <w:rsid w:val="008E511D"/>
    <w:rsid w:val="008E58B9"/>
    <w:rsid w:val="008E75AE"/>
    <w:rsid w:val="008F0835"/>
    <w:rsid w:val="008F0CC4"/>
    <w:rsid w:val="008F3D1E"/>
    <w:rsid w:val="008F4B86"/>
    <w:rsid w:val="009006A5"/>
    <w:rsid w:val="00900ABC"/>
    <w:rsid w:val="00902B37"/>
    <w:rsid w:val="0090700F"/>
    <w:rsid w:val="00911F5C"/>
    <w:rsid w:val="00911F70"/>
    <w:rsid w:val="009120EB"/>
    <w:rsid w:val="00914473"/>
    <w:rsid w:val="00914F38"/>
    <w:rsid w:val="00915D94"/>
    <w:rsid w:val="00917F97"/>
    <w:rsid w:val="00924AA2"/>
    <w:rsid w:val="009258C6"/>
    <w:rsid w:val="00925985"/>
    <w:rsid w:val="00930A02"/>
    <w:rsid w:val="00931FBC"/>
    <w:rsid w:val="00932C87"/>
    <w:rsid w:val="009401C7"/>
    <w:rsid w:val="00945C56"/>
    <w:rsid w:val="009462DD"/>
    <w:rsid w:val="009526A4"/>
    <w:rsid w:val="00953265"/>
    <w:rsid w:val="00953CA5"/>
    <w:rsid w:val="009546D0"/>
    <w:rsid w:val="009561A9"/>
    <w:rsid w:val="00956670"/>
    <w:rsid w:val="0096004A"/>
    <w:rsid w:val="00961770"/>
    <w:rsid w:val="00961D14"/>
    <w:rsid w:val="00962660"/>
    <w:rsid w:val="00963F04"/>
    <w:rsid w:val="00964B8E"/>
    <w:rsid w:val="009651B9"/>
    <w:rsid w:val="00967CC7"/>
    <w:rsid w:val="00971830"/>
    <w:rsid w:val="0097202A"/>
    <w:rsid w:val="00972E3C"/>
    <w:rsid w:val="00974D66"/>
    <w:rsid w:val="009750E5"/>
    <w:rsid w:val="0097636F"/>
    <w:rsid w:val="009766BD"/>
    <w:rsid w:val="00976EA8"/>
    <w:rsid w:val="009775C5"/>
    <w:rsid w:val="0098075C"/>
    <w:rsid w:val="0098130D"/>
    <w:rsid w:val="00985EBE"/>
    <w:rsid w:val="009860F5"/>
    <w:rsid w:val="00990B7F"/>
    <w:rsid w:val="009912AB"/>
    <w:rsid w:val="00992545"/>
    <w:rsid w:val="00994C10"/>
    <w:rsid w:val="00995F34"/>
    <w:rsid w:val="00997E5D"/>
    <w:rsid w:val="009A56D9"/>
    <w:rsid w:val="009A664B"/>
    <w:rsid w:val="009A7FC5"/>
    <w:rsid w:val="009B0294"/>
    <w:rsid w:val="009B0462"/>
    <w:rsid w:val="009B0DBA"/>
    <w:rsid w:val="009B267A"/>
    <w:rsid w:val="009B542F"/>
    <w:rsid w:val="009B6E5E"/>
    <w:rsid w:val="009B7EF8"/>
    <w:rsid w:val="009C11B1"/>
    <w:rsid w:val="009C13F9"/>
    <w:rsid w:val="009C258D"/>
    <w:rsid w:val="009C402F"/>
    <w:rsid w:val="009C5A69"/>
    <w:rsid w:val="009D1437"/>
    <w:rsid w:val="009D587E"/>
    <w:rsid w:val="009D680A"/>
    <w:rsid w:val="009D7E35"/>
    <w:rsid w:val="009E53A3"/>
    <w:rsid w:val="009E5AB7"/>
    <w:rsid w:val="009E65F6"/>
    <w:rsid w:val="009E74DA"/>
    <w:rsid w:val="009F18FD"/>
    <w:rsid w:val="009F2039"/>
    <w:rsid w:val="009F26A6"/>
    <w:rsid w:val="009F2D9A"/>
    <w:rsid w:val="009F4734"/>
    <w:rsid w:val="009F4B6B"/>
    <w:rsid w:val="009F58D0"/>
    <w:rsid w:val="009F79DC"/>
    <w:rsid w:val="00A00DE4"/>
    <w:rsid w:val="00A034D6"/>
    <w:rsid w:val="00A03DB5"/>
    <w:rsid w:val="00A04B4B"/>
    <w:rsid w:val="00A05486"/>
    <w:rsid w:val="00A06A2B"/>
    <w:rsid w:val="00A07231"/>
    <w:rsid w:val="00A07BF1"/>
    <w:rsid w:val="00A144ED"/>
    <w:rsid w:val="00A1609F"/>
    <w:rsid w:val="00A1639A"/>
    <w:rsid w:val="00A16F28"/>
    <w:rsid w:val="00A22594"/>
    <w:rsid w:val="00A22FC1"/>
    <w:rsid w:val="00A2484D"/>
    <w:rsid w:val="00A258C2"/>
    <w:rsid w:val="00A261DF"/>
    <w:rsid w:val="00A276D0"/>
    <w:rsid w:val="00A27C72"/>
    <w:rsid w:val="00A305BA"/>
    <w:rsid w:val="00A32610"/>
    <w:rsid w:val="00A33D09"/>
    <w:rsid w:val="00A35122"/>
    <w:rsid w:val="00A354D5"/>
    <w:rsid w:val="00A359F6"/>
    <w:rsid w:val="00A369A0"/>
    <w:rsid w:val="00A405DB"/>
    <w:rsid w:val="00A44C4E"/>
    <w:rsid w:val="00A54E67"/>
    <w:rsid w:val="00A559D5"/>
    <w:rsid w:val="00A5669A"/>
    <w:rsid w:val="00A57051"/>
    <w:rsid w:val="00A602B0"/>
    <w:rsid w:val="00A60666"/>
    <w:rsid w:val="00A60DB0"/>
    <w:rsid w:val="00A618D1"/>
    <w:rsid w:val="00A666DE"/>
    <w:rsid w:val="00A702FC"/>
    <w:rsid w:val="00A70CFC"/>
    <w:rsid w:val="00A7170F"/>
    <w:rsid w:val="00A71CCB"/>
    <w:rsid w:val="00A72D3C"/>
    <w:rsid w:val="00A7618F"/>
    <w:rsid w:val="00A76FD6"/>
    <w:rsid w:val="00A772EF"/>
    <w:rsid w:val="00A77F8A"/>
    <w:rsid w:val="00A80881"/>
    <w:rsid w:val="00A82FEA"/>
    <w:rsid w:val="00A8408D"/>
    <w:rsid w:val="00A9472C"/>
    <w:rsid w:val="00AA0A77"/>
    <w:rsid w:val="00AA4A78"/>
    <w:rsid w:val="00AA5259"/>
    <w:rsid w:val="00AA542A"/>
    <w:rsid w:val="00AA7BFD"/>
    <w:rsid w:val="00AA7CF3"/>
    <w:rsid w:val="00AB0454"/>
    <w:rsid w:val="00AB0640"/>
    <w:rsid w:val="00AB1D20"/>
    <w:rsid w:val="00AB4A79"/>
    <w:rsid w:val="00AC372A"/>
    <w:rsid w:val="00AC6805"/>
    <w:rsid w:val="00AD0968"/>
    <w:rsid w:val="00AD394D"/>
    <w:rsid w:val="00AD5306"/>
    <w:rsid w:val="00AD6483"/>
    <w:rsid w:val="00AD7835"/>
    <w:rsid w:val="00AE0779"/>
    <w:rsid w:val="00AE2D5A"/>
    <w:rsid w:val="00AE2F65"/>
    <w:rsid w:val="00AE36D5"/>
    <w:rsid w:val="00AE6733"/>
    <w:rsid w:val="00AE6DB1"/>
    <w:rsid w:val="00AF2316"/>
    <w:rsid w:val="00AF3280"/>
    <w:rsid w:val="00AF34C9"/>
    <w:rsid w:val="00AF49E9"/>
    <w:rsid w:val="00AF5ACF"/>
    <w:rsid w:val="00B008C0"/>
    <w:rsid w:val="00B03DFF"/>
    <w:rsid w:val="00B0598C"/>
    <w:rsid w:val="00B05C4B"/>
    <w:rsid w:val="00B05D21"/>
    <w:rsid w:val="00B10D6F"/>
    <w:rsid w:val="00B124AA"/>
    <w:rsid w:val="00B17C67"/>
    <w:rsid w:val="00B2081E"/>
    <w:rsid w:val="00B219FF"/>
    <w:rsid w:val="00B227C4"/>
    <w:rsid w:val="00B229A7"/>
    <w:rsid w:val="00B23112"/>
    <w:rsid w:val="00B23A76"/>
    <w:rsid w:val="00B269D8"/>
    <w:rsid w:val="00B26FFA"/>
    <w:rsid w:val="00B36A6C"/>
    <w:rsid w:val="00B40B55"/>
    <w:rsid w:val="00B412E2"/>
    <w:rsid w:val="00B415F0"/>
    <w:rsid w:val="00B421BD"/>
    <w:rsid w:val="00B429A5"/>
    <w:rsid w:val="00B4627C"/>
    <w:rsid w:val="00B47959"/>
    <w:rsid w:val="00B500C3"/>
    <w:rsid w:val="00B50C53"/>
    <w:rsid w:val="00B50DD5"/>
    <w:rsid w:val="00B544F0"/>
    <w:rsid w:val="00B545A7"/>
    <w:rsid w:val="00B60382"/>
    <w:rsid w:val="00B6158F"/>
    <w:rsid w:val="00B63D1C"/>
    <w:rsid w:val="00B65D67"/>
    <w:rsid w:val="00B67100"/>
    <w:rsid w:val="00B70E30"/>
    <w:rsid w:val="00B715D6"/>
    <w:rsid w:val="00B7167E"/>
    <w:rsid w:val="00B7392D"/>
    <w:rsid w:val="00B74005"/>
    <w:rsid w:val="00B80A64"/>
    <w:rsid w:val="00B80D70"/>
    <w:rsid w:val="00B83213"/>
    <w:rsid w:val="00B87D56"/>
    <w:rsid w:val="00B9004B"/>
    <w:rsid w:val="00B904C4"/>
    <w:rsid w:val="00B90CD4"/>
    <w:rsid w:val="00B91F8D"/>
    <w:rsid w:val="00B93728"/>
    <w:rsid w:val="00B93D3F"/>
    <w:rsid w:val="00B9565B"/>
    <w:rsid w:val="00B95CBE"/>
    <w:rsid w:val="00B975EE"/>
    <w:rsid w:val="00B97900"/>
    <w:rsid w:val="00BA14F1"/>
    <w:rsid w:val="00BA1AB4"/>
    <w:rsid w:val="00BA29A4"/>
    <w:rsid w:val="00BA2DD4"/>
    <w:rsid w:val="00BA4CDF"/>
    <w:rsid w:val="00BA51C3"/>
    <w:rsid w:val="00BB2E58"/>
    <w:rsid w:val="00BB52F5"/>
    <w:rsid w:val="00BB6A5E"/>
    <w:rsid w:val="00BB6E6E"/>
    <w:rsid w:val="00BC005D"/>
    <w:rsid w:val="00BC10F8"/>
    <w:rsid w:val="00BC53DB"/>
    <w:rsid w:val="00BD426A"/>
    <w:rsid w:val="00BD6464"/>
    <w:rsid w:val="00BD64C2"/>
    <w:rsid w:val="00BD72A1"/>
    <w:rsid w:val="00BE11A5"/>
    <w:rsid w:val="00BE2DAD"/>
    <w:rsid w:val="00BE41A3"/>
    <w:rsid w:val="00BE546A"/>
    <w:rsid w:val="00BE5D68"/>
    <w:rsid w:val="00BE62EA"/>
    <w:rsid w:val="00BF7038"/>
    <w:rsid w:val="00BF7AAD"/>
    <w:rsid w:val="00C0001A"/>
    <w:rsid w:val="00C00074"/>
    <w:rsid w:val="00C001DF"/>
    <w:rsid w:val="00C00F1D"/>
    <w:rsid w:val="00C0578A"/>
    <w:rsid w:val="00C06CDD"/>
    <w:rsid w:val="00C07AED"/>
    <w:rsid w:val="00C1061F"/>
    <w:rsid w:val="00C10AC0"/>
    <w:rsid w:val="00C11B55"/>
    <w:rsid w:val="00C11CB1"/>
    <w:rsid w:val="00C129C4"/>
    <w:rsid w:val="00C12BB9"/>
    <w:rsid w:val="00C16E0E"/>
    <w:rsid w:val="00C17CDB"/>
    <w:rsid w:val="00C229BF"/>
    <w:rsid w:val="00C25779"/>
    <w:rsid w:val="00C3150F"/>
    <w:rsid w:val="00C320EC"/>
    <w:rsid w:val="00C331DC"/>
    <w:rsid w:val="00C338DB"/>
    <w:rsid w:val="00C33B68"/>
    <w:rsid w:val="00C3580C"/>
    <w:rsid w:val="00C37602"/>
    <w:rsid w:val="00C413F4"/>
    <w:rsid w:val="00C47C47"/>
    <w:rsid w:val="00C521FE"/>
    <w:rsid w:val="00C540BB"/>
    <w:rsid w:val="00C54CCA"/>
    <w:rsid w:val="00C54F22"/>
    <w:rsid w:val="00C55D84"/>
    <w:rsid w:val="00C56393"/>
    <w:rsid w:val="00C6171B"/>
    <w:rsid w:val="00C61909"/>
    <w:rsid w:val="00C62A27"/>
    <w:rsid w:val="00C64580"/>
    <w:rsid w:val="00C64624"/>
    <w:rsid w:val="00C65E08"/>
    <w:rsid w:val="00C67192"/>
    <w:rsid w:val="00C718B7"/>
    <w:rsid w:val="00C71968"/>
    <w:rsid w:val="00C73715"/>
    <w:rsid w:val="00C75274"/>
    <w:rsid w:val="00C77AFE"/>
    <w:rsid w:val="00C80386"/>
    <w:rsid w:val="00C8108C"/>
    <w:rsid w:val="00C83113"/>
    <w:rsid w:val="00C8352C"/>
    <w:rsid w:val="00C909AC"/>
    <w:rsid w:val="00C93118"/>
    <w:rsid w:val="00C93AE1"/>
    <w:rsid w:val="00C940BF"/>
    <w:rsid w:val="00C947EB"/>
    <w:rsid w:val="00C95610"/>
    <w:rsid w:val="00C95715"/>
    <w:rsid w:val="00C968B4"/>
    <w:rsid w:val="00C971F9"/>
    <w:rsid w:val="00C97317"/>
    <w:rsid w:val="00CA1B7B"/>
    <w:rsid w:val="00CA1CA8"/>
    <w:rsid w:val="00CA3E94"/>
    <w:rsid w:val="00CA406B"/>
    <w:rsid w:val="00CB0CB0"/>
    <w:rsid w:val="00CB0ED4"/>
    <w:rsid w:val="00CB1EFF"/>
    <w:rsid w:val="00CB4C4E"/>
    <w:rsid w:val="00CB5DCD"/>
    <w:rsid w:val="00CB682F"/>
    <w:rsid w:val="00CB7A61"/>
    <w:rsid w:val="00CC1B49"/>
    <w:rsid w:val="00CC363D"/>
    <w:rsid w:val="00CC41FF"/>
    <w:rsid w:val="00CC64CA"/>
    <w:rsid w:val="00CC68BB"/>
    <w:rsid w:val="00CD3B05"/>
    <w:rsid w:val="00CD4387"/>
    <w:rsid w:val="00CE0215"/>
    <w:rsid w:val="00CE5E1A"/>
    <w:rsid w:val="00CE64FE"/>
    <w:rsid w:val="00CE6A7A"/>
    <w:rsid w:val="00CE7F7E"/>
    <w:rsid w:val="00CF025B"/>
    <w:rsid w:val="00CF0602"/>
    <w:rsid w:val="00CF1711"/>
    <w:rsid w:val="00CF1C87"/>
    <w:rsid w:val="00CF1E9D"/>
    <w:rsid w:val="00CF22B9"/>
    <w:rsid w:val="00CF2D7E"/>
    <w:rsid w:val="00CF3F70"/>
    <w:rsid w:val="00CF4A51"/>
    <w:rsid w:val="00D00E82"/>
    <w:rsid w:val="00D0233D"/>
    <w:rsid w:val="00D023EE"/>
    <w:rsid w:val="00D0240D"/>
    <w:rsid w:val="00D040A1"/>
    <w:rsid w:val="00D04291"/>
    <w:rsid w:val="00D0436A"/>
    <w:rsid w:val="00D111F5"/>
    <w:rsid w:val="00D12861"/>
    <w:rsid w:val="00D14DDC"/>
    <w:rsid w:val="00D20378"/>
    <w:rsid w:val="00D216A2"/>
    <w:rsid w:val="00D2214C"/>
    <w:rsid w:val="00D23326"/>
    <w:rsid w:val="00D237DE"/>
    <w:rsid w:val="00D23962"/>
    <w:rsid w:val="00D24A4B"/>
    <w:rsid w:val="00D26F12"/>
    <w:rsid w:val="00D31B0E"/>
    <w:rsid w:val="00D31E17"/>
    <w:rsid w:val="00D3376F"/>
    <w:rsid w:val="00D350A6"/>
    <w:rsid w:val="00D3783E"/>
    <w:rsid w:val="00D37A3C"/>
    <w:rsid w:val="00D41CFB"/>
    <w:rsid w:val="00D43FD9"/>
    <w:rsid w:val="00D4408D"/>
    <w:rsid w:val="00D44CBD"/>
    <w:rsid w:val="00D45874"/>
    <w:rsid w:val="00D46755"/>
    <w:rsid w:val="00D479AF"/>
    <w:rsid w:val="00D500A1"/>
    <w:rsid w:val="00D51BB1"/>
    <w:rsid w:val="00D53770"/>
    <w:rsid w:val="00D5565D"/>
    <w:rsid w:val="00D558F9"/>
    <w:rsid w:val="00D57547"/>
    <w:rsid w:val="00D60137"/>
    <w:rsid w:val="00D6173A"/>
    <w:rsid w:val="00D65084"/>
    <w:rsid w:val="00D65680"/>
    <w:rsid w:val="00D6604C"/>
    <w:rsid w:val="00D66756"/>
    <w:rsid w:val="00D67BAD"/>
    <w:rsid w:val="00D729A5"/>
    <w:rsid w:val="00D72ECB"/>
    <w:rsid w:val="00D76019"/>
    <w:rsid w:val="00D76B5F"/>
    <w:rsid w:val="00D85AF2"/>
    <w:rsid w:val="00D86B2D"/>
    <w:rsid w:val="00D91190"/>
    <w:rsid w:val="00D91D3F"/>
    <w:rsid w:val="00D91FDE"/>
    <w:rsid w:val="00D9781D"/>
    <w:rsid w:val="00DA005F"/>
    <w:rsid w:val="00DA0942"/>
    <w:rsid w:val="00DA0D04"/>
    <w:rsid w:val="00DB11AA"/>
    <w:rsid w:val="00DB3EE7"/>
    <w:rsid w:val="00DB4191"/>
    <w:rsid w:val="00DB7352"/>
    <w:rsid w:val="00DB7F2C"/>
    <w:rsid w:val="00DC17C3"/>
    <w:rsid w:val="00DC2CBA"/>
    <w:rsid w:val="00DC33A5"/>
    <w:rsid w:val="00DC33AD"/>
    <w:rsid w:val="00DC34D3"/>
    <w:rsid w:val="00DC4940"/>
    <w:rsid w:val="00DC495A"/>
    <w:rsid w:val="00DC5266"/>
    <w:rsid w:val="00DD46A3"/>
    <w:rsid w:val="00DD50B4"/>
    <w:rsid w:val="00DD739B"/>
    <w:rsid w:val="00DD760F"/>
    <w:rsid w:val="00DE0B28"/>
    <w:rsid w:val="00DE4B08"/>
    <w:rsid w:val="00DE6765"/>
    <w:rsid w:val="00DE7014"/>
    <w:rsid w:val="00DE7BB8"/>
    <w:rsid w:val="00DF0212"/>
    <w:rsid w:val="00DF2BAA"/>
    <w:rsid w:val="00DF2F90"/>
    <w:rsid w:val="00DF45FF"/>
    <w:rsid w:val="00DF7755"/>
    <w:rsid w:val="00E00132"/>
    <w:rsid w:val="00E01250"/>
    <w:rsid w:val="00E019D1"/>
    <w:rsid w:val="00E02705"/>
    <w:rsid w:val="00E03D24"/>
    <w:rsid w:val="00E04041"/>
    <w:rsid w:val="00E05701"/>
    <w:rsid w:val="00E0753C"/>
    <w:rsid w:val="00E07EE4"/>
    <w:rsid w:val="00E11488"/>
    <w:rsid w:val="00E12B5E"/>
    <w:rsid w:val="00E1450C"/>
    <w:rsid w:val="00E158A2"/>
    <w:rsid w:val="00E16F62"/>
    <w:rsid w:val="00E1750C"/>
    <w:rsid w:val="00E22D17"/>
    <w:rsid w:val="00E26992"/>
    <w:rsid w:val="00E30502"/>
    <w:rsid w:val="00E325C7"/>
    <w:rsid w:val="00E359B9"/>
    <w:rsid w:val="00E37B8A"/>
    <w:rsid w:val="00E41D82"/>
    <w:rsid w:val="00E42135"/>
    <w:rsid w:val="00E42492"/>
    <w:rsid w:val="00E426E5"/>
    <w:rsid w:val="00E43030"/>
    <w:rsid w:val="00E43A3A"/>
    <w:rsid w:val="00E43E6A"/>
    <w:rsid w:val="00E4464A"/>
    <w:rsid w:val="00E47137"/>
    <w:rsid w:val="00E512B0"/>
    <w:rsid w:val="00E527E9"/>
    <w:rsid w:val="00E5372B"/>
    <w:rsid w:val="00E53C08"/>
    <w:rsid w:val="00E5768A"/>
    <w:rsid w:val="00E5779F"/>
    <w:rsid w:val="00E57A60"/>
    <w:rsid w:val="00E61736"/>
    <w:rsid w:val="00E61CDC"/>
    <w:rsid w:val="00E6487C"/>
    <w:rsid w:val="00E64C9D"/>
    <w:rsid w:val="00E6544B"/>
    <w:rsid w:val="00E65876"/>
    <w:rsid w:val="00E70574"/>
    <w:rsid w:val="00E718A6"/>
    <w:rsid w:val="00E80FBE"/>
    <w:rsid w:val="00E81E9F"/>
    <w:rsid w:val="00E82183"/>
    <w:rsid w:val="00E84C74"/>
    <w:rsid w:val="00E85F6A"/>
    <w:rsid w:val="00E8679F"/>
    <w:rsid w:val="00E909DA"/>
    <w:rsid w:val="00E9331A"/>
    <w:rsid w:val="00E96B6D"/>
    <w:rsid w:val="00E97E4C"/>
    <w:rsid w:val="00E97F75"/>
    <w:rsid w:val="00EA5044"/>
    <w:rsid w:val="00EA7D5B"/>
    <w:rsid w:val="00EB0F82"/>
    <w:rsid w:val="00EB118F"/>
    <w:rsid w:val="00EB1F53"/>
    <w:rsid w:val="00EB4683"/>
    <w:rsid w:val="00EB602D"/>
    <w:rsid w:val="00EB6817"/>
    <w:rsid w:val="00EB7E2E"/>
    <w:rsid w:val="00EC05E8"/>
    <w:rsid w:val="00EC20F1"/>
    <w:rsid w:val="00EC2289"/>
    <w:rsid w:val="00EC2B3F"/>
    <w:rsid w:val="00EC30C2"/>
    <w:rsid w:val="00EC3BD7"/>
    <w:rsid w:val="00EC3C5B"/>
    <w:rsid w:val="00EC3FA1"/>
    <w:rsid w:val="00EC5EF3"/>
    <w:rsid w:val="00EC6EDE"/>
    <w:rsid w:val="00EC73DD"/>
    <w:rsid w:val="00ED0DA7"/>
    <w:rsid w:val="00ED1939"/>
    <w:rsid w:val="00ED1A01"/>
    <w:rsid w:val="00ED2FE7"/>
    <w:rsid w:val="00ED36D4"/>
    <w:rsid w:val="00ED3805"/>
    <w:rsid w:val="00ED3841"/>
    <w:rsid w:val="00ED4BF0"/>
    <w:rsid w:val="00ED5B24"/>
    <w:rsid w:val="00ED5E2F"/>
    <w:rsid w:val="00EE0E1C"/>
    <w:rsid w:val="00EE38FD"/>
    <w:rsid w:val="00EE4333"/>
    <w:rsid w:val="00EE4A43"/>
    <w:rsid w:val="00EE5B66"/>
    <w:rsid w:val="00EF12D0"/>
    <w:rsid w:val="00EF2547"/>
    <w:rsid w:val="00EF5573"/>
    <w:rsid w:val="00EF5E39"/>
    <w:rsid w:val="00EF5FB4"/>
    <w:rsid w:val="00F03F64"/>
    <w:rsid w:val="00F042C1"/>
    <w:rsid w:val="00F045FB"/>
    <w:rsid w:val="00F0496E"/>
    <w:rsid w:val="00F05A2A"/>
    <w:rsid w:val="00F060E9"/>
    <w:rsid w:val="00F07BFB"/>
    <w:rsid w:val="00F109E0"/>
    <w:rsid w:val="00F12D01"/>
    <w:rsid w:val="00F1317F"/>
    <w:rsid w:val="00F13905"/>
    <w:rsid w:val="00F14247"/>
    <w:rsid w:val="00F14918"/>
    <w:rsid w:val="00F1534E"/>
    <w:rsid w:val="00F2209C"/>
    <w:rsid w:val="00F220BC"/>
    <w:rsid w:val="00F23EFD"/>
    <w:rsid w:val="00F245F7"/>
    <w:rsid w:val="00F25DC2"/>
    <w:rsid w:val="00F30E9B"/>
    <w:rsid w:val="00F3442B"/>
    <w:rsid w:val="00F35A19"/>
    <w:rsid w:val="00F36F9F"/>
    <w:rsid w:val="00F37610"/>
    <w:rsid w:val="00F41044"/>
    <w:rsid w:val="00F41878"/>
    <w:rsid w:val="00F4630D"/>
    <w:rsid w:val="00F4695B"/>
    <w:rsid w:val="00F46A3F"/>
    <w:rsid w:val="00F47518"/>
    <w:rsid w:val="00F52439"/>
    <w:rsid w:val="00F5261B"/>
    <w:rsid w:val="00F548D2"/>
    <w:rsid w:val="00F55303"/>
    <w:rsid w:val="00F60439"/>
    <w:rsid w:val="00F609B3"/>
    <w:rsid w:val="00F617DE"/>
    <w:rsid w:val="00F623C8"/>
    <w:rsid w:val="00F63922"/>
    <w:rsid w:val="00F64331"/>
    <w:rsid w:val="00F67816"/>
    <w:rsid w:val="00F72058"/>
    <w:rsid w:val="00F737AC"/>
    <w:rsid w:val="00F73C35"/>
    <w:rsid w:val="00F73E1E"/>
    <w:rsid w:val="00F75168"/>
    <w:rsid w:val="00F803D2"/>
    <w:rsid w:val="00F808D8"/>
    <w:rsid w:val="00F81130"/>
    <w:rsid w:val="00F8405B"/>
    <w:rsid w:val="00F85C49"/>
    <w:rsid w:val="00F9258D"/>
    <w:rsid w:val="00F925E2"/>
    <w:rsid w:val="00F93629"/>
    <w:rsid w:val="00F9525E"/>
    <w:rsid w:val="00F952C5"/>
    <w:rsid w:val="00F95643"/>
    <w:rsid w:val="00F96A43"/>
    <w:rsid w:val="00F97429"/>
    <w:rsid w:val="00FA2416"/>
    <w:rsid w:val="00FA31A5"/>
    <w:rsid w:val="00FA361C"/>
    <w:rsid w:val="00FA370C"/>
    <w:rsid w:val="00FA3C47"/>
    <w:rsid w:val="00FA4749"/>
    <w:rsid w:val="00FA53B1"/>
    <w:rsid w:val="00FA6F2C"/>
    <w:rsid w:val="00FB0CC5"/>
    <w:rsid w:val="00FB0D21"/>
    <w:rsid w:val="00FB29FB"/>
    <w:rsid w:val="00FB31FA"/>
    <w:rsid w:val="00FB3BFF"/>
    <w:rsid w:val="00FB3EB6"/>
    <w:rsid w:val="00FB4459"/>
    <w:rsid w:val="00FB5D65"/>
    <w:rsid w:val="00FB6232"/>
    <w:rsid w:val="00FC1818"/>
    <w:rsid w:val="00FC2047"/>
    <w:rsid w:val="00FC2763"/>
    <w:rsid w:val="00FC322D"/>
    <w:rsid w:val="00FD13B7"/>
    <w:rsid w:val="00FD259F"/>
    <w:rsid w:val="00FD43DC"/>
    <w:rsid w:val="00FD56CC"/>
    <w:rsid w:val="00FD5A54"/>
    <w:rsid w:val="00FD5D76"/>
    <w:rsid w:val="00FD6179"/>
    <w:rsid w:val="00FD6E37"/>
    <w:rsid w:val="00FD7A4A"/>
    <w:rsid w:val="00FE0406"/>
    <w:rsid w:val="00FE0D65"/>
    <w:rsid w:val="00FE1978"/>
    <w:rsid w:val="00FE2A23"/>
    <w:rsid w:val="00FE326C"/>
    <w:rsid w:val="00FE327A"/>
    <w:rsid w:val="00FE3EF9"/>
    <w:rsid w:val="00FE7819"/>
    <w:rsid w:val="00FF0695"/>
    <w:rsid w:val="00FF209C"/>
    <w:rsid w:val="00FF30F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BD647A"/>
  <w15:chartTrackingRefBased/>
  <w15:docId w15:val="{EC2BB4DB-248C-4F44-B8B8-37CAE7F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5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5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E4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D239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51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5DDD"/>
    <w:pPr>
      <w:keepNext/>
      <w:jc w:val="center"/>
      <w:outlineLvl w:val="5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978DB"/>
    <w:rPr>
      <w:rFonts w:ascii="Tahoma" w:hAnsi="Tahoma"/>
      <w:sz w:val="16"/>
      <w:szCs w:val="16"/>
    </w:rPr>
  </w:style>
  <w:style w:type="paragraph" w:styleId="Prrafodelista">
    <w:name w:val="List Paragraph"/>
    <w:aliases w:val="texto con viñeta,Sin sangría,Cuadrícula media 1 - Énfasis 21"/>
    <w:basedOn w:val="Normal"/>
    <w:link w:val="PrrafodelistaCar"/>
    <w:uiPriority w:val="34"/>
    <w:qFormat/>
    <w:rsid w:val="00730242"/>
    <w:pPr>
      <w:ind w:left="708"/>
    </w:pPr>
  </w:style>
  <w:style w:type="paragraph" w:styleId="Encabezado">
    <w:name w:val="header"/>
    <w:basedOn w:val="Normal"/>
    <w:rsid w:val="004C5DDD"/>
    <w:pPr>
      <w:tabs>
        <w:tab w:val="center" w:pos="4252"/>
        <w:tab w:val="right" w:pos="8504"/>
      </w:tabs>
    </w:pPr>
    <w:rPr>
      <w:rFonts w:ascii="Arial" w:hAnsi="Arial" w:cs="Arial"/>
      <w:i/>
      <w:sz w:val="16"/>
      <w:szCs w:val="20"/>
    </w:rPr>
  </w:style>
  <w:style w:type="paragraph" w:customStyle="1" w:styleId="Fuentedeprrafopredet">
    <w:name w:val="Fuente de párrafo predet"/>
    <w:rsid w:val="00077D4B"/>
    <w:pPr>
      <w:widowControl w:val="0"/>
    </w:pPr>
    <w:rPr>
      <w:rFonts w:ascii="CG Times (W1)" w:hAnsi="CG Times (W1)"/>
      <w:lang w:val="es-ES" w:eastAsia="es-ES"/>
    </w:rPr>
  </w:style>
  <w:style w:type="paragraph" w:styleId="Textoindependiente3">
    <w:name w:val="Body Text 3"/>
    <w:basedOn w:val="Normal"/>
    <w:rsid w:val="002668E5"/>
    <w:pPr>
      <w:jc w:val="both"/>
    </w:pPr>
    <w:rPr>
      <w:rFonts w:ascii="Arial" w:hAnsi="Arial" w:cs="Arial"/>
      <w:i/>
      <w:iCs/>
      <w:u w:val="single"/>
    </w:rPr>
  </w:style>
  <w:style w:type="paragraph" w:styleId="Piedepgina">
    <w:name w:val="footer"/>
    <w:basedOn w:val="Normal"/>
    <w:link w:val="PiedepginaCar"/>
    <w:uiPriority w:val="99"/>
    <w:rsid w:val="008C0FF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25F93"/>
    <w:pPr>
      <w:spacing w:after="120"/>
    </w:pPr>
  </w:style>
  <w:style w:type="character" w:customStyle="1" w:styleId="TextoindependienteCar">
    <w:name w:val="Texto independiente Car"/>
    <w:link w:val="Textoindependiente"/>
    <w:rsid w:val="00825F93"/>
    <w:rPr>
      <w:sz w:val="24"/>
      <w:szCs w:val="24"/>
      <w:lang w:val="es-ES" w:eastAsia="es-ES"/>
    </w:rPr>
  </w:style>
  <w:style w:type="paragraph" w:customStyle="1" w:styleId="clau">
    <w:name w:val="clau"/>
    <w:basedOn w:val="Ttulo1"/>
    <w:next w:val="Normal"/>
    <w:autoRedefine/>
    <w:rsid w:val="00825F93"/>
    <w:pPr>
      <w:numPr>
        <w:numId w:val="1"/>
      </w:numPr>
      <w:tabs>
        <w:tab w:val="clear" w:pos="357"/>
        <w:tab w:val="num" w:pos="720"/>
      </w:tabs>
      <w:spacing w:before="120" w:after="0"/>
      <w:ind w:left="720" w:hanging="360"/>
      <w:jc w:val="both"/>
    </w:pPr>
    <w:rPr>
      <w:rFonts w:ascii="Arial" w:hAnsi="Arial"/>
      <w:kern w:val="0"/>
      <w:sz w:val="24"/>
      <w:szCs w:val="20"/>
    </w:rPr>
  </w:style>
  <w:style w:type="character" w:customStyle="1" w:styleId="Ttulo1Car">
    <w:name w:val="Título 1 Car"/>
    <w:link w:val="Ttulo1"/>
    <w:rsid w:val="00825F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215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ñeta Car,Sin sangría Car,Cuadrícula media 1 - Énfasis 21 Car"/>
    <w:basedOn w:val="Fuentedeprrafopredeter"/>
    <w:link w:val="Prrafodelista"/>
    <w:uiPriority w:val="34"/>
    <w:qFormat/>
    <w:rsid w:val="0038087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0A64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64"/>
    <w:rPr>
      <w:rFonts w:ascii="Cambria" w:eastAsia="Cambria" w:hAnsi="Cambria"/>
      <w:lang w:val="es-ES_tradnl" w:eastAsia="en-US"/>
    </w:rPr>
  </w:style>
  <w:style w:type="character" w:customStyle="1" w:styleId="Ttulo5Car">
    <w:name w:val="Título 5 Car"/>
    <w:link w:val="Ttulo5"/>
    <w:rsid w:val="00293595"/>
    <w:rPr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6E45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E45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4522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0D7162"/>
    <w:pPr>
      <w:spacing w:after="120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D7162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0D7162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860F5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87E00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2C228F"/>
    <w:rPr>
      <w:rFonts w:ascii="Cambria" w:eastAsia="Cambria" w:hAnsi="Cambria"/>
      <w:sz w:val="24"/>
      <w:szCs w:val="24"/>
      <w:lang w:val="es-ES_tradnl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37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47360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7360D"/>
    <w:rPr>
      <w:sz w:val="24"/>
      <w:szCs w:val="24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6C4FF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63AF2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locked/>
    <w:rsid w:val="00F41044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154839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E38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36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D239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customStyle="1" w:styleId="Ttulo71">
    <w:name w:val="Título 71"/>
    <w:basedOn w:val="Normal"/>
    <w:next w:val="Normal"/>
    <w:unhideWhenUsed/>
    <w:qFormat/>
    <w:rsid w:val="00D23962"/>
    <w:pPr>
      <w:tabs>
        <w:tab w:val="num" w:pos="5040"/>
      </w:tabs>
      <w:spacing w:line="276" w:lineRule="auto"/>
      <w:ind w:left="5040" w:hanging="360"/>
      <w:outlineLvl w:val="6"/>
    </w:pPr>
    <w:rPr>
      <w:rFonts w:ascii="Calibri" w:hAnsi="Calibri"/>
      <w:b/>
      <w:bCs/>
      <w:i/>
      <w:iCs/>
      <w:color w:val="2E74B5"/>
      <w:sz w:val="20"/>
      <w:szCs w:val="20"/>
      <w:lang w:eastAsia="en-US"/>
    </w:rPr>
  </w:style>
  <w:style w:type="paragraph" w:customStyle="1" w:styleId="Ttulo81">
    <w:name w:val="Título 81"/>
    <w:basedOn w:val="Normal"/>
    <w:next w:val="Normal"/>
    <w:unhideWhenUsed/>
    <w:qFormat/>
    <w:rsid w:val="00D23962"/>
    <w:pPr>
      <w:tabs>
        <w:tab w:val="num" w:pos="5760"/>
      </w:tabs>
      <w:spacing w:line="276" w:lineRule="auto"/>
      <w:ind w:left="5760" w:hanging="360"/>
      <w:outlineLvl w:val="7"/>
    </w:pPr>
    <w:rPr>
      <w:rFonts w:ascii="Calibri" w:hAnsi="Calibri"/>
      <w:b/>
      <w:bCs/>
      <w:color w:val="C45911"/>
      <w:sz w:val="20"/>
      <w:szCs w:val="20"/>
      <w:lang w:eastAsia="en-US"/>
    </w:rPr>
  </w:style>
  <w:style w:type="paragraph" w:customStyle="1" w:styleId="Ttulo91">
    <w:name w:val="Título 91"/>
    <w:basedOn w:val="Normal"/>
    <w:next w:val="Normal"/>
    <w:unhideWhenUsed/>
    <w:qFormat/>
    <w:rsid w:val="00D23962"/>
    <w:pPr>
      <w:tabs>
        <w:tab w:val="num" w:pos="6480"/>
      </w:tabs>
      <w:spacing w:line="276" w:lineRule="auto"/>
      <w:ind w:left="6480" w:hanging="180"/>
      <w:outlineLvl w:val="8"/>
    </w:pPr>
    <w:rPr>
      <w:rFonts w:ascii="Calibri" w:hAnsi="Calibri"/>
      <w:b/>
      <w:bCs/>
      <w:i/>
      <w:iCs/>
      <w:color w:val="C45911"/>
      <w:sz w:val="18"/>
      <w:szCs w:val="18"/>
      <w:lang w:eastAsia="en-US"/>
    </w:rPr>
  </w:style>
  <w:style w:type="table" w:customStyle="1" w:styleId="Tablaconcuadrcula9">
    <w:name w:val="Tabla con cuadrícula9"/>
    <w:basedOn w:val="Tablanormal"/>
    <w:next w:val="Tablaconcuadrcula"/>
    <w:locked/>
    <w:rsid w:val="002F636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645C6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45C62"/>
    <w:rPr>
      <w:sz w:val="24"/>
      <w:szCs w:val="24"/>
      <w:lang w:val="es-ES" w:eastAsia="es-ES"/>
    </w:rPr>
  </w:style>
  <w:style w:type="paragraph" w:customStyle="1" w:styleId="Default">
    <w:name w:val="Default"/>
    <w:rsid w:val="00D65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65084"/>
    <w:rPr>
      <w:b/>
      <w:bCs/>
    </w:rPr>
  </w:style>
  <w:style w:type="character" w:styleId="Refdenotaalpie">
    <w:name w:val="footnote reference"/>
    <w:unhideWhenUsed/>
    <w:rsid w:val="00215C41"/>
    <w:rPr>
      <w:vertAlign w:val="superscript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BE62EA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ci@it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3550-3E79-4AE3-91AC-2857018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4432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que:</vt:lpstr>
    </vt:vector>
  </TitlesOfParts>
  <Company/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que:</dc:title>
  <dc:subject/>
  <dc:creator>Carlos Mata</dc:creator>
  <cp:keywords/>
  <cp:lastModifiedBy>Ana Ruth Solano Moya</cp:lastModifiedBy>
  <cp:revision>72</cp:revision>
  <cp:lastPrinted>2018-10-17T19:24:00Z</cp:lastPrinted>
  <dcterms:created xsi:type="dcterms:W3CDTF">2018-05-02T21:37:00Z</dcterms:created>
  <dcterms:modified xsi:type="dcterms:W3CDTF">2018-11-08T15:04:00Z</dcterms:modified>
</cp:coreProperties>
</file>