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F41610">
        <w:rPr>
          <w:rFonts w:ascii="Arial" w:hAnsi="Arial" w:cs="Arial"/>
          <w:b/>
          <w:bCs/>
          <w:iCs/>
          <w:sz w:val="26"/>
          <w:szCs w:val="22"/>
          <w:lang w:val="es-CR"/>
        </w:rPr>
        <w:t>987</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F41610" w:rsidRDefault="00F41610"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 Marcelo Prieto Jiménez, Presidente CONARE </w:t>
            </w:r>
          </w:p>
          <w:p w:rsidR="00F41610" w:rsidRDefault="00F41610"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Sr. Eduardo Sibaja Arias, Director OPES, CONARE</w:t>
            </w:r>
          </w:p>
          <w:p w:rsidR="00BE62EA" w:rsidRDefault="00BE62EA" w:rsidP="00BE62EA">
            <w:pPr>
              <w:jc w:val="both"/>
              <w:rPr>
                <w:rFonts w:ascii="Arial" w:eastAsia="Cambria" w:hAnsi="Arial" w:cs="Arial"/>
                <w:sz w:val="22"/>
                <w:szCs w:val="22"/>
                <w:lang w:val="es-ES_tradnl" w:eastAsia="en-US"/>
              </w:rPr>
            </w:pPr>
          </w:p>
          <w:p w:rsidR="00BE62EA" w:rsidRPr="00F548D2" w:rsidRDefault="00BE62EA" w:rsidP="00BE62EA">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CF4A51"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Presidente</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AD241E"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21</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BE62EA">
              <w:rPr>
                <w:rFonts w:ascii="Arial" w:eastAsia="Cambria" w:hAnsi="Arial" w:cs="Arial"/>
                <w:b/>
                <w:sz w:val="22"/>
                <w:szCs w:val="22"/>
                <w:lang w:val="es-ES_tradnl" w:eastAsia="en-US"/>
              </w:rPr>
              <w:t>noviem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AD241E">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30</w:t>
            </w:r>
            <w:r w:rsidR="008F0835" w:rsidRPr="008F0835">
              <w:rPr>
                <w:rFonts w:ascii="Arial" w:eastAsia="Calibri" w:hAnsi="Arial" w:cs="Arial"/>
                <w:b/>
                <w:sz w:val="22"/>
                <w:szCs w:val="22"/>
              </w:rPr>
              <w:t>9</w:t>
            </w:r>
            <w:r w:rsidR="00AD241E">
              <w:rPr>
                <w:rFonts w:ascii="Arial" w:eastAsia="Calibri" w:hAnsi="Arial" w:cs="Arial"/>
                <w:b/>
                <w:sz w:val="22"/>
                <w:szCs w:val="22"/>
              </w:rPr>
              <w:t>8</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E913FF">
              <w:rPr>
                <w:rFonts w:ascii="Arial" w:eastAsia="Calibri" w:hAnsi="Arial" w:cs="Arial"/>
                <w:b/>
                <w:sz w:val="22"/>
                <w:szCs w:val="22"/>
              </w:rPr>
              <w:t>10</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AD241E">
              <w:rPr>
                <w:rFonts w:ascii="Arial" w:eastAsia="Calibri" w:hAnsi="Arial" w:cs="Arial"/>
                <w:b/>
                <w:sz w:val="22"/>
                <w:szCs w:val="22"/>
              </w:rPr>
              <w:t>21</w:t>
            </w:r>
            <w:r w:rsidR="00BE62EA">
              <w:rPr>
                <w:rFonts w:ascii="Arial" w:eastAsia="Calibri" w:hAnsi="Arial" w:cs="Arial"/>
                <w:b/>
                <w:sz w:val="22"/>
                <w:szCs w:val="22"/>
              </w:rPr>
              <w:t xml:space="preserve"> de noviembre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AD241E" w:rsidRPr="00AD241E">
              <w:rPr>
                <w:rFonts w:ascii="Arial" w:eastAsia="Calibri" w:hAnsi="Arial" w:cs="Arial"/>
                <w:b/>
                <w:sz w:val="22"/>
                <w:szCs w:val="22"/>
                <w:lang w:val="es-CR" w:eastAsia="en-US"/>
              </w:rPr>
              <w:t>Solicitud de información financiera del Consejo Nacional de Rectores (CONARE)</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8D187C" w:rsidRDefault="008D187C" w:rsidP="007742A1">
      <w:pPr>
        <w:jc w:val="both"/>
        <w:rPr>
          <w:rFonts w:ascii="Arial" w:eastAsia="Cambria" w:hAnsi="Arial" w:cs="Arial"/>
          <w:lang w:val="es-ES_tradnl" w:eastAsia="en-US"/>
        </w:rPr>
      </w:pPr>
    </w:p>
    <w:p w:rsidR="00F41610" w:rsidRPr="00F41610" w:rsidRDefault="00F41610" w:rsidP="00F41610">
      <w:pPr>
        <w:tabs>
          <w:tab w:val="left" w:pos="3070"/>
        </w:tabs>
        <w:contextualSpacing/>
        <w:jc w:val="both"/>
        <w:outlineLvl w:val="0"/>
        <w:rPr>
          <w:rFonts w:ascii="Arial" w:hAnsi="Arial" w:cs="Arial"/>
          <w:b/>
          <w:lang w:val="es-CR"/>
        </w:rPr>
      </w:pPr>
      <w:r w:rsidRPr="00F41610">
        <w:rPr>
          <w:rFonts w:ascii="Arial" w:hAnsi="Arial" w:cs="Arial"/>
          <w:b/>
          <w:lang w:val="es-CR"/>
        </w:rPr>
        <w:t>RESULTANDO QUE:</w:t>
      </w:r>
    </w:p>
    <w:p w:rsidR="00F41610" w:rsidRPr="00F41610" w:rsidRDefault="00F41610" w:rsidP="00F41610">
      <w:pPr>
        <w:tabs>
          <w:tab w:val="left" w:pos="3070"/>
        </w:tabs>
        <w:contextualSpacing/>
        <w:jc w:val="both"/>
        <w:outlineLvl w:val="0"/>
        <w:rPr>
          <w:rFonts w:ascii="Arial" w:hAnsi="Arial" w:cs="Arial"/>
          <w:b/>
          <w:lang w:val="es-CR"/>
        </w:rPr>
      </w:pPr>
    </w:p>
    <w:p w:rsidR="00F41610" w:rsidRPr="00F41610" w:rsidRDefault="00F41610" w:rsidP="00F41610">
      <w:pPr>
        <w:numPr>
          <w:ilvl w:val="0"/>
          <w:numId w:val="7"/>
        </w:numPr>
        <w:ind w:left="360"/>
        <w:jc w:val="both"/>
        <w:rPr>
          <w:rFonts w:ascii="Arial" w:hAnsi="Arial" w:cs="Arial"/>
          <w:lang w:val="es-CR"/>
        </w:rPr>
      </w:pPr>
      <w:r w:rsidRPr="00F41610">
        <w:rPr>
          <w:rFonts w:ascii="Arial" w:hAnsi="Arial" w:cs="Arial"/>
          <w:lang w:val="es-CR"/>
        </w:rPr>
        <w:t>El inciso b) del Artículo 18, del Estatuto Orgánico, establece:</w:t>
      </w:r>
    </w:p>
    <w:p w:rsidR="00F41610" w:rsidRPr="00F41610" w:rsidRDefault="00F41610" w:rsidP="00F41610">
      <w:pPr>
        <w:ind w:left="709" w:right="284"/>
        <w:contextualSpacing/>
        <w:jc w:val="both"/>
        <w:rPr>
          <w:rFonts w:ascii="Arial" w:eastAsia="Calibri" w:hAnsi="Arial" w:cs="Arial"/>
          <w:bCs/>
          <w:i/>
          <w:sz w:val="22"/>
          <w:szCs w:val="22"/>
          <w:lang w:val="es-CR"/>
        </w:rPr>
      </w:pPr>
    </w:p>
    <w:p w:rsidR="00F41610" w:rsidRPr="00F41610" w:rsidRDefault="00F41610" w:rsidP="00F41610">
      <w:pPr>
        <w:ind w:left="709" w:right="284"/>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“Son funciones del Consejo Institucional:</w:t>
      </w:r>
    </w:p>
    <w:p w:rsidR="00F41610" w:rsidRPr="00F41610" w:rsidRDefault="00F41610" w:rsidP="00F41610">
      <w:pPr>
        <w:ind w:left="709" w:right="284"/>
        <w:contextualSpacing/>
        <w:jc w:val="both"/>
        <w:rPr>
          <w:rFonts w:ascii="Arial" w:eastAsia="Calibri" w:hAnsi="Arial" w:cs="Arial"/>
          <w:bCs/>
          <w:i/>
          <w:sz w:val="22"/>
          <w:szCs w:val="22"/>
          <w:lang w:val="es-CR"/>
        </w:rPr>
      </w:pPr>
    </w:p>
    <w:p w:rsidR="00F41610" w:rsidRPr="00F41610" w:rsidRDefault="00F41610" w:rsidP="00F41610">
      <w:pPr>
        <w:ind w:left="810" w:right="992"/>
        <w:contextualSpacing/>
        <w:jc w:val="both"/>
        <w:rPr>
          <w:rFonts w:ascii="Arial" w:hAnsi="Arial" w:cs="Arial"/>
          <w:bCs/>
          <w:i/>
          <w:sz w:val="22"/>
          <w:szCs w:val="22"/>
          <w:lang w:val="es-CR"/>
        </w:rPr>
      </w:pPr>
      <w:r w:rsidRPr="00F41610">
        <w:rPr>
          <w:rFonts w:ascii="Arial" w:hAnsi="Arial" w:cs="Arial"/>
          <w:bCs/>
          <w:i/>
          <w:sz w:val="22"/>
          <w:szCs w:val="22"/>
          <w:lang w:val="es-CR"/>
        </w:rPr>
        <w:t>…</w:t>
      </w:r>
    </w:p>
    <w:p w:rsidR="00F41610" w:rsidRPr="00F41610" w:rsidRDefault="00F41610" w:rsidP="00F41610">
      <w:pPr>
        <w:ind w:left="810" w:right="992"/>
        <w:contextualSpacing/>
        <w:jc w:val="both"/>
        <w:rPr>
          <w:rFonts w:ascii="Arial" w:hAnsi="Arial" w:cs="Arial"/>
          <w:bCs/>
          <w:i/>
          <w:sz w:val="22"/>
          <w:szCs w:val="22"/>
          <w:lang w:val="es-CR"/>
        </w:rPr>
      </w:pPr>
    </w:p>
    <w:p w:rsidR="00F41610" w:rsidRPr="00F41610" w:rsidRDefault="00F41610" w:rsidP="00F41610">
      <w:pPr>
        <w:ind w:left="993" w:right="992" w:hanging="273"/>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b. Aprobar el Plan estratégico institucional y los Planes anuales operativos, el presupuesto del Instituto, y los indicadores de gestión, de acuerdo con lo establecido en el Estatuto Orgánico y en la reglamentación respectiva.</w:t>
      </w:r>
    </w:p>
    <w:p w:rsidR="00F41610" w:rsidRPr="00F41610" w:rsidRDefault="00F41610" w:rsidP="00F41610">
      <w:pPr>
        <w:jc w:val="both"/>
        <w:rPr>
          <w:rFonts w:ascii="Arial" w:hAnsi="Arial" w:cs="Arial"/>
          <w:sz w:val="20"/>
          <w:szCs w:val="20"/>
          <w:lang w:val="es-CR"/>
        </w:rPr>
      </w:pPr>
    </w:p>
    <w:p w:rsidR="00F41610" w:rsidRPr="00F41610" w:rsidRDefault="00F41610" w:rsidP="00F41610">
      <w:pPr>
        <w:numPr>
          <w:ilvl w:val="0"/>
          <w:numId w:val="7"/>
        </w:numPr>
        <w:ind w:left="360"/>
        <w:jc w:val="both"/>
        <w:rPr>
          <w:lang w:val="es-CR"/>
        </w:rPr>
      </w:pPr>
      <w:r w:rsidRPr="00F41610">
        <w:rPr>
          <w:rFonts w:ascii="Arial" w:hAnsi="Arial" w:cs="Arial"/>
          <w:lang w:val="es-CR"/>
        </w:rPr>
        <w:t>El Reglamento del Consejo Institucional, en lo que interesa, señala en su Artículo 4</w:t>
      </w:r>
      <w:r>
        <w:rPr>
          <w:rFonts w:ascii="Arial" w:hAnsi="Arial" w:cs="Arial"/>
          <w:lang w:val="es-CR"/>
        </w:rPr>
        <w:t>,</w:t>
      </w:r>
      <w:r w:rsidRPr="00F41610">
        <w:rPr>
          <w:rFonts w:ascii="Arial" w:hAnsi="Arial" w:cs="Arial"/>
          <w:lang w:val="es-CR"/>
        </w:rPr>
        <w:t xml:space="preserve"> lo siguiente:</w:t>
      </w:r>
    </w:p>
    <w:p w:rsidR="00F41610" w:rsidRPr="00F41610" w:rsidRDefault="00F41610" w:rsidP="00F41610">
      <w:pPr>
        <w:ind w:left="360"/>
        <w:jc w:val="both"/>
        <w:rPr>
          <w:lang w:val="es-CR"/>
        </w:rPr>
      </w:pPr>
    </w:p>
    <w:p w:rsidR="00F41610" w:rsidRPr="00F41610" w:rsidRDefault="00F41610" w:rsidP="00F41610">
      <w:pPr>
        <w:spacing w:after="240"/>
        <w:ind w:left="709" w:right="284"/>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“Son deberes y derechos de las personas integrantes del Consejo Institucional:</w:t>
      </w:r>
    </w:p>
    <w:p w:rsidR="00F41610" w:rsidRPr="00F41610" w:rsidRDefault="00F41610" w:rsidP="00F41610">
      <w:pPr>
        <w:ind w:left="709" w:right="284"/>
        <w:contextualSpacing/>
        <w:jc w:val="both"/>
        <w:rPr>
          <w:rFonts w:ascii="Arial" w:eastAsia="Calibri" w:hAnsi="Arial" w:cs="Arial"/>
          <w:bCs/>
          <w:i/>
          <w:sz w:val="22"/>
          <w:szCs w:val="22"/>
          <w:lang w:val="es-CR"/>
        </w:rPr>
      </w:pPr>
    </w:p>
    <w:p w:rsidR="00F41610" w:rsidRPr="00F41610" w:rsidRDefault="00F41610" w:rsidP="00F41610">
      <w:pPr>
        <w:ind w:left="993" w:right="284" w:hanging="284"/>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a. …</w:t>
      </w:r>
    </w:p>
    <w:p w:rsidR="00F41610" w:rsidRPr="00F41610" w:rsidRDefault="00F41610" w:rsidP="00F41610">
      <w:pPr>
        <w:ind w:left="993" w:right="284" w:hanging="284"/>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b. Participar en la definición de asuntos estratégicos y prioritarios por atender</w:t>
      </w:r>
    </w:p>
    <w:p w:rsidR="00F41610" w:rsidRPr="00F41610" w:rsidRDefault="00F41610" w:rsidP="00F41610">
      <w:pPr>
        <w:ind w:left="993" w:hanging="284"/>
        <w:rPr>
          <w:rFonts w:ascii="Verdana" w:hAnsi="Verdana"/>
          <w:i/>
          <w:sz w:val="22"/>
          <w:szCs w:val="22"/>
          <w:lang w:val="es-CR" w:eastAsia="es-CR"/>
        </w:rPr>
      </w:pPr>
      <w:r w:rsidRPr="00F41610">
        <w:rPr>
          <w:rFonts w:ascii="Verdana" w:hAnsi="Verdana"/>
          <w:i/>
          <w:sz w:val="22"/>
          <w:szCs w:val="22"/>
          <w:lang w:val="es-CR" w:eastAsia="es-CR"/>
        </w:rPr>
        <w:t>c. …</w:t>
      </w:r>
    </w:p>
    <w:p w:rsidR="00F41610" w:rsidRPr="00F41610" w:rsidRDefault="00F41610" w:rsidP="00F41610">
      <w:pPr>
        <w:ind w:left="993" w:right="284" w:hanging="284"/>
        <w:contextualSpacing/>
        <w:jc w:val="both"/>
        <w:rPr>
          <w:rFonts w:ascii="Arial" w:eastAsia="Calibri" w:hAnsi="Arial" w:cs="Arial"/>
          <w:bCs/>
          <w:i/>
          <w:sz w:val="22"/>
          <w:szCs w:val="22"/>
          <w:lang w:val="es-CR"/>
        </w:rPr>
      </w:pPr>
      <w:r w:rsidRPr="00F41610">
        <w:rPr>
          <w:rFonts w:ascii="Arial" w:eastAsia="Calibri" w:hAnsi="Arial" w:cs="Arial"/>
          <w:bCs/>
          <w:i/>
          <w:sz w:val="22"/>
          <w:szCs w:val="22"/>
          <w:lang w:val="es-CR"/>
        </w:rPr>
        <w:t>g. Presentar por escrito, los proyectos, propuestas y mociones que crean oportunas…”</w:t>
      </w:r>
    </w:p>
    <w:p w:rsidR="00F41610" w:rsidRPr="00F41610" w:rsidRDefault="00F41610" w:rsidP="00F41610">
      <w:pPr>
        <w:ind w:left="360"/>
        <w:jc w:val="both"/>
        <w:rPr>
          <w:rFonts w:ascii="Arial" w:hAnsi="Arial" w:cs="Arial"/>
          <w:lang w:val="es-CR"/>
        </w:rPr>
      </w:pPr>
    </w:p>
    <w:p w:rsidR="00F41610" w:rsidRPr="00F41610" w:rsidRDefault="00F41610" w:rsidP="00F41610">
      <w:pPr>
        <w:numPr>
          <w:ilvl w:val="0"/>
          <w:numId w:val="7"/>
        </w:numPr>
        <w:ind w:left="360"/>
        <w:jc w:val="both"/>
        <w:rPr>
          <w:rFonts w:ascii="Arial" w:hAnsi="Arial" w:cs="Arial"/>
          <w:lang w:val="es-CR"/>
        </w:rPr>
      </w:pPr>
      <w:r w:rsidRPr="00F41610">
        <w:rPr>
          <w:rFonts w:ascii="Arial" w:hAnsi="Arial" w:cs="Arial"/>
          <w:lang w:val="es-CR"/>
        </w:rPr>
        <w:t>El Consejo Institucional en Sesión</w:t>
      </w:r>
      <w:r>
        <w:rPr>
          <w:rFonts w:ascii="Arial" w:hAnsi="Arial" w:cs="Arial"/>
          <w:lang w:val="es-CR"/>
        </w:rPr>
        <w:t xml:space="preserve"> Ordinaria</w:t>
      </w:r>
      <w:r w:rsidRPr="00F41610">
        <w:rPr>
          <w:rFonts w:ascii="Arial" w:hAnsi="Arial" w:cs="Arial"/>
          <w:lang w:val="es-CR"/>
        </w:rPr>
        <w:t xml:space="preserve"> 3089</w:t>
      </w:r>
      <w:r>
        <w:rPr>
          <w:rFonts w:ascii="Arial" w:hAnsi="Arial" w:cs="Arial"/>
          <w:lang w:val="es-CR"/>
        </w:rPr>
        <w:t>,</w:t>
      </w:r>
      <w:r w:rsidRPr="00F41610">
        <w:rPr>
          <w:rFonts w:ascii="Arial" w:hAnsi="Arial" w:cs="Arial"/>
          <w:lang w:val="es-CR"/>
        </w:rPr>
        <w:t xml:space="preserve"> Artículo 9</w:t>
      </w:r>
      <w:r>
        <w:rPr>
          <w:rFonts w:ascii="Arial" w:hAnsi="Arial" w:cs="Arial"/>
          <w:lang w:val="es-CR"/>
        </w:rPr>
        <w:t xml:space="preserve">, del 25 de setiembre de 2018, </w:t>
      </w:r>
      <w:r w:rsidRPr="00F41610">
        <w:rPr>
          <w:rFonts w:ascii="Arial" w:hAnsi="Arial" w:cs="Arial"/>
          <w:lang w:val="es-CR"/>
        </w:rPr>
        <w:t>aprueba el Plan-Presupuesto 2019</w:t>
      </w:r>
      <w:r>
        <w:rPr>
          <w:rFonts w:ascii="Arial" w:hAnsi="Arial" w:cs="Arial"/>
          <w:lang w:val="es-CR"/>
        </w:rPr>
        <w:t>,</w:t>
      </w:r>
      <w:r w:rsidRPr="00F41610">
        <w:rPr>
          <w:rFonts w:ascii="Arial" w:hAnsi="Arial" w:cs="Arial"/>
          <w:lang w:val="es-CR"/>
        </w:rPr>
        <w:t xml:space="preserve"> con una serie de ajustes importantes en sus partidas y metas para poder hacer el cierre del año.  Estos ajustes estarán sustentados en una serie de medidas de contención a corto, mediano y largo plazo.  Así también, las acciones están considerando los resultados que se obtuvieron del estudio actuarial</w:t>
      </w:r>
      <w:r>
        <w:rPr>
          <w:rFonts w:ascii="Arial" w:hAnsi="Arial" w:cs="Arial"/>
          <w:lang w:val="es-CR"/>
        </w:rPr>
        <w:t>,</w:t>
      </w:r>
      <w:r w:rsidRPr="00F41610">
        <w:rPr>
          <w:rFonts w:ascii="Arial" w:hAnsi="Arial" w:cs="Arial"/>
          <w:lang w:val="es-CR"/>
        </w:rPr>
        <w:t xml:space="preserve"> que evidencia que en los próximos años estará enfrenando problemas para cubrir el gasto corriente.</w:t>
      </w:r>
    </w:p>
    <w:p w:rsidR="00F41610" w:rsidRDefault="00F41610" w:rsidP="00F41610">
      <w:pPr>
        <w:jc w:val="both"/>
        <w:rPr>
          <w:rFonts w:ascii="Arial" w:hAnsi="Arial" w:cs="Arial"/>
          <w:lang w:val="es-CR"/>
        </w:rPr>
      </w:pPr>
    </w:p>
    <w:p w:rsidR="00F41610" w:rsidRPr="00F41610" w:rsidRDefault="00F41610" w:rsidP="00F41610">
      <w:pPr>
        <w:tabs>
          <w:tab w:val="left" w:pos="3070"/>
        </w:tabs>
        <w:contextualSpacing/>
        <w:jc w:val="both"/>
        <w:outlineLvl w:val="0"/>
        <w:rPr>
          <w:rFonts w:ascii="Arial" w:hAnsi="Arial" w:cs="Arial"/>
          <w:b/>
          <w:lang w:val="es-CR"/>
        </w:rPr>
      </w:pPr>
    </w:p>
    <w:p w:rsidR="00F41610" w:rsidRPr="00F41610" w:rsidRDefault="00F41610" w:rsidP="00F41610">
      <w:pPr>
        <w:tabs>
          <w:tab w:val="left" w:pos="3070"/>
        </w:tabs>
        <w:contextualSpacing/>
        <w:jc w:val="both"/>
        <w:outlineLvl w:val="0"/>
        <w:rPr>
          <w:rFonts w:ascii="Arial" w:hAnsi="Arial" w:cs="Arial"/>
          <w:b/>
          <w:lang w:val="es-CR"/>
        </w:rPr>
      </w:pPr>
      <w:r w:rsidRPr="00F41610">
        <w:rPr>
          <w:rFonts w:ascii="Arial" w:hAnsi="Arial" w:cs="Arial"/>
          <w:b/>
          <w:lang w:val="es-CR"/>
        </w:rPr>
        <w:lastRenderedPageBreak/>
        <w:t>CONSIDERANDO QUE:</w:t>
      </w:r>
    </w:p>
    <w:p w:rsidR="00F41610" w:rsidRPr="00F41610" w:rsidRDefault="00F41610" w:rsidP="00F41610">
      <w:pPr>
        <w:ind w:left="426" w:right="-91"/>
        <w:jc w:val="both"/>
        <w:rPr>
          <w:rFonts w:ascii="Arial" w:hAnsi="Arial" w:cs="Arial"/>
          <w:lang w:val="es-CR"/>
        </w:rPr>
      </w:pPr>
    </w:p>
    <w:p w:rsidR="00F41610" w:rsidRPr="00F41610" w:rsidRDefault="00F41610" w:rsidP="00F41610">
      <w:pPr>
        <w:numPr>
          <w:ilvl w:val="0"/>
          <w:numId w:val="9"/>
        </w:numPr>
        <w:ind w:left="284"/>
        <w:jc w:val="both"/>
        <w:rPr>
          <w:rFonts w:ascii="Arial" w:hAnsi="Arial" w:cs="Arial"/>
          <w:lang w:val="es-CR"/>
        </w:rPr>
      </w:pPr>
      <w:r w:rsidRPr="00F41610">
        <w:rPr>
          <w:rFonts w:ascii="Arial" w:hAnsi="Arial" w:cs="Arial"/>
          <w:lang w:val="es-CR"/>
        </w:rPr>
        <w:t>En el anteproyecto del PAO-Presupuesto 2018, presentado el 24 de agosto del 2017, se le informó a la Comisión de Planificación y Administración de la siguiente distribución del FEES:</w:t>
      </w:r>
    </w:p>
    <w:p w:rsidR="00F41610" w:rsidRPr="00F41610" w:rsidRDefault="00F41610" w:rsidP="00F41610">
      <w:pPr>
        <w:jc w:val="both"/>
        <w:rPr>
          <w:rFonts w:ascii="Arial" w:eastAsia="Cambria" w:hAnsi="Arial" w:cs="Arial"/>
          <w:bCs/>
          <w:sz w:val="20"/>
          <w:szCs w:val="20"/>
          <w:lang w:val="es-CR"/>
        </w:rPr>
      </w:pPr>
    </w:p>
    <w:p w:rsidR="00F41610" w:rsidRPr="00F41610" w:rsidRDefault="00F41610" w:rsidP="00F41610">
      <w:pPr>
        <w:jc w:val="both"/>
        <w:rPr>
          <w:rFonts w:ascii="Arial" w:eastAsia="Cambria" w:hAnsi="Arial" w:cs="Arial"/>
          <w:bCs/>
          <w:sz w:val="20"/>
          <w:szCs w:val="20"/>
          <w:lang w:val="es-C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857"/>
      </w:tblGrid>
      <w:tr w:rsidR="00F41610" w:rsidRPr="00F41610" w:rsidTr="00545B38">
        <w:tc>
          <w:tcPr>
            <w:tcW w:w="538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CONCEPTO</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PORCENTAJE</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FEES</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100%</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 xml:space="preserve">CONARE </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1,24%</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FEES Fondo del Sistema</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5,35%</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 xml:space="preserve">   Fortalecimiento Enseñanza a Distancia</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1,50%</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 xml:space="preserve">  Fondo para la equidad en la distribución</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 xml:space="preserve">  Fondo del sistema – proyectos conjuntos</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3,85%</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FEES institucional</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UCR</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57,79%</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ITCR</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11,30%</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UNA</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23,40%</w:t>
            </w:r>
          </w:p>
        </w:tc>
      </w:tr>
      <w:tr w:rsidR="00F41610" w:rsidRPr="00F41610" w:rsidTr="00545B38">
        <w:tc>
          <w:tcPr>
            <w:tcW w:w="5387" w:type="dxa"/>
            <w:shd w:val="clear" w:color="auto" w:fill="auto"/>
          </w:tcPr>
          <w:p w:rsidR="00F41610" w:rsidRPr="00F41610" w:rsidRDefault="00F41610" w:rsidP="00F41610">
            <w:pPr>
              <w:jc w:val="both"/>
              <w:rPr>
                <w:rFonts w:ascii="Arial" w:hAnsi="Arial" w:cs="Arial"/>
                <w:sz w:val="22"/>
                <w:szCs w:val="22"/>
                <w:lang w:val="es-ES_tradnl"/>
              </w:rPr>
            </w:pPr>
            <w:r w:rsidRPr="00F41610">
              <w:rPr>
                <w:rFonts w:ascii="Arial" w:hAnsi="Arial" w:cs="Arial"/>
                <w:sz w:val="22"/>
                <w:szCs w:val="22"/>
                <w:lang w:val="es-ES_tradnl"/>
              </w:rPr>
              <w:t>UNED</w:t>
            </w:r>
          </w:p>
        </w:tc>
        <w:tc>
          <w:tcPr>
            <w:tcW w:w="1857" w:type="dxa"/>
            <w:shd w:val="clear" w:color="auto" w:fill="auto"/>
          </w:tcPr>
          <w:p w:rsidR="00F41610" w:rsidRPr="00F41610" w:rsidRDefault="00F41610" w:rsidP="00F41610">
            <w:pPr>
              <w:jc w:val="center"/>
              <w:rPr>
                <w:rFonts w:ascii="Arial" w:hAnsi="Arial" w:cs="Arial"/>
                <w:sz w:val="22"/>
                <w:szCs w:val="22"/>
                <w:lang w:val="es-ES_tradnl"/>
              </w:rPr>
            </w:pPr>
            <w:r w:rsidRPr="00F41610">
              <w:rPr>
                <w:rFonts w:ascii="Arial" w:hAnsi="Arial" w:cs="Arial"/>
                <w:sz w:val="22"/>
                <w:szCs w:val="22"/>
                <w:lang w:val="es-ES_tradnl"/>
              </w:rPr>
              <w:t>7,51%</w:t>
            </w:r>
          </w:p>
        </w:tc>
      </w:tr>
    </w:tbl>
    <w:p w:rsidR="00F41610" w:rsidRPr="00F41610" w:rsidRDefault="00F41610" w:rsidP="00F41610">
      <w:pPr>
        <w:ind w:left="426" w:right="-91"/>
        <w:jc w:val="both"/>
        <w:rPr>
          <w:rFonts w:ascii="Arial" w:hAnsi="Arial" w:cs="Arial"/>
          <w:lang w:val="es-CR"/>
        </w:rPr>
      </w:pPr>
    </w:p>
    <w:p w:rsidR="00F41610" w:rsidRPr="00F41610" w:rsidRDefault="00F41610" w:rsidP="00F41610">
      <w:pPr>
        <w:numPr>
          <w:ilvl w:val="0"/>
          <w:numId w:val="9"/>
        </w:numPr>
        <w:ind w:left="284"/>
        <w:jc w:val="both"/>
        <w:rPr>
          <w:rFonts w:ascii="Arial" w:hAnsi="Arial" w:cs="Arial"/>
          <w:lang w:val="es-CR"/>
        </w:rPr>
      </w:pPr>
      <w:r w:rsidRPr="00F41610">
        <w:rPr>
          <w:rFonts w:ascii="Arial" w:hAnsi="Arial" w:cs="Arial"/>
          <w:lang w:val="es-CR"/>
        </w:rPr>
        <w:t>Para la formulación del 2019, está información no se presentó y la Comisión de Planificación y Administración</w:t>
      </w:r>
      <w:r>
        <w:rPr>
          <w:rFonts w:ascii="Arial" w:hAnsi="Arial" w:cs="Arial"/>
          <w:lang w:val="es-CR"/>
        </w:rPr>
        <w:t>,</w:t>
      </w:r>
      <w:r w:rsidRPr="00F41610">
        <w:rPr>
          <w:rFonts w:ascii="Arial" w:hAnsi="Arial" w:cs="Arial"/>
          <w:lang w:val="es-CR"/>
        </w:rPr>
        <w:t xml:space="preserve"> necesita tener mayor detalle de la distribución total del FEES.</w:t>
      </w:r>
    </w:p>
    <w:p w:rsidR="00F41610" w:rsidRPr="00F41610" w:rsidRDefault="00F41610" w:rsidP="00F41610">
      <w:pPr>
        <w:ind w:left="284"/>
        <w:jc w:val="both"/>
        <w:rPr>
          <w:rFonts w:ascii="Arial" w:hAnsi="Arial" w:cs="Arial"/>
          <w:sz w:val="16"/>
          <w:szCs w:val="16"/>
          <w:lang w:val="es-CR"/>
        </w:rPr>
      </w:pPr>
    </w:p>
    <w:p w:rsidR="00F41610" w:rsidRPr="00F41610" w:rsidRDefault="00F41610" w:rsidP="00F41610">
      <w:pPr>
        <w:numPr>
          <w:ilvl w:val="0"/>
          <w:numId w:val="9"/>
        </w:numPr>
        <w:ind w:left="284"/>
        <w:jc w:val="both"/>
        <w:rPr>
          <w:rFonts w:ascii="Arial" w:hAnsi="Arial" w:cs="Arial"/>
          <w:lang w:val="es-CR"/>
        </w:rPr>
      </w:pPr>
      <w:r w:rsidRPr="00F41610">
        <w:rPr>
          <w:rFonts w:ascii="Arial" w:hAnsi="Arial" w:cs="Arial"/>
          <w:lang w:val="es-CR"/>
        </w:rPr>
        <w:t>La Comisión de Planificación en la reunión R-795-2018, realizada del 15 de noviembre revisa la propuesta para ser presentada en el Pleno.</w:t>
      </w:r>
    </w:p>
    <w:p w:rsidR="00F41610" w:rsidRPr="00F41610" w:rsidRDefault="00F41610" w:rsidP="00F41610">
      <w:pPr>
        <w:ind w:left="426" w:right="-91"/>
        <w:jc w:val="both"/>
        <w:rPr>
          <w:rFonts w:ascii="Arial" w:hAnsi="Arial" w:cs="Arial"/>
          <w:sz w:val="20"/>
          <w:szCs w:val="20"/>
          <w:lang w:val="es-CR"/>
        </w:rPr>
      </w:pPr>
    </w:p>
    <w:p w:rsidR="00F41610" w:rsidRPr="00F41610" w:rsidRDefault="00F41610" w:rsidP="00F41610">
      <w:pPr>
        <w:ind w:right="-91"/>
        <w:rPr>
          <w:rFonts w:ascii="Arial" w:hAnsi="Arial" w:cs="Arial"/>
          <w:b/>
          <w:lang w:val="es-CR"/>
        </w:rPr>
      </w:pPr>
      <w:r w:rsidRPr="00F41610">
        <w:rPr>
          <w:rFonts w:ascii="Arial" w:hAnsi="Arial" w:cs="Arial"/>
          <w:b/>
          <w:lang w:val="es-CR"/>
        </w:rPr>
        <w:t>SE</w:t>
      </w:r>
      <w:r>
        <w:rPr>
          <w:rFonts w:ascii="Arial" w:hAnsi="Arial" w:cs="Arial"/>
          <w:b/>
          <w:lang w:val="es-CR"/>
        </w:rPr>
        <w:t xml:space="preserve"> ACUERDA</w:t>
      </w:r>
      <w:r w:rsidRPr="00F41610">
        <w:rPr>
          <w:rFonts w:ascii="Arial" w:hAnsi="Arial" w:cs="Arial"/>
          <w:b/>
          <w:lang w:val="es-CR"/>
        </w:rPr>
        <w:t>:</w:t>
      </w:r>
    </w:p>
    <w:p w:rsidR="00F41610" w:rsidRPr="00F41610" w:rsidRDefault="00F41610" w:rsidP="00F41610">
      <w:pPr>
        <w:ind w:left="360" w:right="-91"/>
        <w:rPr>
          <w:rFonts w:ascii="Arial" w:hAnsi="Arial" w:cs="Arial"/>
          <w:sz w:val="16"/>
          <w:szCs w:val="16"/>
        </w:rPr>
      </w:pPr>
    </w:p>
    <w:p w:rsidR="00F41610" w:rsidRPr="00F41610" w:rsidRDefault="00F41610" w:rsidP="00F41610">
      <w:pPr>
        <w:numPr>
          <w:ilvl w:val="0"/>
          <w:numId w:val="8"/>
        </w:numPr>
        <w:ind w:left="426" w:right="-91"/>
        <w:jc w:val="both"/>
        <w:rPr>
          <w:rFonts w:ascii="Arial" w:hAnsi="Arial" w:cs="Arial"/>
          <w:lang w:val="es-CR"/>
        </w:rPr>
      </w:pPr>
      <w:r w:rsidRPr="00F41610">
        <w:rPr>
          <w:rFonts w:ascii="Arial" w:hAnsi="Arial" w:cs="Arial"/>
          <w:lang w:val="es-CR"/>
        </w:rPr>
        <w:t>Solicitar a</w:t>
      </w:r>
      <w:r>
        <w:rPr>
          <w:rFonts w:ascii="Arial" w:hAnsi="Arial" w:cs="Arial"/>
          <w:lang w:val="es-CR"/>
        </w:rPr>
        <w:t xml:space="preserve">l </w:t>
      </w:r>
      <w:r w:rsidRPr="00F41610">
        <w:rPr>
          <w:rFonts w:ascii="Arial" w:hAnsi="Arial" w:cs="Arial"/>
          <w:lang w:val="es-CR"/>
        </w:rPr>
        <w:t>C</w:t>
      </w:r>
      <w:r>
        <w:rPr>
          <w:rFonts w:ascii="Arial" w:hAnsi="Arial" w:cs="Arial"/>
          <w:lang w:val="es-CR"/>
        </w:rPr>
        <w:t>onsejo Nacional de Rectores,</w:t>
      </w:r>
      <w:r w:rsidRPr="00F41610">
        <w:rPr>
          <w:rFonts w:ascii="Arial" w:hAnsi="Arial" w:cs="Arial"/>
          <w:lang w:val="es-CR"/>
        </w:rPr>
        <w:t xml:space="preserve"> lo siguiente:</w:t>
      </w:r>
    </w:p>
    <w:p w:rsidR="00F41610" w:rsidRPr="00F41610" w:rsidRDefault="00F41610" w:rsidP="00F41610">
      <w:pPr>
        <w:ind w:left="66" w:right="-91"/>
        <w:jc w:val="both"/>
        <w:rPr>
          <w:rFonts w:ascii="Arial" w:hAnsi="Arial" w:cs="Arial"/>
          <w:sz w:val="16"/>
          <w:szCs w:val="16"/>
          <w:lang w:val="es-CR"/>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El porcentaje y montos asignados a cada concepto durante los últimos 5 años.  El concepto significa lo asignado a CONARE FEES</w:t>
      </w:r>
      <w:r>
        <w:rPr>
          <w:rFonts w:ascii="Arial" w:hAnsi="Arial" w:cs="Arial"/>
          <w:lang w:val="es-ES_tradnl"/>
        </w:rPr>
        <w:t>,</w:t>
      </w:r>
      <w:r w:rsidRPr="00F41610">
        <w:rPr>
          <w:rFonts w:ascii="Arial" w:hAnsi="Arial" w:cs="Arial"/>
          <w:lang w:val="es-ES_tradnl"/>
        </w:rPr>
        <w:t xml:space="preserve"> Fondo del S</w:t>
      </w:r>
      <w:r>
        <w:rPr>
          <w:rFonts w:ascii="Arial" w:hAnsi="Arial" w:cs="Arial"/>
          <w:lang w:val="es-ES_tradnl"/>
        </w:rPr>
        <w:t>istema y FEES I</w:t>
      </w:r>
      <w:r w:rsidRPr="00F41610">
        <w:rPr>
          <w:rFonts w:ascii="Arial" w:hAnsi="Arial" w:cs="Arial"/>
          <w:lang w:val="es-ES_tradnl"/>
        </w:rPr>
        <w:t>nstitucional.</w:t>
      </w:r>
    </w:p>
    <w:p w:rsidR="00F41610" w:rsidRPr="00F41610" w:rsidRDefault="00F41610" w:rsidP="00F41610">
      <w:pPr>
        <w:ind w:left="357"/>
        <w:jc w:val="both"/>
        <w:rPr>
          <w:rFonts w:ascii="Arial" w:hAnsi="Arial" w:cs="Arial"/>
          <w:sz w:val="14"/>
          <w:szCs w:val="14"/>
          <w:lang w:val="es-ES_tradnl"/>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Informes de resultados y productos relevantes de los fondos asignados a CONARE.  En qué tipos de proyectos y actividades</w:t>
      </w:r>
      <w:r>
        <w:rPr>
          <w:rFonts w:ascii="Arial" w:hAnsi="Arial" w:cs="Arial"/>
          <w:lang w:val="es-ES_tradnl"/>
        </w:rPr>
        <w:t>,</w:t>
      </w:r>
      <w:r w:rsidRPr="00F41610">
        <w:rPr>
          <w:rFonts w:ascii="Arial" w:hAnsi="Arial" w:cs="Arial"/>
          <w:lang w:val="es-ES_tradnl"/>
        </w:rPr>
        <w:t xml:space="preserve"> se gasta</w:t>
      </w:r>
      <w:r>
        <w:rPr>
          <w:rFonts w:ascii="Arial" w:hAnsi="Arial" w:cs="Arial"/>
          <w:lang w:val="es-ES_tradnl"/>
        </w:rPr>
        <w:t>n</w:t>
      </w:r>
      <w:r w:rsidRPr="00F41610">
        <w:rPr>
          <w:rFonts w:ascii="Arial" w:hAnsi="Arial" w:cs="Arial"/>
          <w:lang w:val="es-ES_tradnl"/>
        </w:rPr>
        <w:t xml:space="preserve"> los fondos asignados.  ¿Qué productos o resultados relevantes se han obtenido?</w:t>
      </w:r>
    </w:p>
    <w:p w:rsidR="00F41610" w:rsidRPr="00F41610" w:rsidRDefault="00F41610" w:rsidP="00F41610">
      <w:pPr>
        <w:ind w:left="357"/>
        <w:jc w:val="both"/>
        <w:rPr>
          <w:rFonts w:ascii="Arial" w:hAnsi="Arial" w:cs="Arial"/>
          <w:sz w:val="14"/>
          <w:szCs w:val="14"/>
          <w:lang w:val="es-ES_tradnl"/>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Informes de resultados y productos relevantes de FEES, Fondos del Sistema.  En qué tipo de proyectos y actividades se gastan los fondos asignados y adicional el detalle de la Sede Interuniversitaria de Alajuela.</w:t>
      </w:r>
    </w:p>
    <w:p w:rsidR="00F41610" w:rsidRPr="00F41610" w:rsidRDefault="00F41610" w:rsidP="00F41610">
      <w:pPr>
        <w:ind w:left="357"/>
        <w:jc w:val="both"/>
        <w:rPr>
          <w:rFonts w:ascii="Arial" w:hAnsi="Arial" w:cs="Arial"/>
          <w:sz w:val="14"/>
          <w:szCs w:val="14"/>
          <w:lang w:val="es-ES_tradnl"/>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En qué concepto se carga los fondos al SINAES. Un recuento de los últimos cinco años y en qué partidas se ha distribuido y gastado el Fondo. Además, de un informe de sus principales productos en cuanto a actividades fundamentales; Acreditaciones en universidades públicas.  Detalle de las contrataciones de las personas asesoras curriculares, cuya función es para las carreras de las universidades públicas.  ¿Cuánto se está asignando? ¿Cuáles universidades y qué resultados?</w:t>
      </w:r>
    </w:p>
    <w:p w:rsidR="00F41610" w:rsidRPr="00F41610" w:rsidRDefault="00F41610" w:rsidP="00F41610">
      <w:pPr>
        <w:ind w:left="357"/>
        <w:jc w:val="both"/>
        <w:rPr>
          <w:rFonts w:ascii="Arial" w:hAnsi="Arial" w:cs="Arial"/>
          <w:sz w:val="14"/>
          <w:szCs w:val="14"/>
          <w:lang w:val="es-ES_tradnl"/>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Informe del Estado de la Nación. ¿Está recibiendo fondos, partidas o asignaciones especiales del FEES?</w:t>
      </w:r>
    </w:p>
    <w:p w:rsidR="00F41610" w:rsidRPr="00F41610" w:rsidRDefault="00F41610" w:rsidP="00F41610">
      <w:pPr>
        <w:ind w:left="357"/>
        <w:jc w:val="both"/>
        <w:rPr>
          <w:rFonts w:ascii="Arial" w:hAnsi="Arial" w:cs="Arial"/>
          <w:sz w:val="14"/>
          <w:szCs w:val="14"/>
          <w:lang w:val="es-ES_tradnl"/>
        </w:rPr>
      </w:pPr>
    </w:p>
    <w:p w:rsidR="00F41610"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lastRenderedPageBreak/>
        <w:t xml:space="preserve">¿Cuál es la distribución y los montos asignados tanto para el 2019 y acuerdo de CONARE? </w:t>
      </w:r>
    </w:p>
    <w:p w:rsidR="00F41610" w:rsidRPr="00F41610" w:rsidRDefault="00F41610" w:rsidP="00F41610">
      <w:pPr>
        <w:ind w:left="357"/>
        <w:jc w:val="both"/>
        <w:rPr>
          <w:rFonts w:ascii="Arial" w:hAnsi="Arial" w:cs="Arial"/>
          <w:sz w:val="14"/>
          <w:szCs w:val="14"/>
          <w:lang w:val="es-ES_tradnl"/>
        </w:rPr>
      </w:pPr>
    </w:p>
    <w:p w:rsidR="008D187C" w:rsidRPr="00F41610" w:rsidRDefault="00F41610" w:rsidP="00F41610">
      <w:pPr>
        <w:numPr>
          <w:ilvl w:val="0"/>
          <w:numId w:val="10"/>
        </w:numPr>
        <w:ind w:left="714" w:hanging="357"/>
        <w:jc w:val="both"/>
        <w:rPr>
          <w:rFonts w:ascii="Arial" w:hAnsi="Arial" w:cs="Arial"/>
          <w:lang w:val="es-ES_tradnl"/>
        </w:rPr>
      </w:pPr>
      <w:r w:rsidRPr="00F41610">
        <w:rPr>
          <w:rFonts w:ascii="Arial" w:hAnsi="Arial" w:cs="Arial"/>
          <w:lang w:val="es-ES_tradnl"/>
        </w:rPr>
        <w:t>Los planes a realizar para el 2019 por parte de CONARE.</w:t>
      </w:r>
    </w:p>
    <w:p w:rsidR="00A139D3" w:rsidRDefault="00A139D3" w:rsidP="00A139D3">
      <w:pPr>
        <w:spacing w:before="120"/>
        <w:ind w:right="440"/>
        <w:jc w:val="both"/>
        <w:rPr>
          <w:rFonts w:ascii="Arial" w:eastAsia="Cambria" w:hAnsi="Arial" w:cs="Arial"/>
          <w:lang w:val="es-ES_tradnl" w:eastAsia="en-US"/>
        </w:rPr>
      </w:pPr>
    </w:p>
    <w:p w:rsidR="00215C41" w:rsidRPr="00F41610" w:rsidRDefault="00BB6A5E" w:rsidP="00F41610">
      <w:pPr>
        <w:numPr>
          <w:ilvl w:val="0"/>
          <w:numId w:val="8"/>
        </w:numPr>
        <w:ind w:left="426" w:right="-91"/>
        <w:jc w:val="both"/>
        <w:rPr>
          <w:rFonts w:ascii="Arial" w:hAnsi="Arial" w:cs="Arial"/>
        </w:rPr>
      </w:pPr>
      <w:bookmarkStart w:id="0" w:name="_GoBack"/>
      <w:bookmarkEnd w:id="0"/>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F41610" w:rsidRDefault="00F41610" w:rsidP="00F41610">
      <w:pPr>
        <w:autoSpaceDE w:val="0"/>
        <w:autoSpaceDN w:val="0"/>
        <w:adjustRightInd w:val="0"/>
        <w:jc w:val="both"/>
        <w:rPr>
          <w:rFonts w:ascii="Arial" w:hAnsi="Arial" w:cs="Arial"/>
          <w:b/>
          <w:lang w:val="es-CR"/>
        </w:rPr>
      </w:pPr>
    </w:p>
    <w:p w:rsidR="00F41610" w:rsidRPr="00A50190" w:rsidRDefault="00F41610" w:rsidP="00F41610">
      <w:pPr>
        <w:autoSpaceDE w:val="0"/>
        <w:autoSpaceDN w:val="0"/>
        <w:adjustRightInd w:val="0"/>
        <w:jc w:val="both"/>
        <w:rPr>
          <w:rFonts w:ascii="Arial" w:hAnsi="Arial" w:cs="Arial"/>
        </w:rPr>
      </w:pPr>
    </w:p>
    <w:p w:rsidR="00F41610" w:rsidRPr="00F41610" w:rsidRDefault="00F41610" w:rsidP="00F41610">
      <w:pPr>
        <w:ind w:right="-850"/>
        <w:rPr>
          <w:rFonts w:ascii="Arial" w:hAnsi="Arial" w:cs="Arial"/>
          <w:b/>
          <w:sz w:val="22"/>
          <w:szCs w:val="22"/>
          <w:lang w:val="es-CR"/>
        </w:rPr>
      </w:pPr>
      <w:r w:rsidRPr="00F41610">
        <w:rPr>
          <w:rFonts w:ascii="Arial" w:hAnsi="Arial" w:cs="Arial"/>
          <w:b/>
          <w:sz w:val="22"/>
          <w:szCs w:val="22"/>
          <w:lang w:val="es-CR"/>
        </w:rPr>
        <w:t>Palabras clave:  Solicitud – información – financiera - CONARE – montos – concepto - FEES</w:t>
      </w:r>
    </w:p>
    <w:p w:rsidR="00F41610" w:rsidRPr="00F41610" w:rsidRDefault="00F41610" w:rsidP="00F41610">
      <w:pPr>
        <w:tabs>
          <w:tab w:val="left" w:pos="760"/>
        </w:tabs>
        <w:spacing w:line="276" w:lineRule="auto"/>
        <w:jc w:val="both"/>
        <w:rPr>
          <w:rFonts w:ascii="Arial" w:hAnsi="Arial" w:cs="Arial"/>
          <w:b/>
          <w:sz w:val="22"/>
          <w:szCs w:val="22"/>
          <w:lang w:val="es-CR"/>
        </w:rPr>
      </w:pPr>
    </w:p>
    <w:p w:rsidR="00F41610" w:rsidRPr="008D187C" w:rsidRDefault="00F41610" w:rsidP="00F41610">
      <w:pPr>
        <w:autoSpaceDE w:val="0"/>
        <w:autoSpaceDN w:val="0"/>
        <w:adjustRightInd w:val="0"/>
        <w:jc w:val="both"/>
        <w:rPr>
          <w:rFonts w:ascii="Arial" w:hAnsi="Arial" w:cs="Arial"/>
          <w:sz w:val="20"/>
          <w:szCs w:val="20"/>
          <w:lang w:val="es-CR"/>
        </w:rPr>
      </w:pPr>
    </w:p>
    <w:p w:rsidR="00A50190" w:rsidRDefault="00A50190" w:rsidP="00A50190">
      <w:pPr>
        <w:pStyle w:val="Prrafodelista"/>
        <w:rPr>
          <w:rFonts w:ascii="Arial" w:hAnsi="Arial" w:cs="Arial"/>
        </w:rPr>
      </w:pPr>
    </w:p>
    <w:p w:rsidR="00A50190" w:rsidRPr="00BE62EA" w:rsidRDefault="00A50190" w:rsidP="00A50190">
      <w:pPr>
        <w:autoSpaceDE w:val="0"/>
        <w:autoSpaceDN w:val="0"/>
        <w:adjustRightInd w:val="0"/>
        <w:jc w:val="both"/>
        <w:rPr>
          <w:rFonts w:ascii="Arial" w:hAnsi="Arial" w:cs="Arial"/>
        </w:rPr>
      </w:pPr>
    </w:p>
    <w:p w:rsidR="00BE62EA" w:rsidRDefault="00BE62EA" w:rsidP="00BE62EA">
      <w:pPr>
        <w:pStyle w:val="Prrafodelista"/>
        <w:rPr>
          <w:rFonts w:ascii="Arial" w:hAnsi="Arial" w:cs="Arial"/>
        </w:rPr>
      </w:pPr>
    </w:p>
    <w:p w:rsidR="00A7618F" w:rsidRDefault="00A7618F" w:rsidP="00A7618F">
      <w:pPr>
        <w:pStyle w:val="Prrafodelista"/>
        <w:rPr>
          <w:rFonts w:ascii="Arial" w:hAnsi="Arial" w:cs="Arial"/>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9C" w:rsidRDefault="00FD7F9C">
      <w:r>
        <w:separator/>
      </w:r>
    </w:p>
  </w:endnote>
  <w:endnote w:type="continuationSeparator" w:id="0">
    <w:p w:rsidR="00FD7F9C" w:rsidRDefault="00FD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9C" w:rsidRDefault="00FD7F9C">
      <w:r>
        <w:separator/>
      </w:r>
    </w:p>
  </w:footnote>
  <w:footnote w:type="continuationSeparator" w:id="0">
    <w:p w:rsidR="00FD7F9C" w:rsidRDefault="00FD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309</w:t>
    </w:r>
    <w:r w:rsidR="00AD241E">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10,</w:t>
    </w:r>
    <w:r w:rsidRPr="00D958BC">
      <w:rPr>
        <w:rFonts w:ascii="Arial" w:eastAsia="Cambria" w:hAnsi="Arial" w:cs="Arial"/>
        <w:i/>
        <w:sz w:val="18"/>
        <w:szCs w:val="18"/>
        <w:lang w:val="es-ES_tradnl" w:eastAsia="x-none"/>
      </w:rPr>
      <w:t xml:space="preserve"> del </w:t>
    </w:r>
    <w:r w:rsidR="00AD241E">
      <w:rPr>
        <w:rFonts w:ascii="Arial" w:eastAsia="Cambria" w:hAnsi="Arial" w:cs="Arial"/>
        <w:i/>
        <w:sz w:val="18"/>
        <w:szCs w:val="18"/>
        <w:lang w:val="es-ES_tradnl" w:eastAsia="x-none"/>
      </w:rPr>
      <w:t>21</w:t>
    </w:r>
    <w:r>
      <w:rPr>
        <w:rFonts w:ascii="Arial" w:eastAsia="Cambria" w:hAnsi="Arial" w:cs="Arial"/>
        <w:i/>
        <w:sz w:val="18"/>
        <w:szCs w:val="18"/>
        <w:lang w:val="es-ES_tradnl" w:eastAsia="x-none"/>
      </w:rPr>
      <w:t xml:space="preserve"> de noviembre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F41610">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1"/>
  </w:num>
  <w:num w:numId="2">
    <w:abstractNumId w:val="8"/>
  </w:num>
  <w:num w:numId="3">
    <w:abstractNumId w:val="9"/>
  </w:num>
  <w:num w:numId="4">
    <w:abstractNumId w:val="0"/>
  </w:num>
  <w:num w:numId="5">
    <w:abstractNumId w:val="7"/>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4EBE"/>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2456-52FA-4CC3-8E55-4C91B347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80</cp:revision>
  <cp:lastPrinted>2018-11-14T20:55:00Z</cp:lastPrinted>
  <dcterms:created xsi:type="dcterms:W3CDTF">2018-05-02T21:37:00Z</dcterms:created>
  <dcterms:modified xsi:type="dcterms:W3CDTF">2018-11-21T20:53:00Z</dcterms:modified>
</cp:coreProperties>
</file>