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2B7989">
              <w:rPr>
                <w:rFonts w:ascii="Arial" w:eastAsia="Cambria" w:hAnsi="Arial" w:cs="Arial"/>
                <w:sz w:val="22"/>
                <w:szCs w:val="22"/>
                <w:lang w:val="es-ES_tradnl" w:eastAsia="en-US"/>
              </w:rPr>
              <w:t xml:space="preserve">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424F28" w:rsidRDefault="00424F28" w:rsidP="00BE62EA">
            <w:pPr>
              <w:jc w:val="both"/>
              <w:rPr>
                <w:rFonts w:ascii="Arial" w:eastAsia="Cambria" w:hAnsi="Arial" w:cs="Arial"/>
                <w:sz w:val="22"/>
                <w:szCs w:val="22"/>
                <w:lang w:val="es-ES_tradnl" w:eastAsia="en-US"/>
              </w:rPr>
            </w:pPr>
          </w:p>
          <w:p w:rsidR="00BE62EA" w:rsidRPr="00F548D2" w:rsidRDefault="00BE62EA" w:rsidP="00BE62EA">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2B7989">
              <w:rPr>
                <w:rFonts w:ascii="Arial" w:eastAsia="Cambria" w:hAnsi="Arial" w:cs="Arial"/>
                <w:sz w:val="22"/>
                <w:szCs w:val="22"/>
                <w:lang w:val="es-ES_tradnl" w:eastAsia="en-US"/>
              </w:rPr>
              <w:t xml:space="preserve"> Julio Calvo Alvarado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r w:rsidR="00E605D3">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2B798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05</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dic</w:t>
            </w:r>
            <w:r w:rsidR="00BE62EA">
              <w:rPr>
                <w:rFonts w:ascii="Arial" w:eastAsia="Cambria" w:hAnsi="Arial" w:cs="Arial"/>
                <w:b/>
                <w:sz w:val="22"/>
                <w:szCs w:val="22"/>
                <w:lang w:val="es-ES_tradnl" w:eastAsia="en-US"/>
              </w:rPr>
              <w:t>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F4BFE" w:rsidRDefault="00FF209C" w:rsidP="002B7989">
            <w:pPr>
              <w:ind w:left="32" w:hanging="32"/>
              <w:jc w:val="both"/>
              <w:rPr>
                <w:rFonts w:ascii="Arial" w:eastAsia="Cambria" w:hAnsi="Arial" w:cs="Arial"/>
                <w:b/>
                <w:bCs/>
                <w:sz w:val="22"/>
                <w:szCs w:val="22"/>
                <w:lang w:val="es-CR"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2B7989">
              <w:rPr>
                <w:rFonts w:ascii="Arial" w:eastAsia="Calibri" w:hAnsi="Arial" w:cs="Arial"/>
                <w:b/>
                <w:sz w:val="22"/>
                <w:szCs w:val="22"/>
              </w:rPr>
              <w:t>100</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2B7989">
              <w:rPr>
                <w:rFonts w:ascii="Arial" w:eastAsia="Calibri" w:hAnsi="Arial" w:cs="Arial"/>
                <w:b/>
                <w:sz w:val="22"/>
                <w:szCs w:val="22"/>
              </w:rPr>
              <w:t>9</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2B7989">
              <w:rPr>
                <w:rFonts w:ascii="Arial" w:eastAsia="Calibri" w:hAnsi="Arial" w:cs="Arial"/>
                <w:b/>
                <w:sz w:val="22"/>
                <w:szCs w:val="22"/>
              </w:rPr>
              <w:t>05</w:t>
            </w:r>
            <w:r w:rsidR="00BE62EA">
              <w:rPr>
                <w:rFonts w:ascii="Arial" w:eastAsia="Calibri" w:hAnsi="Arial" w:cs="Arial"/>
                <w:b/>
                <w:sz w:val="22"/>
                <w:szCs w:val="22"/>
              </w:rPr>
              <w:t xml:space="preserve"> de </w:t>
            </w:r>
            <w:r w:rsidR="002B7989">
              <w:rPr>
                <w:rFonts w:ascii="Arial" w:eastAsia="Calibri" w:hAnsi="Arial" w:cs="Arial"/>
                <w:b/>
                <w:sz w:val="22"/>
                <w:szCs w:val="22"/>
              </w:rPr>
              <w:t>dic</w:t>
            </w:r>
            <w:r w:rsidR="00BE62EA">
              <w:rPr>
                <w:rFonts w:ascii="Arial" w:eastAsia="Calibri" w:hAnsi="Arial" w:cs="Arial"/>
                <w:b/>
                <w:sz w:val="22"/>
                <w:szCs w:val="22"/>
              </w:rPr>
              <w:t xml:space="preserve">iembre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E605D3">
              <w:rPr>
                <w:rFonts w:ascii="Arial" w:eastAsia="Calibri" w:hAnsi="Arial" w:cs="Arial"/>
                <w:b/>
                <w:sz w:val="22"/>
                <w:szCs w:val="22"/>
              </w:rPr>
              <w:t xml:space="preserve"> </w:t>
            </w:r>
            <w:r w:rsidR="002B7989" w:rsidRPr="002B7989">
              <w:rPr>
                <w:rFonts w:ascii="Arial" w:hAnsi="Arial" w:cs="Arial"/>
                <w:b/>
                <w:sz w:val="22"/>
                <w:szCs w:val="22"/>
              </w:rPr>
              <w:t>Modificar el acuerdo tomado en Sesión 3098, Artículo 7, del 21 de noviembre de 2018.  “Procedimiento para atender consultas sobre Proyectos de Ley, recibidas de parte de la Asamblea Legislativa. Derogatoria de los acuerdos de las Sesiones Ordinarias No. 3032, Artículo 7, del 03 de agosto de 2017 y No. 3038, Artículo 14, del 13 de setiembre de 2017</w:t>
            </w:r>
            <w:r w:rsidR="002B7989" w:rsidRPr="002B7989">
              <w:rPr>
                <w:rFonts w:ascii="Arial" w:hAnsi="Arial" w:cs="Arial"/>
                <w:b/>
                <w:sz w:val="16"/>
              </w:rPr>
              <w:t>”.</w:t>
            </w:r>
          </w:p>
        </w:tc>
      </w:tr>
    </w:tbl>
    <w:p w:rsidR="00FF209C" w:rsidRPr="007F4BFE" w:rsidRDefault="00FF209C" w:rsidP="007742A1">
      <w:pPr>
        <w:jc w:val="both"/>
        <w:rPr>
          <w:rFonts w:ascii="Arial" w:eastAsia="Cambria" w:hAnsi="Arial" w:cs="Arial"/>
          <w:lang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F4BFE" w:rsidRDefault="007F4BFE" w:rsidP="007742A1">
      <w:pPr>
        <w:jc w:val="both"/>
        <w:rPr>
          <w:rFonts w:ascii="Arial" w:eastAsia="Cambria" w:hAnsi="Arial" w:cs="Arial"/>
          <w:lang w:val="es-ES_tradnl" w:eastAsia="en-US"/>
        </w:rPr>
      </w:pPr>
    </w:p>
    <w:p w:rsidR="005B7181" w:rsidRPr="005A76D9" w:rsidRDefault="005B7181" w:rsidP="005B7181">
      <w:pPr>
        <w:ind w:left="1276" w:hanging="1276"/>
        <w:jc w:val="both"/>
        <w:rPr>
          <w:rFonts w:ascii="Arial" w:hAnsi="Arial" w:cs="Arial"/>
          <w:b/>
          <w:lang w:val="es-CR"/>
        </w:rPr>
      </w:pPr>
      <w:r w:rsidRPr="005A76D9">
        <w:rPr>
          <w:rFonts w:ascii="Arial" w:hAnsi="Arial" w:cs="Arial"/>
          <w:b/>
          <w:lang w:val="es-CR"/>
        </w:rPr>
        <w:t>RESULTANDO QUE:</w:t>
      </w:r>
    </w:p>
    <w:p w:rsidR="005B7181" w:rsidRPr="005A76D9" w:rsidRDefault="005B7181" w:rsidP="005B7181">
      <w:pPr>
        <w:ind w:left="1276" w:hanging="1276"/>
        <w:jc w:val="both"/>
        <w:rPr>
          <w:rFonts w:ascii="Arial" w:hAnsi="Arial" w:cs="Arial"/>
          <w:b/>
          <w:lang w:val="es-CR"/>
        </w:rPr>
      </w:pPr>
    </w:p>
    <w:p w:rsidR="005B7181" w:rsidRPr="005A76D9" w:rsidRDefault="005B7181" w:rsidP="005B7181">
      <w:pPr>
        <w:numPr>
          <w:ilvl w:val="0"/>
          <w:numId w:val="7"/>
        </w:numPr>
        <w:ind w:left="360"/>
        <w:jc w:val="both"/>
        <w:rPr>
          <w:rFonts w:ascii="Arial" w:hAnsi="Arial" w:cs="Arial"/>
          <w:lang w:val="es-CR"/>
        </w:rPr>
      </w:pPr>
      <w:r w:rsidRPr="005A76D9">
        <w:rPr>
          <w:rFonts w:ascii="Arial" w:eastAsia="Calibri" w:hAnsi="Arial" w:cs="Arial"/>
          <w:lang w:val="es-CR"/>
        </w:rPr>
        <w:t>El Artículo 88 de la Constitución Política,</w:t>
      </w:r>
      <w:r>
        <w:rPr>
          <w:rFonts w:ascii="Arial" w:eastAsia="Calibri" w:hAnsi="Arial" w:cs="Arial"/>
          <w:lang w:val="es-CR"/>
        </w:rPr>
        <w:t xml:space="preserve"> dice</w:t>
      </w:r>
      <w:r w:rsidRPr="005A76D9">
        <w:rPr>
          <w:rFonts w:ascii="Arial" w:eastAsia="Calibri" w:hAnsi="Arial" w:cs="Arial"/>
          <w:lang w:val="es-CR"/>
        </w:rPr>
        <w:t>:</w:t>
      </w:r>
    </w:p>
    <w:p w:rsidR="005B7181" w:rsidRPr="005A76D9" w:rsidRDefault="005B7181" w:rsidP="005B7181">
      <w:pPr>
        <w:ind w:left="360"/>
        <w:jc w:val="both"/>
        <w:rPr>
          <w:rFonts w:ascii="Arial" w:hAnsi="Arial" w:cs="Arial"/>
          <w:lang w:val="es-CR"/>
        </w:rPr>
      </w:pPr>
    </w:p>
    <w:p w:rsidR="005B7181" w:rsidRPr="00792AFC" w:rsidRDefault="005B7181" w:rsidP="005B7181">
      <w:pPr>
        <w:ind w:left="284" w:firstLine="142"/>
        <w:jc w:val="both"/>
        <w:rPr>
          <w:rFonts w:ascii="Arial" w:hAnsi="Arial" w:cs="Arial"/>
          <w:i/>
          <w:sz w:val="22"/>
          <w:szCs w:val="22"/>
          <w:lang w:val="es-CR" w:eastAsia="es-CR"/>
        </w:rPr>
      </w:pPr>
      <w:r w:rsidRPr="00792AFC">
        <w:rPr>
          <w:rFonts w:ascii="Arial" w:hAnsi="Arial" w:cs="Arial"/>
          <w:i/>
          <w:sz w:val="22"/>
          <w:szCs w:val="22"/>
          <w:lang w:val="es-CR" w:eastAsia="es-CR"/>
        </w:rPr>
        <w:t xml:space="preserve">“Artículo 88 </w:t>
      </w:r>
    </w:p>
    <w:p w:rsidR="005B7181" w:rsidRPr="00792AFC" w:rsidRDefault="005B7181" w:rsidP="005B7181">
      <w:pPr>
        <w:ind w:left="426" w:right="706"/>
        <w:jc w:val="both"/>
        <w:rPr>
          <w:rFonts w:ascii="Arial" w:hAnsi="Arial" w:cs="Arial"/>
          <w:i/>
          <w:sz w:val="22"/>
          <w:szCs w:val="22"/>
          <w:lang w:val="es-CR" w:eastAsia="es-CR"/>
        </w:rPr>
      </w:pPr>
      <w:r w:rsidRPr="00792AFC">
        <w:rPr>
          <w:rFonts w:ascii="Arial" w:hAnsi="Arial" w:cs="Arial"/>
          <w:i/>
          <w:sz w:val="22"/>
          <w:szCs w:val="22"/>
          <w:lang w:val="es-CR" w:eastAsia="es-CR"/>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al órgano director correspondiente de cada una de ellas”. </w:t>
      </w:r>
    </w:p>
    <w:p w:rsidR="005B7181" w:rsidRPr="005A76D9" w:rsidRDefault="005B7181" w:rsidP="005B7181">
      <w:pPr>
        <w:ind w:left="426"/>
        <w:jc w:val="both"/>
        <w:rPr>
          <w:rFonts w:ascii="Arial" w:hAnsi="Arial" w:cs="Arial"/>
          <w:i/>
          <w:sz w:val="22"/>
          <w:szCs w:val="22"/>
          <w:lang w:val="es-CR" w:eastAsia="es-CR"/>
        </w:rPr>
      </w:pPr>
    </w:p>
    <w:p w:rsidR="005B7181" w:rsidRPr="005A76D9" w:rsidRDefault="005B7181" w:rsidP="005B7181">
      <w:pPr>
        <w:numPr>
          <w:ilvl w:val="0"/>
          <w:numId w:val="7"/>
        </w:numPr>
        <w:ind w:left="360"/>
        <w:jc w:val="both"/>
        <w:rPr>
          <w:rFonts w:ascii="Arial" w:hAnsi="Arial" w:cs="Arial"/>
          <w:i/>
          <w:sz w:val="22"/>
          <w:szCs w:val="22"/>
          <w:lang w:val="es-CR" w:eastAsia="es-CR"/>
        </w:rPr>
      </w:pPr>
      <w:r w:rsidRPr="005A76D9">
        <w:rPr>
          <w:rFonts w:ascii="Arial" w:hAnsi="Arial" w:cs="Arial"/>
          <w:lang w:val="es-CR" w:eastAsia="es-CR"/>
        </w:rPr>
        <w:t xml:space="preserve">El Estatuto Orgánico del Instituto Tecnológico de Costa Rica, en el Artículo 18, inciso i, establece como función del Consejo Institucional: </w:t>
      </w:r>
    </w:p>
    <w:p w:rsidR="005B7181" w:rsidRPr="005A76D9" w:rsidRDefault="005B7181" w:rsidP="005B7181">
      <w:pPr>
        <w:ind w:left="360"/>
        <w:jc w:val="both"/>
        <w:rPr>
          <w:rFonts w:ascii="Arial" w:hAnsi="Arial" w:cs="Arial"/>
          <w:i/>
          <w:sz w:val="22"/>
          <w:szCs w:val="22"/>
          <w:lang w:val="es-CR" w:eastAsia="es-CR"/>
        </w:rPr>
      </w:pPr>
    </w:p>
    <w:p w:rsidR="005B7181" w:rsidRPr="00792AFC" w:rsidRDefault="005B7181" w:rsidP="005B7181">
      <w:pPr>
        <w:pStyle w:val="Prrafodelista"/>
        <w:numPr>
          <w:ilvl w:val="2"/>
          <w:numId w:val="7"/>
        </w:numPr>
        <w:ind w:left="851" w:right="709" w:hanging="284"/>
        <w:jc w:val="both"/>
        <w:rPr>
          <w:rFonts w:ascii="Arial" w:eastAsia="Cambria" w:hAnsi="Arial" w:cs="Arial"/>
          <w:i/>
          <w:sz w:val="22"/>
          <w:szCs w:val="22"/>
          <w:lang w:val="es-ES_tradnl" w:eastAsia="en-US"/>
        </w:rPr>
      </w:pPr>
      <w:r w:rsidRPr="00792AFC">
        <w:rPr>
          <w:rFonts w:ascii="Arial" w:eastAsia="Cambria" w:hAnsi="Arial" w:cs="Arial"/>
          <w:i/>
          <w:sz w:val="22"/>
          <w:szCs w:val="22"/>
          <w:lang w:val="es-CR" w:eastAsia="en-US"/>
        </w:rPr>
        <w:t>“</w:t>
      </w:r>
      <w:r w:rsidRPr="00792AFC">
        <w:rPr>
          <w:rFonts w:ascii="Arial" w:eastAsia="Cambria" w:hAnsi="Arial" w:cs="Arial"/>
          <w:i/>
          <w:sz w:val="22"/>
          <w:szCs w:val="22"/>
          <w:lang w:val="es-ES_tradnl" w:eastAsia="en-US"/>
        </w:rPr>
        <w:t>Evacuar las consultas a que se refiere el Artículo 88 de la Constitución Política de la República”.</w:t>
      </w:r>
    </w:p>
    <w:p w:rsidR="005B7181" w:rsidRPr="00792AFC" w:rsidRDefault="005B7181" w:rsidP="005B7181">
      <w:pPr>
        <w:ind w:left="426"/>
        <w:jc w:val="both"/>
        <w:rPr>
          <w:rFonts w:ascii="Arial" w:hAnsi="Arial" w:cs="Arial"/>
          <w:i/>
          <w:sz w:val="22"/>
          <w:szCs w:val="22"/>
          <w:lang w:val="es-CR" w:eastAsia="es-CR"/>
        </w:rPr>
      </w:pPr>
    </w:p>
    <w:p w:rsidR="005B7181" w:rsidRPr="00792AFC" w:rsidRDefault="005B7181" w:rsidP="005B7181">
      <w:pPr>
        <w:numPr>
          <w:ilvl w:val="0"/>
          <w:numId w:val="7"/>
        </w:numPr>
        <w:ind w:left="360"/>
        <w:jc w:val="both"/>
        <w:rPr>
          <w:rFonts w:ascii="Arial" w:hAnsi="Arial" w:cs="Arial"/>
          <w:i/>
          <w:sz w:val="22"/>
          <w:szCs w:val="22"/>
          <w:lang w:val="es-CR" w:eastAsia="es-CR"/>
        </w:rPr>
      </w:pPr>
      <w:r w:rsidRPr="005A76D9">
        <w:rPr>
          <w:rFonts w:ascii="Arial" w:hAnsi="Arial" w:cs="Arial"/>
          <w:lang w:val="es-CR" w:eastAsia="es-CR"/>
        </w:rPr>
        <w:t xml:space="preserve">El Estatuto Orgánico del Instituto Tecnológico de Costa Rica, en el Artículo 18, inciso </w:t>
      </w:r>
      <w:r>
        <w:rPr>
          <w:rFonts w:ascii="Arial" w:hAnsi="Arial" w:cs="Arial"/>
          <w:lang w:val="es-CR" w:eastAsia="es-CR"/>
        </w:rPr>
        <w:t>f</w:t>
      </w:r>
      <w:r w:rsidRPr="005A76D9">
        <w:rPr>
          <w:rFonts w:ascii="Arial" w:hAnsi="Arial" w:cs="Arial"/>
          <w:lang w:val="es-CR" w:eastAsia="es-CR"/>
        </w:rPr>
        <w:t>, dispone como función del Consejo Institucional:</w:t>
      </w:r>
    </w:p>
    <w:p w:rsidR="005B7181" w:rsidRDefault="005B7181" w:rsidP="005B7181">
      <w:pPr>
        <w:ind w:left="360"/>
        <w:jc w:val="both"/>
        <w:rPr>
          <w:rFonts w:ascii="Arial" w:hAnsi="Arial" w:cs="Arial"/>
          <w:lang w:val="es-CR" w:eastAsia="es-CR"/>
        </w:rPr>
      </w:pPr>
    </w:p>
    <w:p w:rsidR="005B7181" w:rsidRPr="00792AFC" w:rsidRDefault="005B7181" w:rsidP="005B7181">
      <w:pPr>
        <w:ind w:left="567"/>
        <w:jc w:val="both"/>
        <w:rPr>
          <w:rFonts w:ascii="Arial" w:hAnsi="Arial" w:cs="Arial"/>
          <w:i/>
          <w:sz w:val="22"/>
          <w:szCs w:val="22"/>
          <w:lang w:val="es-CR" w:eastAsia="es-CR"/>
        </w:rPr>
      </w:pPr>
      <w:r w:rsidRPr="00792AFC">
        <w:rPr>
          <w:rFonts w:ascii="Arial" w:hAnsi="Arial" w:cs="Arial"/>
          <w:i/>
          <w:sz w:val="22"/>
          <w:szCs w:val="22"/>
          <w:lang w:val="es-CR" w:eastAsia="es-CR"/>
        </w:rPr>
        <w:t>“Artículo 18:</w:t>
      </w:r>
    </w:p>
    <w:p w:rsidR="005B7181" w:rsidRPr="00792AFC" w:rsidRDefault="005B7181" w:rsidP="005B7181">
      <w:pPr>
        <w:jc w:val="both"/>
        <w:rPr>
          <w:rFonts w:ascii="Arial" w:hAnsi="Arial" w:cs="Arial"/>
          <w:i/>
          <w:sz w:val="22"/>
          <w:szCs w:val="22"/>
          <w:lang w:val="es-ES_tradnl" w:eastAsia="en-US"/>
        </w:rPr>
      </w:pPr>
    </w:p>
    <w:p w:rsidR="005B7181" w:rsidRPr="00792AFC" w:rsidRDefault="005B7181" w:rsidP="005B7181">
      <w:pPr>
        <w:ind w:left="567" w:right="709"/>
        <w:jc w:val="both"/>
        <w:rPr>
          <w:rFonts w:ascii="Arial" w:eastAsia="Cambria" w:hAnsi="Arial" w:cs="Arial"/>
          <w:i/>
          <w:sz w:val="22"/>
          <w:szCs w:val="22"/>
          <w:lang w:val="es-ES_tradnl" w:eastAsia="en-US"/>
        </w:rPr>
      </w:pPr>
      <w:r w:rsidRPr="00792AFC">
        <w:rPr>
          <w:rFonts w:ascii="Arial" w:eastAsia="Cambria" w:hAnsi="Arial" w:cs="Arial"/>
          <w:i/>
          <w:sz w:val="22"/>
          <w:szCs w:val="22"/>
          <w:lang w:val="es-ES_tradnl" w:eastAsia="en-US"/>
        </w:rPr>
        <w:t>Aprobar, promulgar y modificar los reglamentos generales necesarios para el funcionamiento del Instituto, así como los suyos propios, excepto aquellos que regulen el funcionamiento de la Asamblea Institucional Representativa y del Congreso Institucional</w:t>
      </w:r>
    </w:p>
    <w:p w:rsidR="005B7181" w:rsidRPr="00792AFC" w:rsidRDefault="005B7181" w:rsidP="005B7181">
      <w:pPr>
        <w:ind w:left="567" w:right="709"/>
        <w:jc w:val="both"/>
        <w:rPr>
          <w:rFonts w:ascii="Arial" w:eastAsia="Cambria" w:hAnsi="Arial" w:cs="Arial"/>
          <w:i/>
          <w:sz w:val="22"/>
          <w:szCs w:val="22"/>
          <w:lang w:val="es-ES_tradnl" w:eastAsia="en-US"/>
        </w:rPr>
      </w:pPr>
    </w:p>
    <w:p w:rsidR="005B7181" w:rsidRPr="00792AFC" w:rsidRDefault="005B7181" w:rsidP="005B7181">
      <w:pPr>
        <w:ind w:left="567" w:right="709"/>
        <w:jc w:val="both"/>
        <w:rPr>
          <w:rFonts w:ascii="Arial" w:eastAsia="Cambria" w:hAnsi="Arial" w:cs="Arial"/>
          <w:i/>
          <w:sz w:val="22"/>
          <w:szCs w:val="22"/>
          <w:lang w:val="es-ES_tradnl" w:eastAsia="en-US"/>
        </w:rPr>
      </w:pPr>
      <w:r w:rsidRPr="00792AFC">
        <w:rPr>
          <w:rFonts w:ascii="Arial" w:eastAsia="Cambria" w:hAnsi="Arial" w:cs="Arial"/>
          <w:i/>
          <w:sz w:val="22"/>
          <w:szCs w:val="22"/>
          <w:lang w:val="es-ES_tradnl" w:eastAsia="en-US"/>
        </w:rPr>
        <w:t>Los reglamentos que regulan la materia electoral deben ser consultados al Tribunal Institucional Electoral antes de su aprobación en firme. El Tribunal Institucional Electoral contará con diez días hábiles para pronunciarse”.</w:t>
      </w:r>
    </w:p>
    <w:p w:rsidR="005B7181" w:rsidRPr="00D01572" w:rsidRDefault="005B7181" w:rsidP="005B7181">
      <w:pPr>
        <w:ind w:left="851" w:right="709" w:hanging="284"/>
        <w:jc w:val="both"/>
        <w:rPr>
          <w:rFonts w:ascii="Arial" w:eastAsia="Cambria" w:hAnsi="Arial" w:cs="Arial"/>
          <w:i/>
          <w:sz w:val="22"/>
          <w:szCs w:val="22"/>
          <w:lang w:eastAsia="en-US"/>
        </w:rPr>
      </w:pPr>
    </w:p>
    <w:p w:rsidR="005B7181" w:rsidRPr="005A76D9" w:rsidRDefault="005B7181" w:rsidP="005B7181">
      <w:pPr>
        <w:numPr>
          <w:ilvl w:val="0"/>
          <w:numId w:val="7"/>
        </w:numPr>
        <w:ind w:left="360"/>
        <w:jc w:val="both"/>
        <w:rPr>
          <w:rFonts w:ascii="Arial" w:hAnsi="Arial" w:cs="Arial"/>
          <w:lang w:val="es-CR"/>
        </w:rPr>
      </w:pPr>
      <w:r w:rsidRPr="005A76D9">
        <w:rPr>
          <w:rFonts w:ascii="Arial" w:hAnsi="Arial" w:cs="Arial"/>
          <w:lang w:val="es-CR"/>
        </w:rPr>
        <w:lastRenderedPageBreak/>
        <w:t>El Reglamento del Consejo Institucional, en el Artículo 10, indica lo siguiente:</w:t>
      </w:r>
    </w:p>
    <w:p w:rsidR="005B7181" w:rsidRPr="005A76D9" w:rsidRDefault="005B7181" w:rsidP="005B7181">
      <w:pPr>
        <w:jc w:val="both"/>
        <w:rPr>
          <w:rFonts w:ascii="Arial" w:hAnsi="Arial" w:cs="Arial"/>
          <w:lang w:val="es-ES_tradnl" w:eastAsia="en-US"/>
        </w:rPr>
      </w:pPr>
    </w:p>
    <w:p w:rsidR="005B7181" w:rsidRPr="00792AFC" w:rsidRDefault="005B7181" w:rsidP="005B7181">
      <w:pPr>
        <w:ind w:left="360" w:right="565"/>
        <w:jc w:val="both"/>
        <w:rPr>
          <w:rFonts w:ascii="Arial" w:hAnsi="Arial" w:cs="Arial"/>
          <w:i/>
          <w:sz w:val="22"/>
          <w:szCs w:val="22"/>
          <w:lang w:val="es-ES_tradnl" w:eastAsia="es-CR"/>
        </w:rPr>
      </w:pPr>
      <w:r>
        <w:rPr>
          <w:rFonts w:ascii="Arial" w:hAnsi="Arial" w:cs="Arial"/>
          <w:sz w:val="22"/>
          <w:szCs w:val="22"/>
          <w:lang w:val="es-ES_tradnl" w:eastAsia="es-CR"/>
        </w:rPr>
        <w:t>“</w:t>
      </w:r>
      <w:r w:rsidRPr="00792AFC">
        <w:rPr>
          <w:rFonts w:ascii="Arial" w:hAnsi="Arial" w:cs="Arial"/>
          <w:i/>
          <w:sz w:val="22"/>
          <w:szCs w:val="22"/>
          <w:lang w:val="es-ES_tradnl" w:eastAsia="es-CR"/>
        </w:rPr>
        <w:t xml:space="preserve">Artículo 10 </w:t>
      </w:r>
    </w:p>
    <w:p w:rsidR="005B7181" w:rsidRPr="00792AFC" w:rsidRDefault="005B7181" w:rsidP="005B7181">
      <w:pPr>
        <w:ind w:left="284" w:right="565"/>
        <w:jc w:val="both"/>
        <w:rPr>
          <w:rFonts w:ascii="Arial" w:hAnsi="Arial" w:cs="Arial"/>
          <w:i/>
          <w:sz w:val="22"/>
          <w:szCs w:val="22"/>
          <w:lang w:val="es-ES_tradnl" w:eastAsia="es-CR"/>
        </w:rPr>
      </w:pPr>
    </w:p>
    <w:p w:rsidR="005B7181" w:rsidRPr="00792AFC" w:rsidRDefault="005B7181" w:rsidP="005B7181">
      <w:pPr>
        <w:ind w:left="426" w:right="565"/>
        <w:jc w:val="both"/>
        <w:rPr>
          <w:rFonts w:ascii="Arial" w:eastAsia="Cambria" w:hAnsi="Arial" w:cs="Arial"/>
          <w:i/>
          <w:sz w:val="22"/>
          <w:szCs w:val="22"/>
          <w:lang w:val="es-ES_tradnl"/>
        </w:rPr>
      </w:pPr>
      <w:r w:rsidRPr="00792AFC">
        <w:rPr>
          <w:rFonts w:ascii="Arial" w:hAnsi="Arial" w:cs="Arial"/>
          <w:i/>
          <w:sz w:val="22"/>
          <w:szCs w:val="22"/>
          <w:lang w:val="es-ES_tradnl" w:eastAsia="es-CR"/>
        </w:rPr>
        <w:t>El Consejo Institucional podrá recibir asuntos de su competencia conforme lo confiere la Constitución Política de la República, las Leyes de la República, la Ley Orgánica del ITCR, el Estatuto Orgánico del Instituto Tecnológico de Costa Rica y otros reglamentos internos, a través de la Secretaría del Consejo Institucional, la Presidencia del Consejo Institucional o los miembros del Consejo Institucional”.</w:t>
      </w:r>
    </w:p>
    <w:p w:rsidR="005B7181" w:rsidRPr="005A76D9" w:rsidRDefault="005B7181" w:rsidP="005B7181">
      <w:pPr>
        <w:ind w:left="360"/>
        <w:jc w:val="both"/>
        <w:rPr>
          <w:rFonts w:ascii="Arial" w:hAnsi="Arial" w:cs="Arial"/>
          <w:b/>
          <w:lang w:val="es-CR"/>
        </w:rPr>
      </w:pPr>
    </w:p>
    <w:p w:rsidR="005B7181" w:rsidRPr="00AD2975" w:rsidRDefault="005B7181" w:rsidP="005B7181">
      <w:pPr>
        <w:numPr>
          <w:ilvl w:val="0"/>
          <w:numId w:val="7"/>
        </w:numPr>
        <w:ind w:left="360"/>
        <w:jc w:val="both"/>
        <w:rPr>
          <w:rFonts w:ascii="Arial" w:hAnsi="Arial" w:cs="Arial"/>
          <w:i/>
          <w:sz w:val="22"/>
          <w:szCs w:val="22"/>
          <w:lang w:val="es-CR"/>
        </w:rPr>
      </w:pPr>
      <w:r w:rsidRPr="005A76D9">
        <w:rPr>
          <w:rFonts w:ascii="Arial" w:hAnsi="Arial" w:cs="Arial"/>
          <w:lang w:val="es-CR"/>
        </w:rPr>
        <w:t xml:space="preserve">En </w:t>
      </w:r>
      <w:r>
        <w:rPr>
          <w:rFonts w:ascii="Arial" w:hAnsi="Arial" w:cs="Arial"/>
          <w:lang w:val="es-CR"/>
        </w:rPr>
        <w:t xml:space="preserve">la </w:t>
      </w:r>
      <w:r w:rsidRPr="005A76D9">
        <w:rPr>
          <w:rFonts w:ascii="Arial" w:eastAsia="Cambria" w:hAnsi="Arial" w:cs="Arial"/>
          <w:lang w:eastAsia="en-US"/>
        </w:rPr>
        <w:t xml:space="preserve">Sesión Ordinaria </w:t>
      </w:r>
      <w:r w:rsidRPr="00C10AF4">
        <w:rPr>
          <w:rFonts w:ascii="Arial" w:hAnsi="Arial" w:cs="Arial"/>
        </w:rPr>
        <w:t>No. 30</w:t>
      </w:r>
      <w:r>
        <w:rPr>
          <w:rFonts w:ascii="Arial" w:hAnsi="Arial" w:cs="Arial"/>
        </w:rPr>
        <w:t>98</w:t>
      </w:r>
      <w:r w:rsidRPr="00C10AF4">
        <w:rPr>
          <w:rFonts w:ascii="Arial" w:hAnsi="Arial" w:cs="Arial"/>
        </w:rPr>
        <w:t xml:space="preserve">, Artículo 7, del </w:t>
      </w:r>
      <w:r>
        <w:rPr>
          <w:rFonts w:ascii="Arial" w:hAnsi="Arial" w:cs="Arial"/>
        </w:rPr>
        <w:t>21</w:t>
      </w:r>
      <w:r w:rsidRPr="00C10AF4">
        <w:rPr>
          <w:rFonts w:ascii="Arial" w:hAnsi="Arial" w:cs="Arial"/>
        </w:rPr>
        <w:t xml:space="preserve"> de </w:t>
      </w:r>
      <w:r>
        <w:rPr>
          <w:rFonts w:ascii="Arial" w:hAnsi="Arial" w:cs="Arial"/>
        </w:rPr>
        <w:t>noviembre</w:t>
      </w:r>
      <w:r w:rsidRPr="00C10AF4">
        <w:rPr>
          <w:rFonts w:ascii="Arial" w:hAnsi="Arial" w:cs="Arial"/>
        </w:rPr>
        <w:t xml:space="preserve"> de 201</w:t>
      </w:r>
      <w:r>
        <w:rPr>
          <w:rFonts w:ascii="Arial" w:hAnsi="Arial" w:cs="Arial"/>
        </w:rPr>
        <w:t>8</w:t>
      </w:r>
      <w:r w:rsidRPr="005A76D9">
        <w:rPr>
          <w:rFonts w:ascii="Arial" w:eastAsia="Cambria" w:hAnsi="Arial" w:cs="Arial"/>
          <w:lang w:eastAsia="en-US"/>
        </w:rPr>
        <w:t>, el Consejo Institucional</w:t>
      </w:r>
      <w:r w:rsidRPr="003947B6">
        <w:rPr>
          <w:rFonts w:ascii="Arial" w:eastAsia="Cambria" w:hAnsi="Arial" w:cs="Arial"/>
          <w:lang w:eastAsia="en-US"/>
        </w:rPr>
        <w:t>, acordó:</w:t>
      </w:r>
      <w:r w:rsidRPr="00AD2975">
        <w:rPr>
          <w:rFonts w:ascii="Arial" w:eastAsia="Cambria" w:hAnsi="Arial" w:cs="Arial"/>
          <w:i/>
          <w:sz w:val="22"/>
          <w:szCs w:val="22"/>
          <w:lang w:eastAsia="en-US"/>
        </w:rPr>
        <w:t xml:space="preserve"> </w:t>
      </w:r>
    </w:p>
    <w:p w:rsidR="005B7181" w:rsidRPr="00AD2975" w:rsidRDefault="005B7181" w:rsidP="005B7181">
      <w:pPr>
        <w:jc w:val="both"/>
        <w:rPr>
          <w:rFonts w:ascii="Arial" w:eastAsia="Cambria" w:hAnsi="Arial" w:cs="Arial"/>
          <w:i/>
          <w:sz w:val="22"/>
          <w:szCs w:val="22"/>
          <w:lang w:eastAsia="en-US"/>
        </w:rPr>
      </w:pPr>
    </w:p>
    <w:p w:rsidR="005B7181" w:rsidRPr="00AD2975" w:rsidRDefault="005B7181" w:rsidP="005B7181">
      <w:pPr>
        <w:numPr>
          <w:ilvl w:val="0"/>
          <w:numId w:val="17"/>
        </w:numPr>
        <w:ind w:left="720"/>
        <w:jc w:val="both"/>
        <w:rPr>
          <w:rFonts w:ascii="Arial" w:hAnsi="Arial" w:cs="Arial"/>
          <w:i/>
          <w:sz w:val="22"/>
          <w:szCs w:val="22"/>
          <w:lang w:val="es-CR"/>
        </w:rPr>
      </w:pPr>
      <w:r>
        <w:rPr>
          <w:rFonts w:ascii="Arial" w:hAnsi="Arial" w:cs="Arial"/>
          <w:i/>
          <w:sz w:val="22"/>
          <w:szCs w:val="22"/>
          <w:lang w:val="es-CR"/>
        </w:rPr>
        <w:t>“</w:t>
      </w:r>
      <w:r w:rsidRPr="00AD2975">
        <w:rPr>
          <w:rFonts w:ascii="Arial" w:hAnsi="Arial" w:cs="Arial"/>
          <w:i/>
          <w:sz w:val="22"/>
          <w:szCs w:val="22"/>
          <w:lang w:val="es-CR"/>
        </w:rPr>
        <w:t xml:space="preserve">Derogar los acuerdos de las Sesiones ordinarias </w:t>
      </w:r>
      <w:r w:rsidRPr="00AD2975">
        <w:rPr>
          <w:rFonts w:ascii="Arial" w:hAnsi="Arial" w:cs="Arial"/>
          <w:i/>
          <w:sz w:val="22"/>
          <w:szCs w:val="22"/>
        </w:rPr>
        <w:t>No. 3032, Artículo 7, del 03 de agosto de 2017 y No. 3038, Artículo 14, del 13 de setiembre de 2017.</w:t>
      </w:r>
    </w:p>
    <w:p w:rsidR="005B7181" w:rsidRPr="00AD2975" w:rsidRDefault="005B7181" w:rsidP="005B7181">
      <w:pPr>
        <w:ind w:left="360"/>
        <w:jc w:val="both"/>
        <w:rPr>
          <w:rFonts w:ascii="Arial" w:hAnsi="Arial" w:cs="Arial"/>
          <w:i/>
          <w:sz w:val="22"/>
          <w:szCs w:val="22"/>
          <w:lang w:val="es-CR"/>
        </w:rPr>
      </w:pPr>
    </w:p>
    <w:p w:rsidR="005B7181" w:rsidRPr="00AD2975" w:rsidRDefault="005B7181" w:rsidP="005B7181">
      <w:pPr>
        <w:numPr>
          <w:ilvl w:val="0"/>
          <w:numId w:val="17"/>
        </w:numPr>
        <w:ind w:left="720"/>
        <w:jc w:val="both"/>
        <w:rPr>
          <w:rFonts w:ascii="Arial" w:hAnsi="Arial" w:cs="Arial"/>
          <w:i/>
          <w:sz w:val="22"/>
          <w:szCs w:val="22"/>
          <w:lang w:val="es-CR"/>
        </w:rPr>
      </w:pPr>
      <w:r w:rsidRPr="00AD2975">
        <w:rPr>
          <w:rFonts w:ascii="Arial" w:hAnsi="Arial" w:cs="Arial"/>
          <w:i/>
          <w:sz w:val="22"/>
          <w:szCs w:val="22"/>
          <w:lang w:val="es-CR"/>
        </w:rPr>
        <w:t>Establecer un nuevo procedimiento para la atención de las consultas de proyectos de ley que someta la Asamblea Legislativa</w:t>
      </w:r>
      <w:r>
        <w:rPr>
          <w:rFonts w:ascii="Arial" w:hAnsi="Arial" w:cs="Arial"/>
          <w:i/>
          <w:sz w:val="22"/>
          <w:szCs w:val="22"/>
          <w:lang w:val="es-CR"/>
        </w:rPr>
        <w:t>”</w:t>
      </w:r>
      <w:r w:rsidRPr="00AD2975">
        <w:rPr>
          <w:rFonts w:ascii="Arial" w:hAnsi="Arial" w:cs="Arial"/>
          <w:i/>
          <w:sz w:val="22"/>
          <w:szCs w:val="22"/>
          <w:lang w:val="es-CR"/>
        </w:rPr>
        <w:t>.</w:t>
      </w:r>
    </w:p>
    <w:p w:rsidR="005B7181" w:rsidRPr="00D01572" w:rsidRDefault="005B7181" w:rsidP="005B7181">
      <w:pPr>
        <w:jc w:val="both"/>
        <w:rPr>
          <w:rFonts w:ascii="Arial" w:hAnsi="Arial" w:cs="Arial"/>
          <w:lang w:val="es-CR"/>
        </w:rPr>
      </w:pPr>
    </w:p>
    <w:p w:rsidR="005B7181" w:rsidRPr="00AD2975" w:rsidRDefault="005B7181" w:rsidP="005B7181">
      <w:pPr>
        <w:numPr>
          <w:ilvl w:val="0"/>
          <w:numId w:val="7"/>
        </w:numPr>
        <w:ind w:left="360"/>
        <w:jc w:val="both"/>
        <w:rPr>
          <w:rFonts w:ascii="Arial" w:eastAsia="Cambria" w:hAnsi="Arial" w:cs="Arial"/>
          <w:lang w:val="es-CR" w:eastAsia="en-US"/>
        </w:rPr>
      </w:pPr>
      <w:r w:rsidRPr="00AD2975">
        <w:rPr>
          <w:rFonts w:ascii="Arial" w:eastAsia="Cambria" w:hAnsi="Arial" w:cs="Arial"/>
          <w:lang w:val="es-CR" w:eastAsia="en-US"/>
        </w:rPr>
        <w:t>Como parte del nuevo procedimiento, y específicamente en el paso 4, se estableció lo siguiente (destacado no es del original):</w:t>
      </w:r>
    </w:p>
    <w:p w:rsidR="005B7181" w:rsidRPr="00AD2975" w:rsidRDefault="005B7181" w:rsidP="005B7181">
      <w:pPr>
        <w:jc w:val="both"/>
        <w:rPr>
          <w:rFonts w:ascii="Arial" w:eastAsia="Cambria" w:hAnsi="Arial" w:cs="Arial"/>
          <w:lang w:val="es-CR" w:eastAsia="en-US"/>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88"/>
        <w:gridCol w:w="4920"/>
        <w:gridCol w:w="3240"/>
      </w:tblGrid>
      <w:tr w:rsidR="005B7181" w:rsidRPr="00AD2975" w:rsidTr="00D245CA">
        <w:tc>
          <w:tcPr>
            <w:tcW w:w="1188" w:type="dxa"/>
            <w:tcMar>
              <w:top w:w="0" w:type="dxa"/>
              <w:left w:w="108" w:type="dxa"/>
              <w:bottom w:w="0" w:type="dxa"/>
              <w:right w:w="108" w:type="dxa"/>
            </w:tcMar>
            <w:vAlign w:val="center"/>
          </w:tcPr>
          <w:p w:rsidR="005B7181" w:rsidRPr="00AD2975" w:rsidRDefault="005B7181" w:rsidP="00D245CA">
            <w:pPr>
              <w:spacing w:before="120" w:line="360" w:lineRule="auto"/>
              <w:jc w:val="center"/>
              <w:rPr>
                <w:rFonts w:ascii="Arial" w:eastAsiaTheme="minorHAnsi" w:hAnsi="Arial" w:cs="Arial"/>
                <w:lang w:val="es-CR"/>
              </w:rPr>
            </w:pPr>
            <w:r w:rsidRPr="00AD2975">
              <w:rPr>
                <w:rFonts w:ascii="Arial" w:eastAsiaTheme="minorHAnsi" w:hAnsi="Arial" w:cs="Arial"/>
                <w:lang w:val="es-CR"/>
              </w:rPr>
              <w:t>04</w:t>
            </w:r>
          </w:p>
        </w:tc>
        <w:tc>
          <w:tcPr>
            <w:tcW w:w="4920" w:type="dxa"/>
            <w:tcMar>
              <w:top w:w="0" w:type="dxa"/>
              <w:left w:w="108" w:type="dxa"/>
              <w:bottom w:w="0" w:type="dxa"/>
              <w:right w:w="108" w:type="dxa"/>
            </w:tcMar>
            <w:vAlign w:val="center"/>
          </w:tcPr>
          <w:p w:rsidR="005B7181" w:rsidRPr="00AD2975" w:rsidRDefault="005B7181" w:rsidP="00D245CA">
            <w:pPr>
              <w:jc w:val="both"/>
              <w:rPr>
                <w:rFonts w:ascii="Arial" w:eastAsiaTheme="minorHAnsi" w:hAnsi="Arial" w:cs="Arial"/>
                <w:lang w:val="es-CR" w:eastAsia="en-US"/>
              </w:rPr>
            </w:pPr>
            <w:r w:rsidRPr="00AD2975">
              <w:rPr>
                <w:rFonts w:ascii="Arial" w:eastAsiaTheme="minorHAnsi" w:hAnsi="Arial" w:cs="Arial"/>
                <w:lang w:val="es-CR" w:eastAsia="en-US"/>
              </w:rPr>
              <w:t xml:space="preserve">El documento es comunicado a la Comunidad Institucional mediante la cuenta oficial de correo electrónico para consulta pública </w:t>
            </w:r>
            <w:r w:rsidRPr="00AD2975">
              <w:rPr>
                <w:rFonts w:ascii="Arial" w:eastAsiaTheme="minorHAnsi" w:hAnsi="Arial" w:cs="Arial"/>
                <w:b/>
                <w:u w:val="single"/>
                <w:lang w:val="es-CR" w:eastAsia="en-US"/>
              </w:rPr>
              <w:t>por el plazo que el Consejo Institucional determine</w:t>
            </w:r>
            <w:r w:rsidRPr="00AD2975">
              <w:rPr>
                <w:rFonts w:ascii="Arial" w:eastAsiaTheme="minorHAnsi" w:hAnsi="Arial" w:cs="Arial"/>
                <w:lang w:val="es-CR" w:eastAsia="en-US"/>
              </w:rPr>
              <w:t>, indicando que las observaciones deberán ser presentadas en el formato oficial que se adjunta al comunicado. Vencido el plazo no se recibirán observaciones.</w:t>
            </w:r>
          </w:p>
        </w:tc>
        <w:tc>
          <w:tcPr>
            <w:tcW w:w="3240" w:type="dxa"/>
            <w:tcMar>
              <w:top w:w="0" w:type="dxa"/>
              <w:left w:w="108" w:type="dxa"/>
              <w:bottom w:w="0" w:type="dxa"/>
              <w:right w:w="108" w:type="dxa"/>
            </w:tcMar>
            <w:vAlign w:val="center"/>
          </w:tcPr>
          <w:p w:rsidR="005B7181" w:rsidRPr="00AD2975" w:rsidRDefault="005B7181" w:rsidP="00D245CA">
            <w:pPr>
              <w:spacing w:before="120"/>
              <w:jc w:val="both"/>
              <w:rPr>
                <w:rFonts w:ascii="Arial" w:eastAsiaTheme="minorHAnsi" w:hAnsi="Arial" w:cs="Arial"/>
                <w:lang w:val="es-CR"/>
              </w:rPr>
            </w:pPr>
            <w:r w:rsidRPr="00AD2975">
              <w:rPr>
                <w:rFonts w:ascii="Arial" w:eastAsiaTheme="minorHAnsi" w:hAnsi="Arial" w:cs="Arial"/>
                <w:lang w:val="es-CR"/>
              </w:rPr>
              <w:t>Dirección Ejecutiva de la Secretaría del Consejo Institucional</w:t>
            </w:r>
          </w:p>
        </w:tc>
      </w:tr>
    </w:tbl>
    <w:p w:rsidR="005B7181" w:rsidRPr="00AD2975" w:rsidRDefault="005B7181" w:rsidP="005B7181">
      <w:pPr>
        <w:jc w:val="both"/>
        <w:rPr>
          <w:rFonts w:ascii="Arial" w:eastAsia="Cambria" w:hAnsi="Arial" w:cs="Arial"/>
          <w:lang w:val="es-CR" w:eastAsia="en-US"/>
        </w:rPr>
      </w:pPr>
    </w:p>
    <w:p w:rsidR="005B7181" w:rsidRPr="00AD2975" w:rsidRDefault="005B7181" w:rsidP="005B7181">
      <w:pPr>
        <w:jc w:val="both"/>
        <w:rPr>
          <w:rFonts w:ascii="Arial" w:hAnsi="Arial" w:cs="Arial"/>
          <w:b/>
          <w:lang w:val="es-ES_tradnl" w:eastAsia="en-US"/>
        </w:rPr>
      </w:pPr>
      <w:r w:rsidRPr="00AD2975">
        <w:rPr>
          <w:rFonts w:ascii="Arial" w:hAnsi="Arial" w:cs="Arial"/>
          <w:b/>
          <w:lang w:val="es-ES_tradnl" w:eastAsia="en-US"/>
        </w:rPr>
        <w:t>CONSIDERANDO QUE:</w:t>
      </w:r>
    </w:p>
    <w:p w:rsidR="005B7181" w:rsidRPr="00AD2975" w:rsidRDefault="005B7181" w:rsidP="005B7181">
      <w:pPr>
        <w:jc w:val="both"/>
        <w:rPr>
          <w:rFonts w:ascii="Arial" w:hAnsi="Arial" w:cs="Arial"/>
          <w:b/>
          <w:lang w:val="es-ES_tradnl" w:eastAsia="en-US"/>
        </w:rPr>
      </w:pPr>
    </w:p>
    <w:p w:rsidR="005B7181" w:rsidRPr="00AD2975" w:rsidRDefault="005B7181" w:rsidP="005B7181">
      <w:pPr>
        <w:numPr>
          <w:ilvl w:val="0"/>
          <w:numId w:val="16"/>
        </w:numPr>
        <w:ind w:left="357" w:hanging="357"/>
        <w:jc w:val="both"/>
        <w:rPr>
          <w:rFonts w:ascii="Arial" w:hAnsi="Arial" w:cs="Arial"/>
          <w:b/>
          <w:lang w:val="es-ES_tradnl"/>
        </w:rPr>
      </w:pPr>
      <w:r w:rsidRPr="00AD2975">
        <w:rPr>
          <w:rFonts w:ascii="Arial" w:hAnsi="Arial" w:cs="Arial"/>
          <w:lang w:val="es-ES_tradnl" w:eastAsia="en-US"/>
        </w:rPr>
        <w:t xml:space="preserve">Es innecesario, desde una perspectiva práctica, que el Consejo Institucional defina en cada caso el plazo por el cuál someterá a consulta de la comunidad institucional un proyecto de ley. </w:t>
      </w:r>
    </w:p>
    <w:p w:rsidR="005B7181" w:rsidRPr="00AD2975" w:rsidRDefault="005B7181" w:rsidP="005B7181">
      <w:pPr>
        <w:jc w:val="both"/>
        <w:rPr>
          <w:rFonts w:ascii="Arial" w:hAnsi="Arial" w:cs="Arial"/>
          <w:lang w:val="es-ES_tradnl" w:eastAsia="en-US"/>
        </w:rPr>
      </w:pPr>
    </w:p>
    <w:p w:rsidR="005B7181" w:rsidRPr="00AD2975" w:rsidRDefault="005B7181" w:rsidP="005B7181">
      <w:pPr>
        <w:numPr>
          <w:ilvl w:val="0"/>
          <w:numId w:val="16"/>
        </w:numPr>
        <w:ind w:left="357" w:hanging="357"/>
        <w:jc w:val="both"/>
        <w:rPr>
          <w:rFonts w:ascii="Arial" w:hAnsi="Arial" w:cs="Arial"/>
          <w:lang w:val="es-ES_tradnl" w:eastAsia="en-US"/>
        </w:rPr>
      </w:pPr>
      <w:r w:rsidRPr="00AD2975">
        <w:rPr>
          <w:rFonts w:ascii="Arial" w:hAnsi="Arial" w:cs="Arial"/>
          <w:lang w:val="es-ES_tradnl" w:eastAsia="en-US"/>
        </w:rPr>
        <w:t>El paso 3 del procedimiento aprobado en la Sesión Ordinaria No. 3098, Artículo 7, del 21 de noviembre de 2018, establece un plazo de 10 días hábiles</w:t>
      </w:r>
      <w:r>
        <w:rPr>
          <w:rFonts w:ascii="Arial" w:hAnsi="Arial" w:cs="Arial"/>
          <w:lang w:val="es-ES_tradnl" w:eastAsia="en-US"/>
        </w:rPr>
        <w:t>,</w:t>
      </w:r>
      <w:r w:rsidRPr="00AD2975">
        <w:rPr>
          <w:rFonts w:ascii="Arial" w:hAnsi="Arial" w:cs="Arial"/>
          <w:lang w:val="es-ES_tradnl" w:eastAsia="en-US"/>
        </w:rPr>
        <w:t xml:space="preserve"> para que las instancias institucionales o persona concretas a las que el Consejo Institucional consulte se pronuncien.</w:t>
      </w:r>
    </w:p>
    <w:p w:rsidR="005B7181" w:rsidRPr="00AD2975" w:rsidRDefault="005B7181" w:rsidP="005B7181">
      <w:pPr>
        <w:jc w:val="both"/>
        <w:rPr>
          <w:rFonts w:ascii="Arial" w:hAnsi="Arial" w:cs="Arial"/>
          <w:b/>
          <w:lang w:val="es-CR"/>
        </w:rPr>
      </w:pPr>
    </w:p>
    <w:p w:rsidR="005B7181" w:rsidRPr="00AD2975" w:rsidRDefault="005B7181" w:rsidP="005B7181">
      <w:pPr>
        <w:tabs>
          <w:tab w:val="center" w:pos="4252"/>
          <w:tab w:val="right" w:pos="8504"/>
        </w:tabs>
        <w:rPr>
          <w:rFonts w:ascii="Arial" w:hAnsi="Arial" w:cs="Arial"/>
          <w:b/>
          <w:lang w:val="es-ES_tradnl"/>
        </w:rPr>
      </w:pPr>
      <w:r w:rsidRPr="00AD2975">
        <w:rPr>
          <w:rFonts w:ascii="Arial" w:hAnsi="Arial" w:cs="Arial"/>
          <w:b/>
          <w:lang w:val="es-ES_tradnl"/>
        </w:rPr>
        <w:t>SE</w:t>
      </w:r>
      <w:r>
        <w:rPr>
          <w:rFonts w:ascii="Arial" w:hAnsi="Arial" w:cs="Arial"/>
          <w:b/>
          <w:lang w:val="es-ES_tradnl"/>
        </w:rPr>
        <w:t xml:space="preserve"> ACUERDA</w:t>
      </w:r>
      <w:bookmarkStart w:id="0" w:name="_GoBack"/>
      <w:bookmarkEnd w:id="0"/>
      <w:r w:rsidRPr="00AD2975">
        <w:rPr>
          <w:rFonts w:ascii="Arial" w:hAnsi="Arial" w:cs="Arial"/>
          <w:b/>
          <w:lang w:val="es-ES_tradnl"/>
        </w:rPr>
        <w:t>:</w:t>
      </w:r>
    </w:p>
    <w:p w:rsidR="005B7181" w:rsidRPr="00AD2975" w:rsidRDefault="005B7181" w:rsidP="005B7181">
      <w:pPr>
        <w:tabs>
          <w:tab w:val="center" w:pos="4252"/>
          <w:tab w:val="right" w:pos="8504"/>
        </w:tabs>
        <w:rPr>
          <w:lang w:val="es-ES_tradnl"/>
        </w:rPr>
      </w:pPr>
    </w:p>
    <w:p w:rsidR="005B7181" w:rsidRPr="00AD2975" w:rsidRDefault="005B7181" w:rsidP="005B7181">
      <w:pPr>
        <w:pStyle w:val="Prrafodelista"/>
        <w:numPr>
          <w:ilvl w:val="0"/>
          <w:numId w:val="18"/>
        </w:numPr>
        <w:ind w:left="360"/>
        <w:jc w:val="both"/>
        <w:rPr>
          <w:rFonts w:ascii="Arial" w:hAnsi="Arial" w:cs="Arial"/>
          <w:lang w:val="es-CR"/>
        </w:rPr>
      </w:pPr>
      <w:r w:rsidRPr="00AD2975">
        <w:rPr>
          <w:rFonts w:ascii="Arial" w:hAnsi="Arial" w:cs="Arial"/>
          <w:lang w:val="es-CR"/>
        </w:rPr>
        <w:t xml:space="preserve">Modificar </w:t>
      </w:r>
      <w:r w:rsidRPr="00AD2975">
        <w:rPr>
          <w:rFonts w:ascii="Arial" w:hAnsi="Arial" w:cs="Arial"/>
        </w:rPr>
        <w:t>el acuerdo tomado en Sesión 3098, Artículo 7, del 21 de noviembre de 2018, sustituyendo el cuarto paso del procedimiento por el siguiente texto:</w:t>
      </w:r>
    </w:p>
    <w:p w:rsidR="005B7181" w:rsidRPr="00AD2975" w:rsidRDefault="005B7181" w:rsidP="005B7181">
      <w:pPr>
        <w:jc w:val="both"/>
        <w:rPr>
          <w:rFonts w:ascii="Arial" w:hAnsi="Arial" w:cs="Arial"/>
          <w:lang w:val="es-CR"/>
        </w:rPr>
      </w:pPr>
    </w:p>
    <w:p w:rsidR="005B7181" w:rsidRPr="00AD2975" w:rsidRDefault="005B7181" w:rsidP="005B7181">
      <w:pPr>
        <w:jc w:val="both"/>
        <w:rPr>
          <w:rFonts w:ascii="Arial" w:hAnsi="Arial" w:cs="Arial"/>
          <w:lang w:val="es-CR"/>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88"/>
        <w:gridCol w:w="4920"/>
        <w:gridCol w:w="3240"/>
      </w:tblGrid>
      <w:tr w:rsidR="005B7181" w:rsidRPr="00AD2975" w:rsidTr="00D245CA">
        <w:tc>
          <w:tcPr>
            <w:tcW w:w="1188" w:type="dxa"/>
            <w:tcMar>
              <w:top w:w="0" w:type="dxa"/>
              <w:left w:w="108" w:type="dxa"/>
              <w:bottom w:w="0" w:type="dxa"/>
              <w:right w:w="108" w:type="dxa"/>
            </w:tcMar>
            <w:vAlign w:val="center"/>
          </w:tcPr>
          <w:p w:rsidR="005B7181" w:rsidRPr="00AD2975" w:rsidRDefault="005B7181" w:rsidP="00D245CA">
            <w:pPr>
              <w:spacing w:before="120" w:line="360" w:lineRule="auto"/>
              <w:jc w:val="center"/>
              <w:rPr>
                <w:rFonts w:ascii="Arial" w:eastAsiaTheme="minorHAnsi" w:hAnsi="Arial" w:cs="Arial"/>
                <w:lang w:val="es-CR"/>
              </w:rPr>
            </w:pPr>
            <w:r w:rsidRPr="00AD2975">
              <w:rPr>
                <w:rFonts w:ascii="Arial" w:eastAsiaTheme="minorHAnsi" w:hAnsi="Arial" w:cs="Arial"/>
                <w:lang w:val="es-CR"/>
              </w:rPr>
              <w:lastRenderedPageBreak/>
              <w:t>04</w:t>
            </w:r>
          </w:p>
        </w:tc>
        <w:tc>
          <w:tcPr>
            <w:tcW w:w="4920" w:type="dxa"/>
            <w:tcMar>
              <w:top w:w="0" w:type="dxa"/>
              <w:left w:w="108" w:type="dxa"/>
              <w:bottom w:w="0" w:type="dxa"/>
              <w:right w:w="108" w:type="dxa"/>
            </w:tcMar>
            <w:vAlign w:val="center"/>
          </w:tcPr>
          <w:p w:rsidR="005B7181" w:rsidRPr="00AD2975" w:rsidRDefault="005B7181" w:rsidP="00D245CA">
            <w:pPr>
              <w:jc w:val="both"/>
              <w:rPr>
                <w:rFonts w:ascii="Arial" w:eastAsiaTheme="minorHAnsi" w:hAnsi="Arial" w:cs="Arial"/>
                <w:lang w:val="es-CR" w:eastAsia="en-US"/>
              </w:rPr>
            </w:pPr>
            <w:r w:rsidRPr="00AD2975">
              <w:rPr>
                <w:rFonts w:ascii="Arial" w:eastAsiaTheme="minorHAnsi" w:hAnsi="Arial" w:cs="Arial"/>
                <w:lang w:val="es-CR" w:eastAsia="en-US"/>
              </w:rPr>
              <w:t xml:space="preserve">El documento es comunicado a la Comunidad Institucional mediante la cuenta oficial de correo electrónico para consulta pública por el plazo </w:t>
            </w:r>
            <w:r w:rsidRPr="00AD2975">
              <w:rPr>
                <w:rFonts w:ascii="Arial" w:eastAsiaTheme="minorHAnsi" w:hAnsi="Arial" w:cs="Arial"/>
                <w:b/>
                <w:u w:val="single"/>
                <w:lang w:val="es-CR" w:eastAsia="en-US"/>
              </w:rPr>
              <w:t>de 10 días hábiles</w:t>
            </w:r>
            <w:r w:rsidRPr="00AD2975">
              <w:rPr>
                <w:rFonts w:ascii="Arial" w:eastAsiaTheme="minorHAnsi" w:hAnsi="Arial" w:cs="Arial"/>
                <w:lang w:val="es-CR" w:eastAsia="en-US"/>
              </w:rPr>
              <w:t>, indicando que las observaciones deberán ser presentadas en el formato oficial que se adjunta al comunicado. Vencido el plazo no se recibirán observaciones.</w:t>
            </w:r>
          </w:p>
        </w:tc>
        <w:tc>
          <w:tcPr>
            <w:tcW w:w="3240" w:type="dxa"/>
            <w:tcMar>
              <w:top w:w="0" w:type="dxa"/>
              <w:left w:w="108" w:type="dxa"/>
              <w:bottom w:w="0" w:type="dxa"/>
              <w:right w:w="108" w:type="dxa"/>
            </w:tcMar>
            <w:vAlign w:val="center"/>
          </w:tcPr>
          <w:p w:rsidR="005B7181" w:rsidRPr="00AD2975" w:rsidRDefault="005B7181" w:rsidP="00D245CA">
            <w:pPr>
              <w:spacing w:before="120"/>
              <w:jc w:val="both"/>
              <w:rPr>
                <w:rFonts w:ascii="Arial" w:eastAsiaTheme="minorHAnsi" w:hAnsi="Arial" w:cs="Arial"/>
                <w:lang w:val="es-CR"/>
              </w:rPr>
            </w:pPr>
            <w:r w:rsidRPr="00AD2975">
              <w:rPr>
                <w:rFonts w:ascii="Arial" w:eastAsiaTheme="minorHAnsi" w:hAnsi="Arial" w:cs="Arial"/>
                <w:lang w:val="es-CR"/>
              </w:rPr>
              <w:t>Dirección Ejecutiva de la Secretaría del Consejo Institucional</w:t>
            </w:r>
          </w:p>
        </w:tc>
      </w:tr>
    </w:tbl>
    <w:p w:rsidR="00A139D3" w:rsidRDefault="00A139D3" w:rsidP="00A139D3">
      <w:pPr>
        <w:spacing w:before="120"/>
        <w:ind w:right="440"/>
        <w:jc w:val="both"/>
        <w:rPr>
          <w:rFonts w:ascii="Arial" w:eastAsia="Cambria" w:hAnsi="Arial" w:cs="Arial"/>
          <w:lang w:val="es-ES_tradnl" w:eastAsia="en-US"/>
        </w:rPr>
      </w:pPr>
    </w:p>
    <w:p w:rsidR="00215C41" w:rsidRPr="005B7181" w:rsidRDefault="00BB6A5E" w:rsidP="005B7181">
      <w:pPr>
        <w:pStyle w:val="Prrafodelista"/>
        <w:numPr>
          <w:ilvl w:val="0"/>
          <w:numId w:val="18"/>
        </w:numPr>
        <w:ind w:left="360"/>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5B7181" w:rsidRDefault="005B7181" w:rsidP="005B7181">
      <w:pPr>
        <w:contextualSpacing/>
        <w:jc w:val="both"/>
        <w:rPr>
          <w:rFonts w:ascii="Arial" w:hAnsi="Arial" w:cs="Arial"/>
          <w:b/>
          <w:lang w:val="es-CR"/>
        </w:rPr>
      </w:pPr>
    </w:p>
    <w:p w:rsidR="005B7181" w:rsidRPr="00F41610" w:rsidRDefault="005B7181" w:rsidP="005B7181">
      <w:pPr>
        <w:contextualSpacing/>
        <w:jc w:val="both"/>
        <w:rPr>
          <w:rFonts w:ascii="Arial" w:hAnsi="Arial" w:cs="Arial"/>
        </w:rPr>
      </w:pPr>
    </w:p>
    <w:p w:rsidR="005B7181" w:rsidRPr="00666FF4" w:rsidRDefault="005B7181" w:rsidP="005B7181">
      <w:pPr>
        <w:ind w:left="1701" w:hanging="1843"/>
        <w:rPr>
          <w:rFonts w:ascii="Arial" w:eastAsia="Calibri" w:hAnsi="Arial" w:cs="Arial"/>
          <w:b/>
          <w:sz w:val="20"/>
          <w:szCs w:val="20"/>
          <w:lang w:val="es-ES_tradnl"/>
        </w:rPr>
      </w:pPr>
      <w:r w:rsidRPr="005A76D9">
        <w:rPr>
          <w:rFonts w:ascii="Arial" w:eastAsia="Calibri" w:hAnsi="Arial" w:cs="Arial"/>
          <w:b/>
          <w:sz w:val="20"/>
          <w:szCs w:val="20"/>
          <w:lang w:val="es-ES_tradnl"/>
        </w:rPr>
        <w:t xml:space="preserve">Palabras clave: </w:t>
      </w:r>
      <w:r>
        <w:rPr>
          <w:rFonts w:ascii="Arial" w:eastAsia="Calibri" w:hAnsi="Arial" w:cs="Arial"/>
          <w:b/>
          <w:sz w:val="20"/>
          <w:szCs w:val="20"/>
          <w:lang w:val="es-ES_tradnl"/>
        </w:rPr>
        <w:t xml:space="preserve"> Modificar – acuerdo Sesión 3098 </w:t>
      </w:r>
    </w:p>
    <w:p w:rsidR="00A7618F" w:rsidRPr="005B7181" w:rsidRDefault="00A7618F" w:rsidP="005B7181">
      <w:pPr>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989" w:rsidRDefault="00681989">
      <w:r>
        <w:separator/>
      </w:r>
    </w:p>
  </w:endnote>
  <w:endnote w:type="continuationSeparator" w:id="0">
    <w:p w:rsidR="00681989" w:rsidRDefault="0068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989" w:rsidRDefault="00681989">
      <w:r>
        <w:separator/>
      </w:r>
    </w:p>
  </w:footnote>
  <w:footnote w:type="continuationSeparator" w:id="0">
    <w:p w:rsidR="00681989" w:rsidRDefault="00681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2B7989">
      <w:rPr>
        <w:rFonts w:ascii="Arial" w:eastAsia="Cambria" w:hAnsi="Arial" w:cs="Arial"/>
        <w:i/>
        <w:sz w:val="18"/>
        <w:szCs w:val="18"/>
        <w:lang w:val="es-ES_tradnl" w:eastAsia="x-none"/>
      </w:rPr>
      <w:t>100</w:t>
    </w:r>
    <w:r w:rsidRPr="00D958BC">
      <w:rPr>
        <w:rFonts w:ascii="Arial" w:eastAsia="Cambria" w:hAnsi="Arial" w:cs="Arial"/>
        <w:i/>
        <w:sz w:val="18"/>
        <w:szCs w:val="18"/>
        <w:lang w:val="es-ES_tradnl" w:eastAsia="x-none"/>
      </w:rPr>
      <w:t xml:space="preserve">, Artículo </w:t>
    </w:r>
    <w:r w:rsidR="002B7989">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2B7989">
      <w:rPr>
        <w:rFonts w:ascii="Arial" w:eastAsia="Cambria" w:hAnsi="Arial" w:cs="Arial"/>
        <w:i/>
        <w:sz w:val="18"/>
        <w:szCs w:val="18"/>
        <w:lang w:val="es-ES_tradnl" w:eastAsia="x-none"/>
      </w:rPr>
      <w:t>05</w:t>
    </w:r>
    <w:r>
      <w:rPr>
        <w:rFonts w:ascii="Arial" w:eastAsia="Cambria" w:hAnsi="Arial" w:cs="Arial"/>
        <w:i/>
        <w:sz w:val="18"/>
        <w:szCs w:val="18"/>
        <w:lang w:val="es-ES_tradnl" w:eastAsia="x-none"/>
      </w:rPr>
      <w:t xml:space="preserve"> de </w:t>
    </w:r>
    <w:r w:rsidR="002B7989">
      <w:rPr>
        <w:rFonts w:ascii="Arial" w:eastAsia="Cambria" w:hAnsi="Arial" w:cs="Arial"/>
        <w:i/>
        <w:sz w:val="18"/>
        <w:szCs w:val="18"/>
        <w:lang w:val="es-ES_tradnl" w:eastAsia="x-none"/>
      </w:rPr>
      <w:t>dic</w:t>
    </w:r>
    <w:r>
      <w:rPr>
        <w:rFonts w:ascii="Arial" w:eastAsia="Cambria" w:hAnsi="Arial" w:cs="Arial"/>
        <w:i/>
        <w:sz w:val="18"/>
        <w:szCs w:val="18"/>
        <w:lang w:val="es-ES_tradnl" w:eastAsia="x-none"/>
      </w:rPr>
      <w:t xml:space="preserve">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B7181">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DC4709"/>
    <w:multiLevelType w:val="hybridMultilevel"/>
    <w:tmpl w:val="CA8A92F8"/>
    <w:lvl w:ilvl="0" w:tplc="0409000F">
      <w:start w:val="1"/>
      <w:numFmt w:val="decimal"/>
      <w:lvlText w:val="%1."/>
      <w:lvlJc w:val="left"/>
      <w:pPr>
        <w:ind w:left="288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1E10F99"/>
    <w:multiLevelType w:val="hybridMultilevel"/>
    <w:tmpl w:val="0DA61C9A"/>
    <w:lvl w:ilvl="0" w:tplc="0D1C3762">
      <w:start w:val="1"/>
      <w:numFmt w:val="lowerLetter"/>
      <w:lvlText w:val="%1."/>
      <w:lvlJc w:val="left"/>
      <w:pPr>
        <w:ind w:left="720" w:hanging="360"/>
      </w:pPr>
      <w:rPr>
        <w:rFonts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721738D"/>
    <w:multiLevelType w:val="hybridMultilevel"/>
    <w:tmpl w:val="E92A818E"/>
    <w:lvl w:ilvl="0" w:tplc="B2D2989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7D2700B"/>
    <w:multiLevelType w:val="hybridMultilevel"/>
    <w:tmpl w:val="6B2260C0"/>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F3212C"/>
    <w:multiLevelType w:val="hybridMultilevel"/>
    <w:tmpl w:val="5C44F26C"/>
    <w:lvl w:ilvl="0" w:tplc="A6C69CCC">
      <w:start w:val="1"/>
      <w:numFmt w:val="lowerLetter"/>
      <w:lvlText w:val="%1."/>
      <w:lvlJc w:val="left"/>
      <w:pPr>
        <w:ind w:left="360" w:hanging="360"/>
      </w:pPr>
      <w:rPr>
        <w:rFonts w:hint="default"/>
        <w:b/>
        <w:i/>
        <w:color w:val="auto"/>
        <w:sz w:val="22"/>
        <w:szCs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40507360"/>
    <w:multiLevelType w:val="hybridMultilevel"/>
    <w:tmpl w:val="87368146"/>
    <w:lvl w:ilvl="0" w:tplc="DD7A21C2">
      <w:start w:val="1"/>
      <w:numFmt w:val="decimal"/>
      <w:lvlText w:val="%1."/>
      <w:lvlJc w:val="left"/>
      <w:pPr>
        <w:ind w:left="360" w:hanging="360"/>
      </w:pPr>
      <w:rPr>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43DA4D70"/>
    <w:multiLevelType w:val="hybridMultilevel"/>
    <w:tmpl w:val="372AB89C"/>
    <w:lvl w:ilvl="0" w:tplc="1E74AAB4">
      <w:start w:val="1"/>
      <w:numFmt w:val="lowerLetter"/>
      <w:lvlText w:val="%1."/>
      <w:lvlJc w:val="left"/>
      <w:pPr>
        <w:ind w:left="1146" w:hanging="360"/>
      </w:pPr>
      <w:rPr>
        <w:rFonts w:hint="default"/>
        <w:b/>
      </w:rPr>
    </w:lvl>
    <w:lvl w:ilvl="1" w:tplc="140A000F">
      <w:start w:val="1"/>
      <w:numFmt w:val="decimal"/>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9" w15:restartNumberingAfterBreak="0">
    <w:nsid w:val="45620CE0"/>
    <w:multiLevelType w:val="hybridMultilevel"/>
    <w:tmpl w:val="F46203E4"/>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A8511B"/>
    <w:multiLevelType w:val="hybridMultilevel"/>
    <w:tmpl w:val="91CCBA4E"/>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7232354"/>
    <w:multiLevelType w:val="hybridMultilevel"/>
    <w:tmpl w:val="2D3CCA66"/>
    <w:lvl w:ilvl="0" w:tplc="4E021186">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7992949"/>
    <w:multiLevelType w:val="hybridMultilevel"/>
    <w:tmpl w:val="4FD861DE"/>
    <w:lvl w:ilvl="0" w:tplc="111A5DD8">
      <w:start w:val="2"/>
      <w:numFmt w:val="lowerLetter"/>
      <w:lvlText w:val="%1."/>
      <w:lvlJc w:val="left"/>
      <w:pPr>
        <w:tabs>
          <w:tab w:val="num" w:pos="1495"/>
        </w:tabs>
        <w:ind w:left="1495" w:hanging="360"/>
      </w:pPr>
      <w:rPr>
        <w:rFonts w:cs="TTE1865388t00" w:hint="default"/>
        <w:b/>
        <w:i/>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86006A4"/>
    <w:multiLevelType w:val="hybridMultilevel"/>
    <w:tmpl w:val="4F2A93DA"/>
    <w:lvl w:ilvl="0" w:tplc="9B9E8A8C">
      <w:start w:val="1"/>
      <w:numFmt w:val="decimal"/>
      <w:lvlText w:val="%1."/>
      <w:lvlJc w:val="left"/>
      <w:pPr>
        <w:ind w:left="720" w:hanging="360"/>
      </w:pPr>
      <w:rPr>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8174EB0"/>
    <w:multiLevelType w:val="hybridMultilevel"/>
    <w:tmpl w:val="8DDE2258"/>
    <w:lvl w:ilvl="0" w:tplc="11D69808">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2"/>
  </w:num>
  <w:num w:numId="2">
    <w:abstractNumId w:val="16"/>
  </w:num>
  <w:num w:numId="3">
    <w:abstractNumId w:val="17"/>
  </w:num>
  <w:num w:numId="4">
    <w:abstractNumId w:val="0"/>
  </w:num>
  <w:num w:numId="5">
    <w:abstractNumId w:val="15"/>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13"/>
  </w:num>
  <w:num w:numId="11">
    <w:abstractNumId w:val="4"/>
  </w:num>
  <w:num w:numId="12">
    <w:abstractNumId w:val="5"/>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6"/>
  </w:num>
  <w:num w:numId="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2A1C"/>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B7989"/>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4F28"/>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51C7"/>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0961"/>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B7181"/>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1989"/>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4BFE"/>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0403"/>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2F4E"/>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D7785"/>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0527"/>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05D3"/>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610"/>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4E91F"/>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4"/>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917DC-79CA-44AC-A346-1BBFFAAD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727</Words>
  <Characters>4002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87</cp:revision>
  <cp:lastPrinted>2018-11-14T20:55:00Z</cp:lastPrinted>
  <dcterms:created xsi:type="dcterms:W3CDTF">2018-05-02T21:37:00Z</dcterms:created>
  <dcterms:modified xsi:type="dcterms:W3CDTF">2018-12-05T17:13:00Z</dcterms:modified>
</cp:coreProperties>
</file>