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320029">
        <w:rPr>
          <w:rFonts w:ascii="Arial" w:hAnsi="Arial" w:cs="Arial"/>
          <w:b/>
          <w:bCs/>
          <w:iCs/>
          <w:sz w:val="26"/>
          <w:szCs w:val="22"/>
          <w:lang w:val="es-CR"/>
        </w:rPr>
        <w:t>1067</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F52439"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w:t>
            </w:r>
            <w:r w:rsidR="002B7989">
              <w:rPr>
                <w:rFonts w:ascii="Arial" w:eastAsia="Cambria" w:hAnsi="Arial" w:cs="Arial"/>
                <w:sz w:val="22"/>
                <w:szCs w:val="22"/>
                <w:lang w:val="es-ES_tradnl" w:eastAsia="en-US"/>
              </w:rPr>
              <w:t xml:space="preserve">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320029" w:rsidRDefault="00320029"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Señores Comisión Especial de Ambiente, Asamblea Legislativa</w:t>
            </w:r>
          </w:p>
          <w:p w:rsidR="00320029" w:rsidRDefault="00320029"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Señores Comisión Permanente de Asuntos Jurídicos, Asamblea Legislativa</w:t>
            </w:r>
          </w:p>
          <w:p w:rsidR="007D3F8E" w:rsidRDefault="00320029"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Señores Comisión Permanente de Asuntos Agropecuarios y Recursos Naturales, Asamblea Legislativa</w:t>
            </w:r>
          </w:p>
          <w:p w:rsidR="00BE62EA" w:rsidRPr="00F548D2" w:rsidRDefault="00BE62EA" w:rsidP="00BE62EA">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CF4A51"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w:t>
            </w:r>
            <w:r w:rsidR="002B7989">
              <w:rPr>
                <w:rFonts w:ascii="Arial" w:eastAsia="Cambria" w:hAnsi="Arial" w:cs="Arial"/>
                <w:sz w:val="22"/>
                <w:szCs w:val="22"/>
                <w:lang w:val="es-ES_tradnl" w:eastAsia="en-US"/>
              </w:rPr>
              <w:t xml:space="preserve"> Julio Calvo Alvarado</w:t>
            </w:r>
            <w:r w:rsidR="008D7E9D" w:rsidRPr="008E0D8C">
              <w:rPr>
                <w:rFonts w:ascii="Arial" w:eastAsia="Cambria" w:hAnsi="Arial" w:cs="Arial"/>
                <w:sz w:val="22"/>
                <w:szCs w:val="22"/>
                <w:lang w:val="es-ES_tradnl" w:eastAsia="en-US"/>
              </w:rPr>
              <w:t xml:space="preserve">, </w:t>
            </w:r>
            <w:r>
              <w:rPr>
                <w:rFonts w:ascii="Arial" w:eastAsia="Cambria" w:hAnsi="Arial" w:cs="Arial"/>
                <w:sz w:val="22"/>
                <w:szCs w:val="22"/>
                <w:lang w:val="es-ES_tradnl" w:eastAsia="en-US"/>
              </w:rPr>
              <w:t>Presidente</w:t>
            </w:r>
            <w:r w:rsidR="00E605D3">
              <w:rPr>
                <w:rFonts w:ascii="Arial" w:eastAsia="Cambria" w:hAnsi="Arial" w:cs="Arial"/>
                <w:sz w:val="22"/>
                <w:szCs w:val="22"/>
                <w:lang w:val="es-ES_tradnl" w:eastAsia="en-US"/>
              </w:rPr>
              <w:t xml:space="preserve"> </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7B4F98"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12</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2B7989">
              <w:rPr>
                <w:rFonts w:ascii="Arial" w:eastAsia="Cambria" w:hAnsi="Arial" w:cs="Arial"/>
                <w:b/>
                <w:sz w:val="22"/>
                <w:szCs w:val="22"/>
                <w:lang w:val="es-ES_tradnl" w:eastAsia="en-US"/>
              </w:rPr>
              <w:t>dic</w:t>
            </w:r>
            <w:r w:rsidR="00BE62EA">
              <w:rPr>
                <w:rFonts w:ascii="Arial" w:eastAsia="Cambria" w:hAnsi="Arial" w:cs="Arial"/>
                <w:b/>
                <w:sz w:val="22"/>
                <w:szCs w:val="22"/>
                <w:lang w:val="es-ES_tradnl" w:eastAsia="en-US"/>
              </w:rPr>
              <w:t>iem</w:t>
            </w:r>
            <w:r w:rsidR="00D76019">
              <w:rPr>
                <w:rFonts w:ascii="Arial" w:eastAsia="Cambria" w:hAnsi="Arial" w:cs="Arial"/>
                <w:b/>
                <w:sz w:val="22"/>
                <w:szCs w:val="22"/>
                <w:lang w:val="es-ES_tradnl" w:eastAsia="en-US"/>
              </w:rPr>
              <w:t xml:space="preserve">bre </w:t>
            </w:r>
            <w:r w:rsidR="007742A1" w:rsidRPr="008E0D8C">
              <w:rPr>
                <w:rFonts w:ascii="Arial" w:eastAsia="Cambria" w:hAnsi="Arial" w:cs="Arial"/>
                <w:b/>
                <w:sz w:val="22"/>
                <w:szCs w:val="22"/>
                <w:lang w:val="es-ES_tradnl" w:eastAsia="en-US"/>
              </w:rPr>
              <w:t>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F4BFE" w:rsidRDefault="00FF209C" w:rsidP="00AF5DC8">
            <w:pPr>
              <w:ind w:left="32" w:hanging="32"/>
              <w:jc w:val="both"/>
              <w:rPr>
                <w:rFonts w:ascii="Arial" w:eastAsia="Cambria" w:hAnsi="Arial" w:cs="Arial"/>
                <w:b/>
                <w:bCs/>
                <w:sz w:val="22"/>
                <w:szCs w:val="22"/>
                <w:lang w:val="es-CR" w:eastAsia="en-US"/>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2B7989">
              <w:rPr>
                <w:rFonts w:ascii="Arial" w:eastAsia="Calibri" w:hAnsi="Arial" w:cs="Arial"/>
                <w:b/>
                <w:sz w:val="22"/>
                <w:szCs w:val="22"/>
              </w:rPr>
              <w:t>10</w:t>
            </w:r>
            <w:r w:rsidR="007B4F98">
              <w:rPr>
                <w:rFonts w:ascii="Arial" w:eastAsia="Calibri" w:hAnsi="Arial" w:cs="Arial"/>
                <w:b/>
                <w:sz w:val="22"/>
                <w:szCs w:val="22"/>
              </w:rPr>
              <w:t>1</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AF5DC8">
              <w:rPr>
                <w:rFonts w:ascii="Arial" w:eastAsia="Calibri" w:hAnsi="Arial" w:cs="Arial"/>
                <w:b/>
                <w:sz w:val="22"/>
                <w:szCs w:val="22"/>
              </w:rPr>
              <w:t>7</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 </w:t>
            </w:r>
            <w:r w:rsidR="00AF5DC8">
              <w:rPr>
                <w:rFonts w:ascii="Arial" w:eastAsia="Calibri" w:hAnsi="Arial" w:cs="Arial"/>
                <w:b/>
                <w:sz w:val="22"/>
                <w:szCs w:val="22"/>
              </w:rPr>
              <w:t>12</w:t>
            </w:r>
            <w:r w:rsidR="00BE62EA">
              <w:rPr>
                <w:rFonts w:ascii="Arial" w:eastAsia="Calibri" w:hAnsi="Arial" w:cs="Arial"/>
                <w:b/>
                <w:sz w:val="22"/>
                <w:szCs w:val="22"/>
              </w:rPr>
              <w:t xml:space="preserve"> de </w:t>
            </w:r>
            <w:r w:rsidR="002B7989">
              <w:rPr>
                <w:rFonts w:ascii="Arial" w:eastAsia="Calibri" w:hAnsi="Arial" w:cs="Arial"/>
                <w:b/>
                <w:sz w:val="22"/>
                <w:szCs w:val="22"/>
              </w:rPr>
              <w:t>dic</w:t>
            </w:r>
            <w:r w:rsidR="00BE62EA">
              <w:rPr>
                <w:rFonts w:ascii="Arial" w:eastAsia="Calibri" w:hAnsi="Arial" w:cs="Arial"/>
                <w:b/>
                <w:sz w:val="22"/>
                <w:szCs w:val="22"/>
              </w:rPr>
              <w:t xml:space="preserve">iembre </w:t>
            </w:r>
            <w:r w:rsidR="00A772EF" w:rsidRPr="008F0835">
              <w:rPr>
                <w:rFonts w:ascii="Arial" w:eastAsia="Calibri" w:hAnsi="Arial" w:cs="Arial"/>
                <w:b/>
                <w:sz w:val="22"/>
                <w:szCs w:val="22"/>
              </w:rPr>
              <w:t>de 201</w:t>
            </w:r>
            <w:r w:rsidR="003B6DC0" w:rsidRPr="008F0835">
              <w:rPr>
                <w:rFonts w:ascii="Arial" w:eastAsia="Calibri" w:hAnsi="Arial" w:cs="Arial"/>
                <w:b/>
                <w:sz w:val="22"/>
                <w:szCs w:val="22"/>
              </w:rPr>
              <w:t>8</w:t>
            </w:r>
            <w:r w:rsidR="00925985" w:rsidRPr="008F0835">
              <w:rPr>
                <w:rFonts w:ascii="Arial" w:eastAsia="Calibri" w:hAnsi="Arial" w:cs="Arial"/>
                <w:b/>
                <w:sz w:val="22"/>
                <w:szCs w:val="22"/>
              </w:rPr>
              <w:t>.</w:t>
            </w:r>
            <w:r w:rsidR="00E605D3">
              <w:rPr>
                <w:rFonts w:ascii="Arial" w:eastAsia="Calibri" w:hAnsi="Arial" w:cs="Arial"/>
                <w:b/>
                <w:sz w:val="22"/>
                <w:szCs w:val="22"/>
              </w:rPr>
              <w:t xml:space="preserve"> </w:t>
            </w:r>
            <w:r w:rsidR="00AF5DC8" w:rsidRPr="00AF5DC8">
              <w:rPr>
                <w:rFonts w:ascii="Arial" w:eastAsia="Cambria" w:hAnsi="Arial" w:cs="Arial"/>
                <w:b/>
                <w:bCs/>
                <w:sz w:val="22"/>
                <w:szCs w:val="22"/>
                <w:lang w:val="es-CR" w:eastAsia="en-US"/>
              </w:rPr>
              <w:t>Pronunciamiento del Consejo Institucional de Proyectos de Ley Nos. 20.649, 20.316, 20.561 y 20.531</w:t>
            </w:r>
          </w:p>
        </w:tc>
      </w:tr>
    </w:tbl>
    <w:p w:rsidR="00FF209C" w:rsidRPr="007F4BFE" w:rsidRDefault="00FF209C" w:rsidP="007742A1">
      <w:pPr>
        <w:jc w:val="both"/>
        <w:rPr>
          <w:rFonts w:ascii="Arial" w:eastAsia="Cambria" w:hAnsi="Arial" w:cs="Arial"/>
          <w:lang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320029" w:rsidRPr="00320029" w:rsidRDefault="00320029" w:rsidP="00320029">
      <w:pPr>
        <w:spacing w:after="200"/>
        <w:rPr>
          <w:rFonts w:ascii="Arial" w:hAnsi="Arial" w:cs="Arial"/>
          <w:b/>
          <w:bCs/>
          <w:i/>
          <w:iCs/>
          <w:kern w:val="32"/>
          <w:sz w:val="22"/>
          <w:szCs w:val="22"/>
          <w:lang w:val="es-CR"/>
        </w:rPr>
      </w:pPr>
      <w:r w:rsidRPr="00320029">
        <w:rPr>
          <w:rFonts w:ascii="Arial" w:hAnsi="Arial" w:cs="Arial"/>
          <w:b/>
          <w:bCs/>
          <w:kern w:val="32"/>
          <w:sz w:val="22"/>
          <w:szCs w:val="22"/>
          <w:lang w:val="es-CR"/>
        </w:rPr>
        <w:t>RESULTANDO QUE:</w:t>
      </w:r>
    </w:p>
    <w:p w:rsidR="00320029" w:rsidRPr="00320029" w:rsidRDefault="00320029" w:rsidP="00320029">
      <w:pPr>
        <w:numPr>
          <w:ilvl w:val="0"/>
          <w:numId w:val="16"/>
        </w:numPr>
        <w:ind w:left="360"/>
        <w:jc w:val="both"/>
        <w:rPr>
          <w:rFonts w:ascii="Arial" w:hAnsi="Arial" w:cs="Arial"/>
          <w:sz w:val="22"/>
          <w:szCs w:val="22"/>
          <w:lang w:val="es-CR"/>
        </w:rPr>
      </w:pPr>
      <w:r w:rsidRPr="00320029">
        <w:rPr>
          <w:rFonts w:ascii="Arial" w:hAnsi="Arial" w:cs="Arial"/>
          <w:sz w:val="22"/>
          <w:szCs w:val="22"/>
          <w:lang w:val="es-CR"/>
        </w:rPr>
        <w:t>El Artículo 88 de la Constitución Política de la República de Costa Rica prescribe:</w:t>
      </w:r>
    </w:p>
    <w:p w:rsidR="00320029" w:rsidRPr="00320029" w:rsidRDefault="00320029" w:rsidP="00320029">
      <w:pPr>
        <w:ind w:left="360"/>
        <w:jc w:val="both"/>
        <w:rPr>
          <w:rFonts w:ascii="Arial" w:hAnsi="Arial" w:cs="Arial"/>
          <w:sz w:val="22"/>
          <w:szCs w:val="22"/>
          <w:lang w:val="es-CR"/>
        </w:rPr>
      </w:pPr>
    </w:p>
    <w:p w:rsidR="00320029" w:rsidRPr="00320029" w:rsidRDefault="00320029" w:rsidP="00320029">
      <w:pPr>
        <w:ind w:left="1080" w:right="689"/>
        <w:jc w:val="both"/>
        <w:rPr>
          <w:rFonts w:ascii="Arial" w:hAnsi="Arial" w:cs="Arial"/>
          <w:i/>
          <w:sz w:val="22"/>
          <w:szCs w:val="22"/>
          <w:lang w:val="es-CR"/>
        </w:rPr>
      </w:pPr>
      <w:r w:rsidRPr="00320029">
        <w:rPr>
          <w:rFonts w:ascii="Arial" w:hAnsi="Arial" w:cs="Arial"/>
          <w:i/>
          <w:sz w:val="22"/>
          <w:szCs w:val="22"/>
          <w:lang w:val="es-CR"/>
        </w:rPr>
        <w:t>“Para la discusión y aprobación de proyectos de ley relativos a las materias puestas bajo la competencia de la Universidad de Costa Rica y de las demás instituciones de educación superior universitaria, o relacionadas directamente con ellas, la Asamblea Legislativa deberá oír previamente al Consejo Universitario o el órgano director correspondiente de cada una de ellas”.</w:t>
      </w:r>
    </w:p>
    <w:p w:rsidR="00320029" w:rsidRPr="00320029" w:rsidRDefault="00320029" w:rsidP="00320029">
      <w:pPr>
        <w:ind w:left="1080" w:right="689"/>
        <w:jc w:val="both"/>
        <w:rPr>
          <w:rFonts w:ascii="Arial" w:hAnsi="Arial" w:cs="Arial"/>
          <w:i/>
          <w:sz w:val="22"/>
          <w:szCs w:val="22"/>
          <w:lang w:val="es-CR"/>
        </w:rPr>
      </w:pPr>
    </w:p>
    <w:p w:rsidR="00320029" w:rsidRPr="00320029" w:rsidRDefault="00320029" w:rsidP="00320029">
      <w:pPr>
        <w:numPr>
          <w:ilvl w:val="0"/>
          <w:numId w:val="16"/>
        </w:numPr>
        <w:ind w:left="360"/>
        <w:jc w:val="both"/>
        <w:rPr>
          <w:rFonts w:ascii="Arial" w:hAnsi="Arial" w:cs="Arial"/>
          <w:lang w:val="es-CR"/>
        </w:rPr>
      </w:pPr>
      <w:r w:rsidRPr="00320029">
        <w:rPr>
          <w:rFonts w:ascii="Arial" w:hAnsi="Arial" w:cs="Arial"/>
          <w:lang w:val="es-CR"/>
        </w:rPr>
        <w:t>El Estatuto Orgánico del Instituto Tecnológico de Costa Rica, en el Artículo 18, inciso i) señala:</w:t>
      </w:r>
    </w:p>
    <w:p w:rsidR="00320029" w:rsidRPr="00320029" w:rsidRDefault="00320029" w:rsidP="00320029">
      <w:pPr>
        <w:ind w:left="1080" w:right="689"/>
        <w:jc w:val="both"/>
        <w:rPr>
          <w:rFonts w:ascii="Arial" w:hAnsi="Arial" w:cs="Arial"/>
          <w:i/>
          <w:sz w:val="22"/>
          <w:szCs w:val="22"/>
          <w:lang w:val="es-CR"/>
        </w:rPr>
      </w:pPr>
    </w:p>
    <w:p w:rsidR="00320029" w:rsidRPr="00320029" w:rsidRDefault="00320029" w:rsidP="00320029">
      <w:pPr>
        <w:ind w:left="1080" w:right="689"/>
        <w:jc w:val="both"/>
        <w:rPr>
          <w:rFonts w:ascii="Arial" w:hAnsi="Arial" w:cs="Arial"/>
          <w:i/>
          <w:sz w:val="22"/>
          <w:szCs w:val="22"/>
          <w:lang w:val="es-CR"/>
        </w:rPr>
      </w:pPr>
      <w:r w:rsidRPr="00320029">
        <w:rPr>
          <w:rFonts w:ascii="Arial" w:hAnsi="Arial" w:cs="Arial"/>
          <w:i/>
          <w:sz w:val="22"/>
          <w:szCs w:val="22"/>
          <w:lang w:val="es-CR"/>
        </w:rPr>
        <w:t>“Son funciones del Consejo Institucional:</w:t>
      </w:r>
    </w:p>
    <w:p w:rsidR="00320029" w:rsidRPr="00320029" w:rsidRDefault="00320029" w:rsidP="00320029">
      <w:pPr>
        <w:ind w:left="1080" w:right="689"/>
        <w:jc w:val="both"/>
        <w:rPr>
          <w:rFonts w:ascii="Arial" w:hAnsi="Arial" w:cs="Arial"/>
          <w:i/>
          <w:sz w:val="22"/>
          <w:szCs w:val="22"/>
          <w:lang w:val="es-CR"/>
        </w:rPr>
      </w:pPr>
      <w:r w:rsidRPr="00320029">
        <w:rPr>
          <w:rFonts w:ascii="Arial" w:hAnsi="Arial" w:cs="Arial"/>
          <w:i/>
          <w:sz w:val="22"/>
          <w:szCs w:val="22"/>
          <w:lang w:val="es-CR"/>
        </w:rPr>
        <w:t>…</w:t>
      </w:r>
    </w:p>
    <w:p w:rsidR="00320029" w:rsidRPr="00320029" w:rsidRDefault="00320029" w:rsidP="00320029">
      <w:pPr>
        <w:ind w:left="1080" w:right="689"/>
        <w:jc w:val="both"/>
        <w:rPr>
          <w:rFonts w:ascii="Arial" w:hAnsi="Arial" w:cs="Arial"/>
          <w:i/>
          <w:sz w:val="22"/>
          <w:szCs w:val="22"/>
          <w:lang w:val="es-CR"/>
        </w:rPr>
      </w:pPr>
      <w:r w:rsidRPr="00320029">
        <w:rPr>
          <w:rFonts w:ascii="Arial" w:hAnsi="Arial" w:cs="Arial"/>
          <w:i/>
          <w:sz w:val="22"/>
          <w:szCs w:val="22"/>
          <w:lang w:val="es-CR"/>
        </w:rPr>
        <w:t>Evacuar las consultas a que se refiere el Artículo 88 de la Constitución Política de la República”.</w:t>
      </w:r>
    </w:p>
    <w:p w:rsidR="00320029" w:rsidRPr="00320029" w:rsidRDefault="00320029" w:rsidP="00320029">
      <w:pPr>
        <w:keepNext/>
        <w:jc w:val="both"/>
        <w:outlineLvl w:val="0"/>
        <w:rPr>
          <w:rFonts w:ascii="Arial" w:hAnsi="Arial" w:cs="Arial"/>
          <w:b/>
          <w:bCs/>
          <w:kern w:val="32"/>
          <w:lang w:val="es-CR"/>
        </w:rPr>
      </w:pPr>
    </w:p>
    <w:p w:rsidR="00320029" w:rsidRPr="00320029" w:rsidRDefault="00320029" w:rsidP="00320029">
      <w:pPr>
        <w:keepNext/>
        <w:jc w:val="both"/>
        <w:outlineLvl w:val="0"/>
        <w:rPr>
          <w:rFonts w:ascii="Arial" w:hAnsi="Arial" w:cs="Arial"/>
          <w:b/>
          <w:bCs/>
          <w:kern w:val="32"/>
          <w:lang w:val="es-CR"/>
        </w:rPr>
      </w:pPr>
    </w:p>
    <w:p w:rsidR="00320029" w:rsidRPr="00320029" w:rsidRDefault="00320029" w:rsidP="00320029">
      <w:pPr>
        <w:keepNext/>
        <w:jc w:val="both"/>
        <w:outlineLvl w:val="0"/>
        <w:rPr>
          <w:rFonts w:ascii="Arial" w:hAnsi="Arial" w:cs="Arial"/>
          <w:b/>
          <w:bCs/>
          <w:kern w:val="32"/>
          <w:lang w:val="es-CR"/>
        </w:rPr>
      </w:pPr>
      <w:r w:rsidRPr="00320029">
        <w:rPr>
          <w:rFonts w:ascii="Arial" w:hAnsi="Arial" w:cs="Arial"/>
          <w:b/>
          <w:bCs/>
          <w:kern w:val="32"/>
          <w:lang w:val="es-CR"/>
        </w:rPr>
        <w:t>CONSIDERANDO QUE:</w:t>
      </w:r>
    </w:p>
    <w:p w:rsidR="00320029" w:rsidRPr="00320029" w:rsidRDefault="00320029" w:rsidP="00320029">
      <w:pPr>
        <w:jc w:val="both"/>
        <w:rPr>
          <w:lang w:val="es-CR"/>
        </w:rPr>
      </w:pPr>
    </w:p>
    <w:p w:rsidR="00320029" w:rsidRPr="00320029" w:rsidRDefault="00320029" w:rsidP="00320029">
      <w:pPr>
        <w:numPr>
          <w:ilvl w:val="0"/>
          <w:numId w:val="20"/>
        </w:numPr>
        <w:ind w:left="284" w:hanging="284"/>
        <w:contextualSpacing/>
        <w:jc w:val="both"/>
        <w:rPr>
          <w:rFonts w:ascii="Arial" w:hAnsi="Arial" w:cs="Arial"/>
          <w:lang w:val="es-CR"/>
        </w:rPr>
      </w:pPr>
      <w:r w:rsidRPr="00320029">
        <w:rPr>
          <w:rFonts w:ascii="Arial" w:hAnsi="Arial" w:cs="Arial"/>
          <w:lang w:val="es-CR"/>
        </w:rPr>
        <w:t>La Secretaría del Consejo Institucional recibió mediante correos electrónicos de parte de Asamblea Legislativa, dirigidos al Dr. Julio C. Calvo Alvarado, en calidad de Rector de la Institución, en los cuales se solicita criterio sobre los siguientes expedientes de Proyectos de Ley:  20.561, 20.316, 20.649 y 20.531.</w:t>
      </w:r>
    </w:p>
    <w:p w:rsidR="00320029" w:rsidRPr="00320029" w:rsidRDefault="00320029" w:rsidP="00320029">
      <w:pPr>
        <w:ind w:left="284" w:hanging="284"/>
        <w:contextualSpacing/>
        <w:jc w:val="both"/>
        <w:rPr>
          <w:rFonts w:ascii="Arial" w:hAnsi="Arial" w:cs="Arial"/>
          <w:lang w:val="es-CR"/>
        </w:rPr>
      </w:pPr>
    </w:p>
    <w:p w:rsidR="00320029" w:rsidRPr="00320029" w:rsidRDefault="00320029" w:rsidP="00320029">
      <w:pPr>
        <w:numPr>
          <w:ilvl w:val="0"/>
          <w:numId w:val="20"/>
        </w:numPr>
        <w:ind w:left="284" w:hanging="284"/>
        <w:jc w:val="both"/>
        <w:rPr>
          <w:rFonts w:ascii="Arial" w:hAnsi="Arial" w:cs="Arial"/>
          <w:lang w:val="es-CR"/>
        </w:rPr>
      </w:pPr>
      <w:r w:rsidRPr="00320029">
        <w:rPr>
          <w:rFonts w:ascii="Arial" w:hAnsi="Arial" w:cs="Arial"/>
          <w:lang w:val="es-CR"/>
        </w:rPr>
        <w:t xml:space="preserve">La recepción de los expedientes consultados, fue conocida en diferentes sesiones del Consejo Institucional, y se acordó trasladarlos a algunas dependencias institucionales, para la emisión de su criterio sobre el tema. </w:t>
      </w:r>
    </w:p>
    <w:p w:rsidR="00320029" w:rsidRPr="00320029" w:rsidRDefault="00320029" w:rsidP="00320029">
      <w:pPr>
        <w:ind w:left="284" w:hanging="284"/>
        <w:jc w:val="both"/>
        <w:rPr>
          <w:rFonts w:ascii="Arial" w:hAnsi="Arial" w:cs="Arial"/>
          <w:lang w:val="es-CR"/>
        </w:rPr>
      </w:pPr>
    </w:p>
    <w:p w:rsidR="00320029" w:rsidRPr="00320029" w:rsidRDefault="00320029" w:rsidP="00320029">
      <w:pPr>
        <w:numPr>
          <w:ilvl w:val="0"/>
          <w:numId w:val="20"/>
        </w:numPr>
        <w:ind w:left="284" w:hanging="284"/>
        <w:jc w:val="both"/>
        <w:rPr>
          <w:rFonts w:ascii="Arial" w:hAnsi="Arial" w:cs="Arial"/>
          <w:lang w:val="es-CR"/>
        </w:rPr>
      </w:pPr>
      <w:r w:rsidRPr="00320029">
        <w:rPr>
          <w:rFonts w:ascii="Arial" w:hAnsi="Arial" w:cs="Arial"/>
          <w:lang w:val="es-CR"/>
        </w:rPr>
        <w:lastRenderedPageBreak/>
        <w:t xml:space="preserve">La Secretaría del Consejo Institucional recibió oficios, que contienen los criterios de algunas de las dependencias y funcionarios de la Institución, que fueron consultados. </w:t>
      </w:r>
    </w:p>
    <w:p w:rsidR="00320029" w:rsidRPr="00320029" w:rsidRDefault="00320029" w:rsidP="00320029">
      <w:pPr>
        <w:jc w:val="both"/>
        <w:rPr>
          <w:rFonts w:ascii="Arial" w:hAnsi="Arial" w:cs="Arial"/>
          <w:lang w:val="es-CR"/>
        </w:rPr>
      </w:pPr>
    </w:p>
    <w:p w:rsidR="00320029" w:rsidRPr="00320029" w:rsidRDefault="00320029" w:rsidP="00320029">
      <w:pPr>
        <w:jc w:val="both"/>
        <w:rPr>
          <w:rFonts w:ascii="Arial" w:hAnsi="Arial" w:cs="Arial"/>
          <w:b/>
        </w:rPr>
      </w:pPr>
      <w:r w:rsidRPr="00320029">
        <w:rPr>
          <w:rFonts w:ascii="Arial" w:hAnsi="Arial" w:cs="Arial"/>
          <w:b/>
        </w:rPr>
        <w:t>SE</w:t>
      </w:r>
      <w:r>
        <w:rPr>
          <w:rFonts w:ascii="Arial" w:hAnsi="Arial" w:cs="Arial"/>
          <w:b/>
        </w:rPr>
        <w:t xml:space="preserve"> ACUERDA</w:t>
      </w:r>
      <w:r w:rsidRPr="00320029">
        <w:rPr>
          <w:rFonts w:ascii="Arial" w:hAnsi="Arial" w:cs="Arial"/>
          <w:b/>
        </w:rPr>
        <w:t>:</w:t>
      </w:r>
    </w:p>
    <w:p w:rsidR="00320029" w:rsidRPr="00320029" w:rsidRDefault="00320029" w:rsidP="00320029">
      <w:pPr>
        <w:rPr>
          <w:lang w:val="es-CR"/>
        </w:rPr>
      </w:pPr>
    </w:p>
    <w:p w:rsidR="00320029" w:rsidRPr="00320029" w:rsidRDefault="00320029" w:rsidP="00320029">
      <w:pPr>
        <w:numPr>
          <w:ilvl w:val="0"/>
          <w:numId w:val="21"/>
        </w:numPr>
        <w:ind w:left="426" w:hanging="426"/>
        <w:jc w:val="both"/>
        <w:rPr>
          <w:rFonts w:ascii="Arial" w:eastAsia="Cambria" w:hAnsi="Arial" w:cs="Arial"/>
          <w:lang w:val="es-CR" w:eastAsia="en-US"/>
        </w:rPr>
      </w:pPr>
      <w:r w:rsidRPr="00320029">
        <w:rPr>
          <w:rFonts w:ascii="Arial" w:eastAsia="Cambria" w:hAnsi="Arial" w:cs="Arial"/>
          <w:lang w:val="es-CR" w:eastAsia="en-US"/>
        </w:rPr>
        <w:t>Comunicar a las dependencias de la Asamblea Legislativa correspondientes, los criterios y las observaciones que se detallan a continuación, para cada proyecto consultado:</w:t>
      </w:r>
    </w:p>
    <w:p w:rsidR="00320029" w:rsidRPr="00320029" w:rsidRDefault="00320029" w:rsidP="00320029">
      <w:pPr>
        <w:autoSpaceDE w:val="0"/>
        <w:autoSpaceDN w:val="0"/>
        <w:adjustRightInd w:val="0"/>
        <w:ind w:right="-91"/>
        <w:jc w:val="both"/>
        <w:rPr>
          <w:rFonts w:ascii="Arial" w:eastAsia="Cambria" w:hAnsi="Arial" w:cs="Arial"/>
          <w:lang w:val="es-CR" w:eastAsia="en-US"/>
        </w:rPr>
      </w:pPr>
    </w:p>
    <w:p w:rsidR="00320029" w:rsidRPr="00320029" w:rsidRDefault="00320029" w:rsidP="00320029">
      <w:pPr>
        <w:rPr>
          <w:rFonts w:ascii="Arial" w:eastAsia="Cambria" w:hAnsi="Arial" w:cs="Arial"/>
          <w:sz w:val="22"/>
          <w:szCs w:val="22"/>
          <w:u w:val="single"/>
          <w:lang w:val="es-CR" w:eastAsia="en-US"/>
        </w:rPr>
      </w:pPr>
      <w:r w:rsidRPr="00320029">
        <w:rPr>
          <w:rFonts w:ascii="Arial" w:eastAsia="Cambria" w:hAnsi="Arial" w:cs="Arial"/>
          <w:sz w:val="22"/>
          <w:szCs w:val="22"/>
          <w:u w:val="single"/>
          <w:lang w:val="es-CR" w:eastAsia="en-US"/>
        </w:rPr>
        <w:t xml:space="preserve">Comisión Permanente de Asuntos Jurídicos:  </w:t>
      </w:r>
    </w:p>
    <w:p w:rsidR="00320029" w:rsidRPr="00320029" w:rsidRDefault="00320029" w:rsidP="00320029">
      <w:pPr>
        <w:rPr>
          <w:rFonts w:ascii="Arial" w:eastAsia="Cambria" w:hAnsi="Arial" w:cs="Arial"/>
          <w:sz w:val="22"/>
          <w:szCs w:val="22"/>
          <w:u w:val="single"/>
          <w:lang w:val="es-CR" w:eastAsia="en-US"/>
        </w:rPr>
      </w:pPr>
    </w:p>
    <w:tbl>
      <w:tblPr>
        <w:tblStyle w:val="Tablaconcuadrcula101"/>
        <w:tblW w:w="9776" w:type="dxa"/>
        <w:tblLayout w:type="fixed"/>
        <w:tblLook w:val="04A0" w:firstRow="1" w:lastRow="0" w:firstColumn="1" w:lastColumn="0" w:noHBand="0" w:noVBand="1"/>
      </w:tblPr>
      <w:tblGrid>
        <w:gridCol w:w="1413"/>
        <w:gridCol w:w="2694"/>
        <w:gridCol w:w="1560"/>
        <w:gridCol w:w="4109"/>
      </w:tblGrid>
      <w:tr w:rsidR="00320029" w:rsidRPr="00320029" w:rsidTr="00C40834">
        <w:tc>
          <w:tcPr>
            <w:tcW w:w="1413" w:type="dxa"/>
            <w:tcBorders>
              <w:top w:val="single" w:sz="4" w:space="0" w:color="auto"/>
              <w:left w:val="single" w:sz="4" w:space="0" w:color="auto"/>
              <w:bottom w:val="single" w:sz="4" w:space="0" w:color="auto"/>
              <w:right w:val="single" w:sz="4" w:space="0" w:color="auto"/>
            </w:tcBorders>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No. Expediente</w:t>
            </w:r>
          </w:p>
        </w:tc>
        <w:tc>
          <w:tcPr>
            <w:tcW w:w="2694" w:type="dxa"/>
            <w:tcBorders>
              <w:top w:val="single" w:sz="4" w:space="0" w:color="auto"/>
              <w:left w:val="single" w:sz="4" w:space="0" w:color="auto"/>
              <w:bottom w:val="single" w:sz="4" w:space="0" w:color="auto"/>
              <w:right w:val="single" w:sz="4" w:space="0" w:color="auto"/>
            </w:tcBorders>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Nombre del Proyecto</w:t>
            </w:r>
          </w:p>
        </w:tc>
        <w:tc>
          <w:tcPr>
            <w:tcW w:w="1560" w:type="dxa"/>
            <w:tcBorders>
              <w:top w:val="single" w:sz="4" w:space="0" w:color="auto"/>
              <w:left w:val="single" w:sz="4" w:space="0" w:color="auto"/>
              <w:bottom w:val="single" w:sz="4" w:space="0" w:color="auto"/>
              <w:right w:val="single" w:sz="4" w:space="0" w:color="auto"/>
            </w:tcBorders>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Transgrede o no la Autonomía Universitaria</w:t>
            </w:r>
          </w:p>
        </w:tc>
        <w:tc>
          <w:tcPr>
            <w:tcW w:w="4109" w:type="dxa"/>
            <w:tcBorders>
              <w:top w:val="single" w:sz="4" w:space="0" w:color="auto"/>
              <w:left w:val="single" w:sz="4" w:space="0" w:color="auto"/>
              <w:bottom w:val="single" w:sz="4" w:space="0" w:color="auto"/>
              <w:right w:val="single" w:sz="4" w:space="0" w:color="auto"/>
            </w:tcBorders>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Observaciones de las diferentes entidades institucionales consultadas</w:t>
            </w:r>
          </w:p>
        </w:tc>
      </w:tr>
      <w:tr w:rsidR="00320029" w:rsidRPr="00320029" w:rsidTr="00C40834">
        <w:tc>
          <w:tcPr>
            <w:tcW w:w="1413" w:type="dxa"/>
            <w:tcBorders>
              <w:top w:val="single" w:sz="4" w:space="0" w:color="auto"/>
            </w:tcBorders>
          </w:tcPr>
          <w:p w:rsidR="00320029" w:rsidRPr="00320029" w:rsidRDefault="00320029" w:rsidP="00320029">
            <w:pPr>
              <w:autoSpaceDE w:val="0"/>
              <w:autoSpaceDN w:val="0"/>
              <w:adjustRightInd w:val="0"/>
              <w:ind w:right="-91"/>
              <w:jc w:val="center"/>
              <w:rPr>
                <w:rFonts w:ascii="Arial" w:eastAsia="Cambria" w:hAnsi="Arial" w:cs="Arial"/>
                <w:sz w:val="22"/>
                <w:szCs w:val="22"/>
                <w:lang w:eastAsia="en-US"/>
              </w:rPr>
            </w:pPr>
            <w:r w:rsidRPr="00320029">
              <w:rPr>
                <w:rFonts w:ascii="Arial" w:eastAsia="SimSun" w:hAnsi="Arial" w:cs="Arial"/>
                <w:b/>
                <w:iCs/>
                <w:sz w:val="22"/>
                <w:szCs w:val="20"/>
              </w:rPr>
              <w:t>20.649</w:t>
            </w:r>
          </w:p>
        </w:tc>
        <w:tc>
          <w:tcPr>
            <w:tcW w:w="2694" w:type="dxa"/>
            <w:tcBorders>
              <w:top w:val="single" w:sz="4" w:space="0" w:color="auto"/>
            </w:tcBorders>
          </w:tcPr>
          <w:p w:rsidR="00320029" w:rsidRPr="00320029" w:rsidRDefault="00320029" w:rsidP="00320029">
            <w:pPr>
              <w:jc w:val="both"/>
              <w:rPr>
                <w:rFonts w:ascii="Arial" w:eastAsia="Cambria" w:hAnsi="Arial" w:cs="Arial"/>
                <w:sz w:val="22"/>
                <w:szCs w:val="22"/>
                <w:lang w:eastAsia="en-US"/>
              </w:rPr>
            </w:pPr>
            <w:r w:rsidRPr="00320029">
              <w:rPr>
                <w:rFonts w:ascii="Arial" w:eastAsia="SimSun" w:hAnsi="Arial" w:cs="Arial"/>
                <w:iCs/>
                <w:sz w:val="22"/>
                <w:szCs w:val="20"/>
              </w:rPr>
              <w:t xml:space="preserve">Proyecto de Ley “Derogatoria de leyes de instituciones inactivas y reforma de los artículos 1 de la Ley de Creación de Centros Cívicos y Artículo 2 y 21 de la Ley de Fomento Salinero” </w:t>
            </w:r>
          </w:p>
        </w:tc>
        <w:tc>
          <w:tcPr>
            <w:tcW w:w="1560" w:type="dxa"/>
            <w:tcBorders>
              <w:top w:val="single" w:sz="4" w:space="0" w:color="auto"/>
            </w:tcBorders>
          </w:tcPr>
          <w:p w:rsidR="00320029" w:rsidRPr="00320029" w:rsidRDefault="00320029" w:rsidP="00320029">
            <w:pPr>
              <w:autoSpaceDE w:val="0"/>
              <w:autoSpaceDN w:val="0"/>
              <w:adjustRightInd w:val="0"/>
              <w:ind w:right="-91"/>
              <w:jc w:val="center"/>
              <w:rPr>
                <w:rFonts w:ascii="Arial" w:eastAsia="Cambria" w:hAnsi="Arial" w:cs="Arial"/>
                <w:sz w:val="22"/>
                <w:szCs w:val="22"/>
                <w:lang w:eastAsia="en-US"/>
              </w:rPr>
            </w:pPr>
            <w:r w:rsidRPr="00320029">
              <w:rPr>
                <w:rFonts w:ascii="Arial" w:eastAsia="Cambria" w:hAnsi="Arial" w:cs="Arial"/>
                <w:sz w:val="22"/>
                <w:szCs w:val="22"/>
                <w:lang w:eastAsia="en-US"/>
              </w:rPr>
              <w:t>No</w:t>
            </w:r>
          </w:p>
        </w:tc>
        <w:tc>
          <w:tcPr>
            <w:tcW w:w="4109" w:type="dxa"/>
            <w:tcBorders>
              <w:top w:val="single" w:sz="4" w:space="0" w:color="auto"/>
            </w:tcBorders>
          </w:tcPr>
          <w:p w:rsidR="00320029" w:rsidRPr="00320029" w:rsidRDefault="00320029" w:rsidP="00320029">
            <w:pPr>
              <w:jc w:val="both"/>
              <w:rPr>
                <w:rFonts w:ascii="Arial" w:hAnsi="Arial" w:cs="Arial"/>
                <w:b/>
                <w:sz w:val="22"/>
                <w:szCs w:val="22"/>
                <w:u w:val="single"/>
              </w:rPr>
            </w:pPr>
            <w:r w:rsidRPr="00320029">
              <w:rPr>
                <w:rFonts w:ascii="Arial" w:hAnsi="Arial" w:cs="Arial"/>
                <w:b/>
                <w:sz w:val="22"/>
                <w:szCs w:val="22"/>
                <w:u w:val="single"/>
              </w:rPr>
              <w:t>Oficina de Asesoría Legal</w:t>
            </w:r>
          </w:p>
          <w:p w:rsidR="00320029" w:rsidRPr="00320029" w:rsidRDefault="00320029" w:rsidP="00320029">
            <w:pPr>
              <w:jc w:val="both"/>
              <w:rPr>
                <w:rFonts w:ascii="Arial" w:hAnsi="Arial" w:cs="Arial"/>
                <w:i/>
                <w:sz w:val="22"/>
                <w:szCs w:val="22"/>
              </w:rPr>
            </w:pPr>
            <w:r w:rsidRPr="00320029">
              <w:rPr>
                <w:rFonts w:ascii="Arial" w:hAnsi="Arial" w:cs="Arial"/>
                <w:bCs/>
                <w:i/>
                <w:sz w:val="22"/>
                <w:szCs w:val="22"/>
              </w:rPr>
              <w:t>“Según se indica en la exposición de motivos dicho fondo era fiscalizado por la Contraloría General de la República y por la auditoría externa, no obstante, la CGR, “</w:t>
            </w:r>
            <w:r w:rsidRPr="00320029">
              <w:rPr>
                <w:rFonts w:ascii="Arial" w:hAnsi="Arial" w:cs="Arial"/>
                <w:i/>
                <w:sz w:val="22"/>
                <w:szCs w:val="22"/>
              </w:rPr>
              <w:t>no registra el cumplimiento de las normas para la administración financiera correcta y eficaz del Fondo</w:t>
            </w:r>
            <w:r w:rsidRPr="00320029">
              <w:rPr>
                <w:rFonts w:ascii="Arial" w:hAnsi="Arial" w:cs="Arial"/>
                <w:bCs/>
                <w:i/>
                <w:sz w:val="22"/>
                <w:szCs w:val="22"/>
              </w:rPr>
              <w:t xml:space="preserve"> en igual sentido se tiene que CONAPE desde el 2013</w:t>
            </w:r>
            <w:r w:rsidRPr="00320029">
              <w:rPr>
                <w:rFonts w:ascii="Arial" w:hAnsi="Arial" w:cs="Arial"/>
                <w:i/>
                <w:sz w:val="22"/>
                <w:szCs w:val="22"/>
              </w:rPr>
              <w:t xml:space="preserve"> realiza una donación de ¢5.000.000 (cinco millones de colones), donde se ha ejecutado aproximadamente el 50% en cada año.” Considerándose como una duplicidad de funciones pudiendo asumir CONAPE esta actividad y desburocratizar el sistema.”</w:t>
            </w:r>
          </w:p>
          <w:p w:rsidR="00320029" w:rsidRPr="00320029" w:rsidRDefault="00320029" w:rsidP="00320029">
            <w:pPr>
              <w:jc w:val="both"/>
              <w:rPr>
                <w:rFonts w:ascii="Arial" w:hAnsi="Arial" w:cs="Arial"/>
                <w:b/>
                <w:i/>
                <w:color w:val="000000"/>
                <w:sz w:val="22"/>
                <w:szCs w:val="22"/>
                <w:lang w:eastAsia="es-CR"/>
              </w:rPr>
            </w:pPr>
            <w:r w:rsidRPr="00320029">
              <w:rPr>
                <w:rFonts w:ascii="Arial" w:eastAsia="Calibri" w:hAnsi="Arial" w:cs="Arial"/>
                <w:i/>
                <w:sz w:val="22"/>
                <w:szCs w:val="22"/>
              </w:rPr>
              <w:t>En vista de lo anterior esta Asesoría considera que no existen elementos que amenacen la autonomía universitaria.”</w:t>
            </w:r>
          </w:p>
          <w:p w:rsidR="00320029" w:rsidRPr="00320029" w:rsidRDefault="00320029" w:rsidP="00320029">
            <w:pPr>
              <w:jc w:val="both"/>
              <w:rPr>
                <w:rFonts w:ascii="Arial" w:hAnsi="Arial" w:cs="Arial"/>
                <w:b/>
                <w:sz w:val="22"/>
                <w:szCs w:val="22"/>
                <w:u w:val="single"/>
              </w:rPr>
            </w:pPr>
            <w:r w:rsidRPr="00320029">
              <w:rPr>
                <w:rFonts w:ascii="Arial" w:hAnsi="Arial" w:cs="Arial"/>
                <w:b/>
                <w:sz w:val="22"/>
                <w:szCs w:val="22"/>
                <w:u w:val="single"/>
              </w:rPr>
              <w:t>Departamento de Vida Estudiantil y Servicios Académicos (DEVESA)</w:t>
            </w:r>
          </w:p>
          <w:p w:rsidR="00320029" w:rsidRPr="00320029" w:rsidRDefault="00320029" w:rsidP="00320029">
            <w:pPr>
              <w:jc w:val="both"/>
              <w:rPr>
                <w:rFonts w:ascii="Arial" w:eastAsia="Calibri" w:hAnsi="Arial" w:cs="Arial"/>
                <w:i/>
                <w:sz w:val="22"/>
                <w:szCs w:val="22"/>
              </w:rPr>
            </w:pPr>
            <w:r w:rsidRPr="00320029">
              <w:rPr>
                <w:rFonts w:ascii="Arial" w:eastAsia="Calibri" w:hAnsi="Arial" w:cs="Arial"/>
                <w:i/>
                <w:sz w:val="22"/>
                <w:szCs w:val="22"/>
              </w:rPr>
              <w:t>“Artículo 1. De la Ley de Creación de Centros Cívicos.</w:t>
            </w:r>
          </w:p>
          <w:p w:rsidR="00320029" w:rsidRPr="00320029" w:rsidRDefault="00320029" w:rsidP="00320029">
            <w:pPr>
              <w:jc w:val="both"/>
              <w:rPr>
                <w:rFonts w:ascii="Arial" w:eastAsia="Calibri" w:hAnsi="Arial" w:cs="Arial"/>
                <w:i/>
                <w:sz w:val="22"/>
                <w:szCs w:val="22"/>
              </w:rPr>
            </w:pPr>
            <w:r w:rsidRPr="00320029">
              <w:rPr>
                <w:rFonts w:ascii="Arial" w:eastAsia="Calibri" w:hAnsi="Arial" w:cs="Arial"/>
                <w:i/>
                <w:sz w:val="22"/>
                <w:szCs w:val="22"/>
              </w:rPr>
              <w:t xml:space="preserve">Fondo de Apoyo para </w:t>
            </w:r>
            <w:proofErr w:type="spellStart"/>
            <w:r w:rsidRPr="00320029">
              <w:rPr>
                <w:rFonts w:ascii="Arial" w:eastAsia="Calibri" w:hAnsi="Arial" w:cs="Arial"/>
                <w:i/>
                <w:sz w:val="22"/>
                <w:szCs w:val="22"/>
              </w:rPr>
              <w:t>Ia</w:t>
            </w:r>
            <w:proofErr w:type="spellEnd"/>
            <w:r w:rsidRPr="00320029">
              <w:rPr>
                <w:rFonts w:ascii="Arial" w:eastAsia="Calibri" w:hAnsi="Arial" w:cs="Arial"/>
                <w:i/>
                <w:sz w:val="22"/>
                <w:szCs w:val="22"/>
              </w:rPr>
              <w:t xml:space="preserve"> Educación Superior y Técnica del Puntarenense: Ley N°7667. </w:t>
            </w:r>
          </w:p>
          <w:p w:rsidR="00320029" w:rsidRPr="00320029" w:rsidRDefault="00320029" w:rsidP="00320029">
            <w:pPr>
              <w:jc w:val="both"/>
              <w:rPr>
                <w:rFonts w:ascii="Arial" w:eastAsia="Calibri" w:hAnsi="Arial" w:cs="Arial"/>
                <w:i/>
                <w:sz w:val="22"/>
                <w:szCs w:val="22"/>
              </w:rPr>
            </w:pPr>
            <w:r w:rsidRPr="00320029">
              <w:rPr>
                <w:rFonts w:ascii="Arial" w:eastAsia="Calibri" w:hAnsi="Arial" w:cs="Arial"/>
                <w:i/>
                <w:sz w:val="22"/>
                <w:szCs w:val="22"/>
              </w:rPr>
              <w:t>Al respecto consideramos apoyar que se asuma por parte de CONAPE la administración de dicho presupuesto:</w:t>
            </w:r>
          </w:p>
          <w:p w:rsidR="00320029" w:rsidRPr="00320029" w:rsidRDefault="00320029" w:rsidP="00320029">
            <w:pPr>
              <w:textAlignment w:val="baseline"/>
              <w:rPr>
                <w:rFonts w:ascii="Arial" w:eastAsia="Calibri" w:hAnsi="Arial" w:cs="Arial"/>
                <w:i/>
                <w:sz w:val="22"/>
                <w:szCs w:val="22"/>
              </w:rPr>
            </w:pPr>
            <w:r w:rsidRPr="00320029">
              <w:rPr>
                <w:rFonts w:ascii="Arial" w:eastAsia="Calibri" w:hAnsi="Arial" w:cs="Arial"/>
                <w:i/>
                <w:sz w:val="22"/>
                <w:szCs w:val="22"/>
              </w:rPr>
              <w:t xml:space="preserve">Siempre y cuando sea asignado a los grupos vulnerables de </w:t>
            </w:r>
            <w:proofErr w:type="spellStart"/>
            <w:r w:rsidRPr="00320029">
              <w:rPr>
                <w:rFonts w:ascii="Arial" w:eastAsia="Calibri" w:hAnsi="Arial" w:cs="Arial"/>
                <w:i/>
                <w:sz w:val="22"/>
                <w:szCs w:val="22"/>
              </w:rPr>
              <w:t>Ia</w:t>
            </w:r>
            <w:proofErr w:type="spellEnd"/>
            <w:r w:rsidRPr="00320029">
              <w:rPr>
                <w:rFonts w:ascii="Arial" w:eastAsia="Calibri" w:hAnsi="Arial" w:cs="Arial"/>
                <w:i/>
                <w:sz w:val="22"/>
                <w:szCs w:val="22"/>
              </w:rPr>
              <w:t xml:space="preserve"> Zona de Puntarenas según un estudio técnico, ya sea mediante </w:t>
            </w:r>
            <w:proofErr w:type="spellStart"/>
            <w:r w:rsidRPr="00320029">
              <w:rPr>
                <w:rFonts w:ascii="Arial" w:eastAsia="Calibri" w:hAnsi="Arial" w:cs="Arial"/>
                <w:i/>
                <w:sz w:val="22"/>
                <w:szCs w:val="22"/>
              </w:rPr>
              <w:t>Ia</w:t>
            </w:r>
            <w:proofErr w:type="spellEnd"/>
            <w:r w:rsidRPr="00320029">
              <w:rPr>
                <w:rFonts w:ascii="Arial" w:eastAsia="Calibri" w:hAnsi="Arial" w:cs="Arial"/>
                <w:i/>
                <w:sz w:val="22"/>
                <w:szCs w:val="22"/>
              </w:rPr>
              <w:t xml:space="preserve"> creación de una sucursal regional de CONAPE o una mejora de la plataforma electrónica </w:t>
            </w:r>
            <w:r w:rsidRPr="00320029">
              <w:rPr>
                <w:rFonts w:ascii="Arial" w:eastAsia="Calibri" w:hAnsi="Arial" w:cs="Arial"/>
                <w:i/>
                <w:sz w:val="22"/>
                <w:szCs w:val="22"/>
              </w:rPr>
              <w:lastRenderedPageBreak/>
              <w:t xml:space="preserve">accesible para informar a </w:t>
            </w:r>
            <w:proofErr w:type="spellStart"/>
            <w:r w:rsidRPr="00320029">
              <w:rPr>
                <w:rFonts w:ascii="Arial" w:eastAsia="Calibri" w:hAnsi="Arial" w:cs="Arial"/>
                <w:i/>
                <w:sz w:val="22"/>
                <w:szCs w:val="22"/>
              </w:rPr>
              <w:t>Ia</w:t>
            </w:r>
            <w:proofErr w:type="spellEnd"/>
            <w:r w:rsidRPr="00320029">
              <w:rPr>
                <w:rFonts w:ascii="Arial" w:eastAsia="Calibri" w:hAnsi="Arial" w:cs="Arial"/>
                <w:i/>
                <w:sz w:val="22"/>
                <w:szCs w:val="22"/>
              </w:rPr>
              <w:t xml:space="preserve"> población de las oportunidades.</w:t>
            </w:r>
          </w:p>
          <w:p w:rsidR="00320029" w:rsidRPr="00320029" w:rsidRDefault="00320029" w:rsidP="00320029">
            <w:pPr>
              <w:textAlignment w:val="baseline"/>
              <w:rPr>
                <w:rFonts w:ascii="Arial" w:hAnsi="Arial" w:cs="Arial"/>
                <w:b/>
                <w:i/>
                <w:color w:val="000000"/>
                <w:spacing w:val="1"/>
                <w:sz w:val="22"/>
                <w:szCs w:val="22"/>
              </w:rPr>
            </w:pPr>
            <w:r w:rsidRPr="00320029">
              <w:rPr>
                <w:rFonts w:ascii="Arial" w:hAnsi="Arial" w:cs="Arial"/>
                <w:b/>
                <w:i/>
                <w:color w:val="000000"/>
                <w:spacing w:val="1"/>
                <w:sz w:val="22"/>
                <w:szCs w:val="22"/>
                <w:lang w:val="es-CR"/>
              </w:rPr>
              <w:t>Casa de la Cultura de Puntarenas</w:t>
            </w:r>
          </w:p>
          <w:p w:rsidR="00320029" w:rsidRPr="00320029" w:rsidRDefault="00320029" w:rsidP="00320029">
            <w:pPr>
              <w:jc w:val="both"/>
              <w:textAlignment w:val="baseline"/>
              <w:rPr>
                <w:rFonts w:ascii="Arial" w:hAnsi="Arial" w:cs="Arial"/>
                <w:i/>
                <w:color w:val="000000"/>
                <w:sz w:val="22"/>
                <w:szCs w:val="22"/>
                <w:lang w:val="es-CR"/>
              </w:rPr>
            </w:pPr>
            <w:r w:rsidRPr="00320029">
              <w:rPr>
                <w:rFonts w:ascii="Arial" w:hAnsi="Arial" w:cs="Arial"/>
                <w:i/>
                <w:color w:val="000000"/>
                <w:sz w:val="22"/>
                <w:szCs w:val="22"/>
                <w:lang w:val="es-CR"/>
              </w:rPr>
              <w:t xml:space="preserve">En relación con el punto denominado Casa de </w:t>
            </w:r>
            <w:proofErr w:type="spellStart"/>
            <w:r w:rsidRPr="00320029">
              <w:rPr>
                <w:rFonts w:ascii="Arial" w:hAnsi="Arial" w:cs="Arial"/>
                <w:i/>
                <w:color w:val="000000"/>
                <w:sz w:val="22"/>
                <w:szCs w:val="22"/>
                <w:lang w:val="es-CR"/>
              </w:rPr>
              <w:t>Ia</w:t>
            </w:r>
            <w:proofErr w:type="spellEnd"/>
            <w:r w:rsidRPr="00320029">
              <w:rPr>
                <w:rFonts w:ascii="Arial" w:hAnsi="Arial" w:cs="Arial"/>
                <w:i/>
                <w:color w:val="000000"/>
                <w:sz w:val="22"/>
                <w:szCs w:val="22"/>
                <w:lang w:val="es-CR"/>
              </w:rPr>
              <w:t xml:space="preserve"> Cultura de Puntarenas, se acuerda respaldar el criterio de </w:t>
            </w:r>
            <w:proofErr w:type="spellStart"/>
            <w:r w:rsidRPr="00320029">
              <w:rPr>
                <w:rFonts w:ascii="Arial" w:hAnsi="Arial" w:cs="Arial"/>
                <w:i/>
                <w:color w:val="000000"/>
                <w:sz w:val="22"/>
                <w:szCs w:val="22"/>
                <w:lang w:val="es-CR"/>
              </w:rPr>
              <w:t>Ia</w:t>
            </w:r>
            <w:proofErr w:type="spellEnd"/>
            <w:r w:rsidRPr="00320029">
              <w:rPr>
                <w:rFonts w:ascii="Arial" w:hAnsi="Arial" w:cs="Arial"/>
                <w:i/>
                <w:color w:val="000000"/>
                <w:sz w:val="22"/>
                <w:szCs w:val="22"/>
                <w:lang w:val="es-CR"/>
              </w:rPr>
              <w:t xml:space="preserve"> Procuraduría General de la República, eliminándole </w:t>
            </w:r>
            <w:proofErr w:type="spellStart"/>
            <w:r w:rsidRPr="00320029">
              <w:rPr>
                <w:rFonts w:ascii="Arial" w:hAnsi="Arial" w:cs="Arial"/>
                <w:i/>
                <w:color w:val="000000"/>
                <w:sz w:val="22"/>
                <w:szCs w:val="22"/>
                <w:lang w:val="es-CR"/>
              </w:rPr>
              <w:t>Ia</w:t>
            </w:r>
            <w:proofErr w:type="spellEnd"/>
            <w:r w:rsidRPr="00320029">
              <w:rPr>
                <w:rFonts w:ascii="Arial" w:hAnsi="Arial" w:cs="Arial"/>
                <w:i/>
                <w:color w:val="000000"/>
                <w:sz w:val="22"/>
                <w:szCs w:val="22"/>
                <w:lang w:val="es-CR"/>
              </w:rPr>
              <w:t xml:space="preserve"> personería jurídica a la casa de </w:t>
            </w:r>
            <w:proofErr w:type="spellStart"/>
            <w:r w:rsidRPr="00320029">
              <w:rPr>
                <w:rFonts w:ascii="Arial" w:hAnsi="Arial" w:cs="Arial"/>
                <w:i/>
                <w:color w:val="000000"/>
                <w:sz w:val="22"/>
                <w:szCs w:val="22"/>
                <w:lang w:val="es-CR"/>
              </w:rPr>
              <w:t>Ia</w:t>
            </w:r>
            <w:proofErr w:type="spellEnd"/>
            <w:r w:rsidRPr="00320029">
              <w:rPr>
                <w:rFonts w:ascii="Arial" w:hAnsi="Arial" w:cs="Arial"/>
                <w:i/>
                <w:color w:val="000000"/>
                <w:sz w:val="22"/>
                <w:szCs w:val="22"/>
                <w:lang w:val="es-CR"/>
              </w:rPr>
              <w:t xml:space="preserve"> Cultura de Puntarenas, y así quedará equiparada a las otras dos casas de </w:t>
            </w:r>
            <w:proofErr w:type="spellStart"/>
            <w:r w:rsidRPr="00320029">
              <w:rPr>
                <w:rFonts w:ascii="Arial" w:hAnsi="Arial" w:cs="Arial"/>
                <w:i/>
                <w:color w:val="000000"/>
                <w:sz w:val="22"/>
                <w:szCs w:val="22"/>
                <w:lang w:val="es-CR"/>
              </w:rPr>
              <w:t>Ia</w:t>
            </w:r>
            <w:proofErr w:type="spellEnd"/>
            <w:r w:rsidRPr="00320029">
              <w:rPr>
                <w:rFonts w:ascii="Arial" w:hAnsi="Arial" w:cs="Arial"/>
                <w:i/>
                <w:color w:val="000000"/>
                <w:sz w:val="22"/>
                <w:szCs w:val="22"/>
                <w:lang w:val="es-CR"/>
              </w:rPr>
              <w:t xml:space="preserve"> Cultura que son parte funcional de </w:t>
            </w:r>
            <w:proofErr w:type="spellStart"/>
            <w:r w:rsidRPr="00320029">
              <w:rPr>
                <w:rFonts w:ascii="Arial" w:hAnsi="Arial" w:cs="Arial"/>
                <w:i/>
                <w:color w:val="000000"/>
                <w:sz w:val="22"/>
                <w:szCs w:val="22"/>
                <w:lang w:val="es-CR"/>
              </w:rPr>
              <w:t>Ia</w:t>
            </w:r>
            <w:proofErr w:type="spellEnd"/>
            <w:r w:rsidRPr="00320029">
              <w:rPr>
                <w:rFonts w:ascii="Arial" w:hAnsi="Arial" w:cs="Arial"/>
                <w:i/>
                <w:color w:val="000000"/>
                <w:sz w:val="22"/>
                <w:szCs w:val="22"/>
                <w:lang w:val="es-CR"/>
              </w:rPr>
              <w:t xml:space="preserve"> Dirección de Cultura del Ministerio de Cultura y Juventud.</w:t>
            </w:r>
          </w:p>
          <w:p w:rsidR="00320029" w:rsidRPr="00320029" w:rsidRDefault="00320029" w:rsidP="00320029">
            <w:pPr>
              <w:textAlignment w:val="baseline"/>
              <w:rPr>
                <w:rFonts w:ascii="Arial" w:hAnsi="Arial" w:cs="Arial"/>
                <w:b/>
                <w:i/>
                <w:color w:val="000000"/>
                <w:spacing w:val="1"/>
                <w:sz w:val="22"/>
                <w:szCs w:val="22"/>
              </w:rPr>
            </w:pPr>
            <w:r w:rsidRPr="00320029">
              <w:rPr>
                <w:rFonts w:ascii="Arial" w:hAnsi="Arial" w:cs="Arial"/>
                <w:b/>
                <w:i/>
                <w:color w:val="000000"/>
                <w:spacing w:val="1"/>
                <w:sz w:val="22"/>
                <w:szCs w:val="22"/>
                <w:lang w:val="es-CR"/>
              </w:rPr>
              <w:t>Junta Administrativa de los Centros Cívicos</w:t>
            </w:r>
          </w:p>
          <w:p w:rsidR="00320029" w:rsidRPr="00320029" w:rsidRDefault="00320029" w:rsidP="00320029">
            <w:pPr>
              <w:jc w:val="both"/>
              <w:textAlignment w:val="baseline"/>
              <w:rPr>
                <w:rFonts w:ascii="Arial" w:hAnsi="Arial" w:cs="Arial"/>
                <w:i/>
                <w:color w:val="000000"/>
                <w:sz w:val="22"/>
                <w:szCs w:val="22"/>
              </w:rPr>
            </w:pPr>
            <w:r w:rsidRPr="00320029">
              <w:rPr>
                <w:rFonts w:ascii="Arial" w:hAnsi="Arial" w:cs="Arial"/>
                <w:i/>
                <w:color w:val="000000"/>
                <w:sz w:val="22"/>
                <w:szCs w:val="22"/>
                <w:lang w:val="es-CR"/>
              </w:rPr>
              <w:t xml:space="preserve">¡Con respecto a </w:t>
            </w:r>
            <w:proofErr w:type="spellStart"/>
            <w:r w:rsidRPr="00320029">
              <w:rPr>
                <w:rFonts w:ascii="Arial" w:hAnsi="Arial" w:cs="Arial"/>
                <w:i/>
                <w:color w:val="000000"/>
                <w:sz w:val="22"/>
                <w:szCs w:val="22"/>
                <w:lang w:val="es-CR"/>
              </w:rPr>
              <w:t>Ia</w:t>
            </w:r>
            <w:proofErr w:type="spellEnd"/>
            <w:r w:rsidRPr="00320029">
              <w:rPr>
                <w:rFonts w:ascii="Arial" w:hAnsi="Arial" w:cs="Arial"/>
                <w:i/>
                <w:color w:val="000000"/>
                <w:sz w:val="22"/>
                <w:szCs w:val="22"/>
                <w:lang w:val="es-CR"/>
              </w:rPr>
              <w:t xml:space="preserve"> supresión de </w:t>
            </w:r>
            <w:proofErr w:type="spellStart"/>
            <w:r w:rsidRPr="00320029">
              <w:rPr>
                <w:rFonts w:ascii="Arial" w:hAnsi="Arial" w:cs="Arial"/>
                <w:i/>
                <w:color w:val="000000"/>
                <w:sz w:val="22"/>
                <w:szCs w:val="22"/>
                <w:lang w:val="es-CR"/>
              </w:rPr>
              <w:t>Ia</w:t>
            </w:r>
            <w:proofErr w:type="spellEnd"/>
            <w:r w:rsidRPr="00320029">
              <w:rPr>
                <w:rFonts w:ascii="Arial" w:hAnsi="Arial" w:cs="Arial"/>
                <w:i/>
                <w:color w:val="000000"/>
                <w:sz w:val="22"/>
                <w:szCs w:val="22"/>
                <w:lang w:val="es-CR"/>
              </w:rPr>
              <w:t xml:space="preserve"> Junta Administrativa de los Centros Cívicos, y con base en el oficio enviado a MIDEPLAN MEJP-646-08-20 17 por parte del Ministerio de Justicia y Paz, donde señala que no presentaría ninguna oposición al respecto, considerando que </w:t>
            </w:r>
            <w:proofErr w:type="spellStart"/>
            <w:r w:rsidRPr="00320029">
              <w:rPr>
                <w:rFonts w:ascii="Arial" w:hAnsi="Arial" w:cs="Arial"/>
                <w:i/>
                <w:color w:val="000000"/>
                <w:sz w:val="22"/>
                <w:szCs w:val="22"/>
                <w:lang w:val="es-CR"/>
              </w:rPr>
              <w:t>Ia</w:t>
            </w:r>
            <w:proofErr w:type="spellEnd"/>
            <w:r w:rsidRPr="00320029">
              <w:rPr>
                <w:rFonts w:ascii="Arial" w:hAnsi="Arial" w:cs="Arial"/>
                <w:i/>
                <w:color w:val="000000"/>
                <w:sz w:val="22"/>
                <w:szCs w:val="22"/>
                <w:lang w:val="es-CR"/>
              </w:rPr>
              <w:t xml:space="preserve"> Junta contravienen el modelo que actualmente se gestiona, y que se ha detectado que las Juntas Administrativas de los Centros Cívicos están inactivas, coincidimos en dar apoyo a esta propuesta.”</w:t>
            </w:r>
          </w:p>
          <w:p w:rsidR="00320029" w:rsidRPr="00320029" w:rsidRDefault="00320029" w:rsidP="00320029">
            <w:pPr>
              <w:jc w:val="both"/>
              <w:rPr>
                <w:rFonts w:ascii="Arial" w:hAnsi="Arial" w:cs="Arial"/>
                <w:sz w:val="22"/>
                <w:szCs w:val="22"/>
                <w:lang w:val="es-CR"/>
              </w:rPr>
            </w:pPr>
          </w:p>
          <w:p w:rsidR="00320029" w:rsidRPr="00320029" w:rsidRDefault="00320029" w:rsidP="00320029">
            <w:pPr>
              <w:jc w:val="both"/>
              <w:rPr>
                <w:rFonts w:ascii="Arial" w:hAnsi="Arial" w:cs="Arial"/>
                <w:b/>
                <w:sz w:val="22"/>
                <w:szCs w:val="22"/>
                <w:u w:val="single"/>
              </w:rPr>
            </w:pPr>
            <w:r w:rsidRPr="00320029">
              <w:rPr>
                <w:rFonts w:ascii="Arial" w:hAnsi="Arial" w:cs="Arial"/>
                <w:b/>
                <w:sz w:val="22"/>
                <w:szCs w:val="22"/>
                <w:u w:val="single"/>
              </w:rPr>
              <w:t>Escuela de Cultura y Deporte</w:t>
            </w:r>
          </w:p>
          <w:p w:rsidR="00320029" w:rsidRPr="00320029" w:rsidRDefault="00320029" w:rsidP="00320029">
            <w:pPr>
              <w:shd w:val="clear" w:color="auto" w:fill="FFFFFF"/>
              <w:jc w:val="both"/>
              <w:rPr>
                <w:rFonts w:ascii="Arial" w:hAnsi="Arial" w:cs="Arial"/>
                <w:i/>
                <w:color w:val="000000"/>
                <w:sz w:val="22"/>
                <w:szCs w:val="22"/>
                <w:lang w:val="es-ES_tradnl"/>
              </w:rPr>
            </w:pPr>
            <w:r w:rsidRPr="00320029">
              <w:rPr>
                <w:rFonts w:ascii="Arial" w:hAnsi="Arial" w:cs="Arial"/>
                <w:i/>
                <w:color w:val="000000"/>
                <w:sz w:val="22"/>
                <w:szCs w:val="22"/>
                <w:lang w:val="es-ES_tradnl"/>
              </w:rPr>
              <w:t>“Artículo 1- Finalidad</w:t>
            </w:r>
          </w:p>
          <w:p w:rsidR="00320029" w:rsidRPr="00320029" w:rsidRDefault="00320029" w:rsidP="00320029">
            <w:pPr>
              <w:shd w:val="clear" w:color="auto" w:fill="FFFFFF"/>
              <w:jc w:val="both"/>
              <w:rPr>
                <w:rFonts w:ascii="Arial" w:hAnsi="Arial" w:cs="Arial"/>
                <w:i/>
                <w:color w:val="000000"/>
                <w:sz w:val="22"/>
                <w:szCs w:val="22"/>
                <w:lang w:val="es-ES_tradnl"/>
              </w:rPr>
            </w:pPr>
            <w:r w:rsidRPr="00320029">
              <w:rPr>
                <w:rFonts w:ascii="Arial" w:hAnsi="Arial" w:cs="Arial"/>
                <w:i/>
                <w:color w:val="000000"/>
                <w:sz w:val="22"/>
                <w:szCs w:val="22"/>
                <w:lang w:val="es-ES_tradnl"/>
              </w:rPr>
              <w:t>El Estado podrá construir centros cívicos en las principales ciudades del país, con el propósito de centralizar los servicios brindados por las instituciones públicas. Contarán con instalaciones para dependencias de los Ministerios de Justicia y Paz, Seguridad Pública, Gobernación y Policía, Obras Públicas y Transportes y de cualquier otro ministerio o institución pública.</w:t>
            </w:r>
          </w:p>
          <w:p w:rsidR="00320029" w:rsidRPr="00320029" w:rsidRDefault="00320029" w:rsidP="00320029">
            <w:pPr>
              <w:shd w:val="clear" w:color="auto" w:fill="FFFFFF"/>
              <w:jc w:val="both"/>
              <w:rPr>
                <w:rFonts w:ascii="Arial" w:hAnsi="Arial" w:cs="Arial"/>
                <w:i/>
                <w:color w:val="000000"/>
                <w:sz w:val="22"/>
                <w:szCs w:val="22"/>
                <w:lang w:val="es-ES_tradnl"/>
              </w:rPr>
            </w:pPr>
            <w:r w:rsidRPr="00320029">
              <w:rPr>
                <w:rFonts w:ascii="Arial" w:hAnsi="Arial" w:cs="Arial"/>
                <w:i/>
                <w:color w:val="000000"/>
                <w:sz w:val="22"/>
                <w:szCs w:val="22"/>
                <w:lang w:val="es-ES_tradnl"/>
              </w:rPr>
              <w:t xml:space="preserve">OBSERVACIÓN </w:t>
            </w:r>
          </w:p>
          <w:p w:rsidR="00320029" w:rsidRPr="00320029" w:rsidRDefault="00320029" w:rsidP="00320029">
            <w:pPr>
              <w:shd w:val="clear" w:color="auto" w:fill="FFFFFF"/>
              <w:jc w:val="both"/>
              <w:rPr>
                <w:rFonts w:ascii="Arial" w:hAnsi="Arial" w:cs="Arial"/>
                <w:i/>
                <w:color w:val="000000"/>
                <w:sz w:val="22"/>
                <w:szCs w:val="22"/>
                <w:lang w:val="es-ES_tradnl"/>
              </w:rPr>
            </w:pPr>
            <w:r w:rsidRPr="00320029">
              <w:rPr>
                <w:rFonts w:ascii="Arial" w:hAnsi="Arial" w:cs="Arial"/>
                <w:i/>
                <w:color w:val="000000"/>
                <w:sz w:val="22"/>
                <w:szCs w:val="22"/>
                <w:lang w:val="es-ES_tradnl"/>
              </w:rPr>
              <w:t>Los Centros Cívicos pueden constituir un instrumento del que disponen los ciudadanos para participar en la comunidad, tanto desde las discusiones de propuestas de desarrollo comunal, fomento de las relaciones sociales y hasta de actividades que cubren las</w:t>
            </w:r>
            <w:r w:rsidRPr="00320029">
              <w:rPr>
                <w:color w:val="000000"/>
                <w:lang w:val="es-ES_tradnl"/>
              </w:rPr>
              <w:t xml:space="preserve"> </w:t>
            </w:r>
            <w:r w:rsidRPr="00320029">
              <w:rPr>
                <w:rFonts w:ascii="Arial" w:hAnsi="Arial" w:cs="Arial"/>
                <w:i/>
                <w:color w:val="000000"/>
                <w:sz w:val="22"/>
                <w:szCs w:val="22"/>
                <w:lang w:val="es-ES_tradnl"/>
              </w:rPr>
              <w:t>necesidades en los ámbitos de la</w:t>
            </w:r>
            <w:r w:rsidRPr="00320029">
              <w:rPr>
                <w:color w:val="000000"/>
                <w:lang w:val="es-ES_tradnl"/>
              </w:rPr>
              <w:t xml:space="preserve"> </w:t>
            </w:r>
            <w:r w:rsidRPr="00320029">
              <w:rPr>
                <w:rFonts w:ascii="Arial" w:hAnsi="Arial" w:cs="Arial"/>
                <w:i/>
                <w:color w:val="000000"/>
                <w:sz w:val="22"/>
                <w:szCs w:val="22"/>
                <w:lang w:val="es-ES_tradnl"/>
              </w:rPr>
              <w:t xml:space="preserve">información y, el ocio lúdico, artístico y deportivo. </w:t>
            </w:r>
          </w:p>
          <w:p w:rsidR="00320029" w:rsidRPr="00320029" w:rsidRDefault="00320029" w:rsidP="00320029">
            <w:pPr>
              <w:shd w:val="clear" w:color="auto" w:fill="FFFFFF"/>
              <w:jc w:val="both"/>
              <w:rPr>
                <w:rFonts w:ascii="Arial" w:hAnsi="Arial" w:cs="Arial"/>
                <w:i/>
                <w:color w:val="000000"/>
                <w:sz w:val="22"/>
                <w:szCs w:val="22"/>
                <w:lang w:val="es-ES_tradnl"/>
              </w:rPr>
            </w:pPr>
            <w:r w:rsidRPr="00320029">
              <w:rPr>
                <w:rFonts w:ascii="Arial" w:hAnsi="Arial" w:cs="Arial"/>
                <w:i/>
                <w:color w:val="000000"/>
                <w:sz w:val="22"/>
                <w:szCs w:val="22"/>
                <w:lang w:val="es-ES_tradnl"/>
              </w:rPr>
              <w:t xml:space="preserve">De esta última finalidad en cuanto a sus ámbitos de acción se encuentran </w:t>
            </w:r>
            <w:r w:rsidRPr="00320029">
              <w:rPr>
                <w:rFonts w:ascii="Arial" w:hAnsi="Arial" w:cs="Arial"/>
                <w:i/>
                <w:color w:val="000000"/>
                <w:sz w:val="22"/>
                <w:szCs w:val="22"/>
                <w:lang w:val="es-ES_tradnl"/>
              </w:rPr>
              <w:lastRenderedPageBreak/>
              <w:t>actividades socioculturales, artísticas, comunitarias y de encuentros ciudadanos, donde pueden participar en rol de protagonistas o público, por lo anterior es que debiera especificarse al Ministerio de Cultura y Juventud como ente con oficina de manera obligatoria para promover estos roles.</w:t>
            </w:r>
          </w:p>
          <w:p w:rsidR="00320029" w:rsidRPr="00320029" w:rsidRDefault="00320029" w:rsidP="00320029">
            <w:pPr>
              <w:shd w:val="clear" w:color="auto" w:fill="FFFFFF"/>
              <w:jc w:val="both"/>
              <w:rPr>
                <w:rFonts w:ascii="Arial" w:hAnsi="Arial" w:cs="Arial"/>
                <w:i/>
                <w:color w:val="000000"/>
                <w:sz w:val="22"/>
                <w:szCs w:val="22"/>
                <w:lang w:val="es-ES_tradnl"/>
              </w:rPr>
            </w:pPr>
            <w:r w:rsidRPr="00320029">
              <w:rPr>
                <w:rFonts w:ascii="Arial" w:hAnsi="Arial" w:cs="Arial"/>
                <w:i/>
                <w:color w:val="000000"/>
                <w:sz w:val="22"/>
                <w:szCs w:val="22"/>
                <w:lang w:val="es-ES_tradnl"/>
              </w:rPr>
              <w:t>Artículo 5- Comité de copropietarios</w:t>
            </w:r>
          </w:p>
          <w:p w:rsidR="00320029" w:rsidRPr="00320029" w:rsidRDefault="00320029" w:rsidP="00320029">
            <w:pPr>
              <w:shd w:val="clear" w:color="auto" w:fill="FFFFFF"/>
              <w:jc w:val="both"/>
              <w:rPr>
                <w:rFonts w:ascii="Arial" w:hAnsi="Arial" w:cs="Arial"/>
                <w:i/>
                <w:color w:val="000000"/>
                <w:sz w:val="22"/>
                <w:szCs w:val="22"/>
                <w:lang w:val="es-ES_tradnl"/>
              </w:rPr>
            </w:pPr>
            <w:r w:rsidRPr="00320029">
              <w:rPr>
                <w:rFonts w:ascii="Arial" w:hAnsi="Arial" w:cs="Arial"/>
                <w:i/>
                <w:color w:val="000000"/>
                <w:sz w:val="22"/>
                <w:szCs w:val="22"/>
                <w:lang w:val="es-ES_tradnl"/>
              </w:rPr>
              <w:t>En cada centro cívico, el Ministerio de Justicia y Paz tendrá un comité de copropietarios, cuyas funciones serán de asesoramiento no vinculante.</w:t>
            </w:r>
          </w:p>
          <w:p w:rsidR="00320029" w:rsidRPr="00320029" w:rsidRDefault="00320029" w:rsidP="00320029">
            <w:pPr>
              <w:shd w:val="clear" w:color="auto" w:fill="FFFFFF"/>
              <w:jc w:val="both"/>
              <w:rPr>
                <w:rFonts w:ascii="Arial" w:hAnsi="Arial" w:cs="Arial"/>
                <w:i/>
                <w:color w:val="000000"/>
                <w:sz w:val="22"/>
                <w:szCs w:val="22"/>
                <w:lang w:val="es-ES_tradnl"/>
              </w:rPr>
            </w:pPr>
            <w:r w:rsidRPr="00320029">
              <w:rPr>
                <w:rFonts w:ascii="Arial" w:hAnsi="Arial" w:cs="Arial"/>
                <w:i/>
                <w:color w:val="000000"/>
                <w:sz w:val="22"/>
                <w:szCs w:val="22"/>
                <w:lang w:val="es-ES_tradnl"/>
              </w:rPr>
              <w:t>OBSERVACIÓN</w:t>
            </w:r>
          </w:p>
          <w:p w:rsidR="00320029" w:rsidRPr="00320029" w:rsidRDefault="00320029" w:rsidP="00320029">
            <w:pPr>
              <w:shd w:val="clear" w:color="auto" w:fill="FFFFFF"/>
              <w:jc w:val="both"/>
              <w:rPr>
                <w:rFonts w:ascii="Arial" w:hAnsi="Arial" w:cs="Arial"/>
                <w:i/>
                <w:color w:val="000000"/>
                <w:sz w:val="22"/>
                <w:szCs w:val="22"/>
                <w:lang w:val="es-ES_tradnl"/>
              </w:rPr>
            </w:pPr>
            <w:r w:rsidRPr="00320029">
              <w:rPr>
                <w:rFonts w:ascii="Arial" w:hAnsi="Arial" w:cs="Arial"/>
                <w:i/>
                <w:color w:val="000000"/>
                <w:sz w:val="22"/>
                <w:szCs w:val="22"/>
                <w:lang w:val="es-ES_tradnl"/>
              </w:rPr>
              <w:t>Requisitos para formar parte de este comité de copropietarios como preferible la trayectoria en dirección y/o coordinación de actividades comunitarias o socioculturales.</w:t>
            </w:r>
          </w:p>
          <w:p w:rsidR="00320029" w:rsidRPr="00320029" w:rsidRDefault="00320029" w:rsidP="00320029">
            <w:pPr>
              <w:shd w:val="clear" w:color="auto" w:fill="FFFFFF"/>
              <w:jc w:val="both"/>
              <w:rPr>
                <w:rFonts w:ascii="Arial" w:hAnsi="Arial" w:cs="Arial"/>
                <w:i/>
                <w:color w:val="000000"/>
                <w:sz w:val="22"/>
                <w:szCs w:val="22"/>
                <w:lang w:val="es-ES_tradnl"/>
              </w:rPr>
            </w:pPr>
            <w:r w:rsidRPr="00320029">
              <w:rPr>
                <w:rFonts w:ascii="Arial" w:hAnsi="Arial" w:cs="Arial"/>
                <w:i/>
                <w:color w:val="000000"/>
                <w:sz w:val="22"/>
                <w:szCs w:val="22"/>
                <w:lang w:val="es-ES_tradnl"/>
              </w:rPr>
              <w:t>Se apoya el proyecto por su trascendencia en el desarrollo social, cultural, político y recreativo de nuestras ciudades de forma integradora y con múltiples actores.”</w:t>
            </w:r>
          </w:p>
        </w:tc>
      </w:tr>
      <w:tr w:rsidR="00320029" w:rsidRPr="00320029" w:rsidTr="00C40834">
        <w:tc>
          <w:tcPr>
            <w:tcW w:w="1413" w:type="dxa"/>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SimSun" w:hAnsi="Arial" w:cs="Arial"/>
                <w:b/>
                <w:iCs/>
                <w:sz w:val="22"/>
                <w:szCs w:val="20"/>
              </w:rPr>
              <w:lastRenderedPageBreak/>
              <w:t>20.316</w:t>
            </w:r>
          </w:p>
        </w:tc>
        <w:tc>
          <w:tcPr>
            <w:tcW w:w="2694" w:type="dxa"/>
          </w:tcPr>
          <w:p w:rsidR="00320029" w:rsidRPr="00320029" w:rsidRDefault="00320029" w:rsidP="00320029">
            <w:pPr>
              <w:jc w:val="both"/>
              <w:rPr>
                <w:rFonts w:ascii="Arial" w:eastAsia="Cambria" w:hAnsi="Arial" w:cs="Arial"/>
                <w:sz w:val="22"/>
                <w:szCs w:val="22"/>
                <w:lang w:eastAsia="en-US"/>
              </w:rPr>
            </w:pPr>
            <w:r w:rsidRPr="00320029">
              <w:rPr>
                <w:rFonts w:ascii="Arial" w:eastAsia="SimSun" w:hAnsi="Arial" w:cs="Arial"/>
                <w:iCs/>
                <w:sz w:val="22"/>
                <w:szCs w:val="20"/>
              </w:rPr>
              <w:t>Proyecto de Ley “Adición de un Artículo 18 Bis y Reforma del Artículo 37 de la Ley de Planificación Urbana No. 4240, de 15 de noviembre de 1968, y sus Reformas, Ley para sancionar las Violaciones a los Planes Reguladores”</w:t>
            </w:r>
          </w:p>
        </w:tc>
        <w:tc>
          <w:tcPr>
            <w:tcW w:w="1560" w:type="dxa"/>
          </w:tcPr>
          <w:p w:rsidR="00320029" w:rsidRPr="00320029" w:rsidRDefault="00320029" w:rsidP="00320029">
            <w:pPr>
              <w:autoSpaceDE w:val="0"/>
              <w:autoSpaceDN w:val="0"/>
              <w:adjustRightInd w:val="0"/>
              <w:ind w:right="-91"/>
              <w:jc w:val="center"/>
              <w:rPr>
                <w:rFonts w:ascii="Arial" w:eastAsia="Cambria" w:hAnsi="Arial" w:cs="Arial"/>
                <w:sz w:val="22"/>
                <w:szCs w:val="22"/>
                <w:lang w:eastAsia="en-US"/>
              </w:rPr>
            </w:pPr>
            <w:r w:rsidRPr="00320029">
              <w:rPr>
                <w:rFonts w:ascii="Arial" w:eastAsia="Cambria" w:hAnsi="Arial" w:cs="Arial"/>
                <w:sz w:val="22"/>
                <w:szCs w:val="22"/>
                <w:lang w:eastAsia="en-US"/>
              </w:rPr>
              <w:t>No</w:t>
            </w:r>
          </w:p>
        </w:tc>
        <w:tc>
          <w:tcPr>
            <w:tcW w:w="4109" w:type="dxa"/>
          </w:tcPr>
          <w:p w:rsidR="00320029" w:rsidRPr="00320029" w:rsidRDefault="00320029" w:rsidP="00320029">
            <w:pPr>
              <w:jc w:val="both"/>
              <w:rPr>
                <w:rFonts w:ascii="Arial" w:hAnsi="Arial" w:cs="Arial"/>
                <w:b/>
                <w:sz w:val="22"/>
                <w:szCs w:val="22"/>
                <w:u w:val="single"/>
              </w:rPr>
            </w:pPr>
            <w:r w:rsidRPr="00320029">
              <w:rPr>
                <w:rFonts w:ascii="Arial" w:hAnsi="Arial" w:cs="Arial"/>
                <w:b/>
                <w:sz w:val="22"/>
                <w:szCs w:val="22"/>
                <w:u w:val="single"/>
              </w:rPr>
              <w:t>Oficina de Asesoría Legal</w:t>
            </w:r>
          </w:p>
          <w:p w:rsidR="00320029" w:rsidRPr="00320029" w:rsidRDefault="00320029" w:rsidP="00320029">
            <w:pPr>
              <w:contextualSpacing/>
              <w:jc w:val="both"/>
              <w:rPr>
                <w:rFonts w:ascii="Arial" w:eastAsia="MS Mincho" w:hAnsi="Arial" w:cs="Arial"/>
                <w:i/>
                <w:sz w:val="22"/>
                <w:szCs w:val="22"/>
              </w:rPr>
            </w:pPr>
            <w:r w:rsidRPr="00320029">
              <w:rPr>
                <w:rFonts w:ascii="Arial" w:eastAsia="MS Mincho" w:hAnsi="Arial" w:cs="Arial"/>
                <w:i/>
                <w:sz w:val="22"/>
                <w:szCs w:val="22"/>
              </w:rPr>
              <w:t xml:space="preserve">“La presente iniciativa pretende establecer sanciones relacionadas con otorgamientos de certificados de uso o permisos de construcción, contrarios al plan regulador.  Estas sanciones son de aplicación a los funcionarios de los gobiernos locales. </w:t>
            </w:r>
          </w:p>
          <w:p w:rsidR="00320029" w:rsidRPr="00320029" w:rsidRDefault="00320029" w:rsidP="00320029">
            <w:pPr>
              <w:contextualSpacing/>
              <w:jc w:val="both"/>
              <w:rPr>
                <w:rFonts w:ascii="Arial" w:eastAsia="MS Mincho" w:hAnsi="Arial" w:cs="Arial"/>
                <w:i/>
                <w:color w:val="4F81BD"/>
                <w:sz w:val="22"/>
                <w:szCs w:val="22"/>
              </w:rPr>
            </w:pPr>
            <w:r w:rsidRPr="00320029">
              <w:rPr>
                <w:rFonts w:ascii="Arial" w:eastAsia="MS Mincho" w:hAnsi="Arial" w:cs="Arial"/>
                <w:i/>
                <w:sz w:val="22"/>
                <w:szCs w:val="22"/>
              </w:rPr>
              <w:t>El Instituto Tecnológico goza de autonomía de rango constitucional considerada especial según lo dispuesto por el voto 1333-93 de la Sala Constitucional, por lo que el proyecto de ley   en cuanto a la materia en consulta, no afecta dicha autonomía.”</w:t>
            </w:r>
          </w:p>
          <w:p w:rsidR="00320029" w:rsidRPr="00320029" w:rsidRDefault="00320029" w:rsidP="00320029">
            <w:pPr>
              <w:jc w:val="both"/>
              <w:rPr>
                <w:rFonts w:ascii="Arial" w:hAnsi="Arial" w:cs="Arial"/>
                <w:sz w:val="22"/>
                <w:szCs w:val="22"/>
                <w:lang w:val="es-CR"/>
              </w:rPr>
            </w:pPr>
          </w:p>
          <w:p w:rsidR="00320029" w:rsidRPr="00320029" w:rsidRDefault="00320029" w:rsidP="00320029">
            <w:pPr>
              <w:jc w:val="both"/>
              <w:rPr>
                <w:rFonts w:ascii="Arial" w:hAnsi="Arial" w:cs="Arial"/>
                <w:b/>
                <w:sz w:val="22"/>
                <w:szCs w:val="22"/>
                <w:u w:val="single"/>
              </w:rPr>
            </w:pPr>
            <w:r w:rsidRPr="00320029">
              <w:rPr>
                <w:rFonts w:ascii="Arial" w:hAnsi="Arial" w:cs="Arial"/>
                <w:b/>
                <w:sz w:val="22"/>
                <w:szCs w:val="22"/>
                <w:u w:val="single"/>
              </w:rPr>
              <w:t>Escuela de Arquitectura y Urbanismo</w:t>
            </w:r>
          </w:p>
          <w:p w:rsidR="00320029" w:rsidRPr="00320029" w:rsidRDefault="00320029" w:rsidP="00320029">
            <w:pPr>
              <w:shd w:val="clear" w:color="auto" w:fill="FFFFFF"/>
              <w:jc w:val="both"/>
              <w:rPr>
                <w:rFonts w:ascii="Arial" w:hAnsi="Arial" w:cs="Arial"/>
                <w:i/>
                <w:sz w:val="22"/>
                <w:szCs w:val="22"/>
              </w:rPr>
            </w:pPr>
            <w:r w:rsidRPr="00320029">
              <w:rPr>
                <w:rFonts w:ascii="Arial" w:hAnsi="Arial" w:cs="Arial"/>
                <w:i/>
                <w:sz w:val="22"/>
                <w:szCs w:val="22"/>
              </w:rPr>
              <w:t>“No encontramos ninguna objeción de fondo a lo propuesto en el proyecto de ley 20.316.  Lo único, la ubicación del nuevo artículo propuesto bajo el 18 bis en la Ley de Planificación Urbana.  Creemos que es mejor posterior a los arts. 19 y 20, que son los que definen los Reglamentos de Desarrollo Urbano, podría ubicarse como el art.22, que fue anulado.</w:t>
            </w:r>
          </w:p>
          <w:p w:rsidR="00320029" w:rsidRPr="00320029" w:rsidRDefault="00320029" w:rsidP="00320029">
            <w:pPr>
              <w:shd w:val="clear" w:color="auto" w:fill="FFFFFF"/>
              <w:jc w:val="both"/>
              <w:rPr>
                <w:rFonts w:ascii="Arial" w:hAnsi="Arial" w:cs="Arial"/>
                <w:i/>
                <w:sz w:val="22"/>
                <w:szCs w:val="22"/>
              </w:rPr>
            </w:pPr>
            <w:r w:rsidRPr="00320029">
              <w:rPr>
                <w:rFonts w:ascii="Arial" w:hAnsi="Arial" w:cs="Arial"/>
                <w:i/>
                <w:sz w:val="22"/>
                <w:szCs w:val="22"/>
              </w:rPr>
              <w:t xml:space="preserve">Si, lo apoyamos.   Es importantísima esta reforma.  Como bien se indica en las justificaciones de la propuesta, </w:t>
            </w:r>
            <w:r w:rsidRPr="00320029">
              <w:rPr>
                <w:rFonts w:ascii="Arial" w:hAnsi="Arial" w:cs="Arial"/>
                <w:i/>
                <w:sz w:val="22"/>
                <w:szCs w:val="22"/>
              </w:rPr>
              <w:lastRenderedPageBreak/>
              <w:t>existe un vacío normativo para sancionar los usos de suelo y permisos de construcción mal otorgados, y las construcciones y actividades permitidas en contra que lo que indican los planes reguladores.”</w:t>
            </w:r>
          </w:p>
        </w:tc>
      </w:tr>
    </w:tbl>
    <w:p w:rsidR="00320029" w:rsidRPr="00320029" w:rsidRDefault="00320029" w:rsidP="00320029">
      <w:pPr>
        <w:autoSpaceDE w:val="0"/>
        <w:autoSpaceDN w:val="0"/>
        <w:adjustRightInd w:val="0"/>
        <w:ind w:right="-91"/>
        <w:jc w:val="both"/>
        <w:rPr>
          <w:rFonts w:ascii="Arial" w:hAnsi="Arial" w:cs="Arial"/>
          <w:b/>
          <w:sz w:val="22"/>
          <w:szCs w:val="22"/>
          <w:lang w:val="es-CR"/>
        </w:rPr>
      </w:pPr>
      <w:r w:rsidRPr="00320029">
        <w:rPr>
          <w:rFonts w:ascii="Arial" w:hAnsi="Arial" w:cs="Arial"/>
          <w:b/>
          <w:sz w:val="22"/>
          <w:szCs w:val="22"/>
          <w:lang w:val="es-CR"/>
        </w:rPr>
        <w:lastRenderedPageBreak/>
        <w:t xml:space="preserve"> </w:t>
      </w:r>
    </w:p>
    <w:p w:rsidR="00320029" w:rsidRPr="00320029" w:rsidRDefault="00320029" w:rsidP="00320029">
      <w:pPr>
        <w:rPr>
          <w:rFonts w:ascii="Arial" w:eastAsia="Cambria" w:hAnsi="Arial" w:cs="Arial"/>
          <w:sz w:val="22"/>
          <w:szCs w:val="22"/>
          <w:u w:val="single"/>
          <w:lang w:val="es-CR" w:eastAsia="en-US"/>
        </w:rPr>
      </w:pPr>
      <w:r w:rsidRPr="00320029">
        <w:rPr>
          <w:rFonts w:ascii="Arial" w:eastAsia="Cambria" w:hAnsi="Arial" w:cs="Arial"/>
          <w:sz w:val="22"/>
          <w:szCs w:val="22"/>
          <w:u w:val="single"/>
          <w:lang w:val="es-CR" w:eastAsia="en-US"/>
        </w:rPr>
        <w:t>Comisión Permanente de Asuntos Agropecuarios y Recursos Naturales:</w:t>
      </w:r>
    </w:p>
    <w:p w:rsidR="00320029" w:rsidRPr="00320029" w:rsidRDefault="00320029" w:rsidP="00320029">
      <w:pPr>
        <w:rPr>
          <w:rFonts w:ascii="Arial" w:eastAsia="Cambria" w:hAnsi="Arial" w:cs="Arial"/>
          <w:sz w:val="22"/>
          <w:szCs w:val="22"/>
          <w:u w:val="single"/>
          <w:lang w:val="es-CR" w:eastAsia="en-US"/>
        </w:rPr>
      </w:pPr>
    </w:p>
    <w:tbl>
      <w:tblPr>
        <w:tblStyle w:val="Tablaconcuadrcula101"/>
        <w:tblW w:w="9776" w:type="dxa"/>
        <w:tblLayout w:type="fixed"/>
        <w:tblLook w:val="04A0" w:firstRow="1" w:lastRow="0" w:firstColumn="1" w:lastColumn="0" w:noHBand="0" w:noVBand="1"/>
      </w:tblPr>
      <w:tblGrid>
        <w:gridCol w:w="1413"/>
        <w:gridCol w:w="2694"/>
        <w:gridCol w:w="1560"/>
        <w:gridCol w:w="4109"/>
      </w:tblGrid>
      <w:tr w:rsidR="00320029" w:rsidRPr="00320029" w:rsidTr="00C40834">
        <w:tc>
          <w:tcPr>
            <w:tcW w:w="1413" w:type="dxa"/>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No. Expediente</w:t>
            </w:r>
          </w:p>
        </w:tc>
        <w:tc>
          <w:tcPr>
            <w:tcW w:w="2694" w:type="dxa"/>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Nombre del Proyecto</w:t>
            </w:r>
          </w:p>
        </w:tc>
        <w:tc>
          <w:tcPr>
            <w:tcW w:w="1560" w:type="dxa"/>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Transgrede o no la Autonomía Universitaria</w:t>
            </w:r>
          </w:p>
        </w:tc>
        <w:tc>
          <w:tcPr>
            <w:tcW w:w="4109" w:type="dxa"/>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Observaciones de las diferentes entidades institucionales consultadas</w:t>
            </w:r>
          </w:p>
        </w:tc>
      </w:tr>
      <w:tr w:rsidR="00320029" w:rsidRPr="00320029" w:rsidTr="00C40834">
        <w:tc>
          <w:tcPr>
            <w:tcW w:w="1413" w:type="dxa"/>
          </w:tcPr>
          <w:p w:rsidR="00320029" w:rsidRPr="00320029" w:rsidRDefault="00320029" w:rsidP="00320029">
            <w:pPr>
              <w:jc w:val="center"/>
              <w:rPr>
                <w:rFonts w:ascii="Arial" w:eastAsia="SimSun" w:hAnsi="Arial" w:cs="Arial"/>
                <w:b/>
                <w:iCs/>
                <w:sz w:val="22"/>
                <w:szCs w:val="20"/>
              </w:rPr>
            </w:pPr>
            <w:r w:rsidRPr="00320029">
              <w:rPr>
                <w:rFonts w:ascii="Arial" w:eastAsia="SimSun" w:hAnsi="Arial" w:cs="Arial"/>
                <w:b/>
                <w:iCs/>
                <w:sz w:val="22"/>
                <w:szCs w:val="20"/>
              </w:rPr>
              <w:t>20.561</w:t>
            </w:r>
          </w:p>
        </w:tc>
        <w:tc>
          <w:tcPr>
            <w:tcW w:w="2694" w:type="dxa"/>
          </w:tcPr>
          <w:p w:rsidR="00320029" w:rsidRPr="00320029" w:rsidRDefault="00320029" w:rsidP="00320029">
            <w:pPr>
              <w:jc w:val="both"/>
              <w:rPr>
                <w:rFonts w:ascii="Arial" w:eastAsia="SimSun" w:hAnsi="Arial" w:cs="Arial"/>
                <w:iCs/>
                <w:sz w:val="22"/>
                <w:szCs w:val="20"/>
              </w:rPr>
            </w:pPr>
            <w:r w:rsidRPr="00320029">
              <w:rPr>
                <w:rFonts w:ascii="Arial" w:eastAsia="SimSun" w:hAnsi="Arial" w:cs="Arial"/>
                <w:iCs/>
                <w:sz w:val="22"/>
                <w:szCs w:val="20"/>
              </w:rPr>
              <w:t>Proyecto de “Ley de Promoción de la Conciencia Agraria y la Agricultura Urbana</w:t>
            </w:r>
          </w:p>
          <w:p w:rsidR="00320029" w:rsidRPr="00320029" w:rsidRDefault="00320029" w:rsidP="00320029">
            <w:pPr>
              <w:jc w:val="both"/>
              <w:rPr>
                <w:rFonts w:ascii="Arial" w:eastAsia="SimSun" w:hAnsi="Arial" w:cs="Arial"/>
                <w:iCs/>
                <w:sz w:val="22"/>
                <w:szCs w:val="20"/>
              </w:rPr>
            </w:pPr>
          </w:p>
        </w:tc>
        <w:tc>
          <w:tcPr>
            <w:tcW w:w="1560" w:type="dxa"/>
          </w:tcPr>
          <w:p w:rsidR="00320029" w:rsidRPr="00320029" w:rsidRDefault="00320029" w:rsidP="00320029">
            <w:pPr>
              <w:autoSpaceDE w:val="0"/>
              <w:autoSpaceDN w:val="0"/>
              <w:adjustRightInd w:val="0"/>
              <w:ind w:right="-91"/>
              <w:jc w:val="center"/>
              <w:rPr>
                <w:rFonts w:ascii="Arial" w:eastAsia="Cambria" w:hAnsi="Arial" w:cs="Arial"/>
                <w:sz w:val="22"/>
                <w:szCs w:val="22"/>
                <w:lang w:eastAsia="en-US"/>
              </w:rPr>
            </w:pPr>
            <w:r w:rsidRPr="00320029">
              <w:rPr>
                <w:rFonts w:ascii="Arial" w:eastAsia="Cambria" w:hAnsi="Arial" w:cs="Arial"/>
                <w:sz w:val="22"/>
                <w:szCs w:val="22"/>
                <w:lang w:eastAsia="en-US"/>
              </w:rPr>
              <w:t>Sí</w:t>
            </w:r>
          </w:p>
        </w:tc>
        <w:tc>
          <w:tcPr>
            <w:tcW w:w="4109" w:type="dxa"/>
          </w:tcPr>
          <w:p w:rsidR="00320029" w:rsidRPr="00320029" w:rsidRDefault="00320029" w:rsidP="00320029">
            <w:pPr>
              <w:jc w:val="both"/>
              <w:rPr>
                <w:rFonts w:ascii="Arial" w:hAnsi="Arial" w:cs="Arial"/>
                <w:b/>
                <w:sz w:val="22"/>
                <w:szCs w:val="22"/>
                <w:u w:val="single"/>
              </w:rPr>
            </w:pPr>
            <w:r w:rsidRPr="00320029">
              <w:rPr>
                <w:rFonts w:ascii="Arial" w:hAnsi="Arial" w:cs="Arial"/>
                <w:b/>
                <w:sz w:val="22"/>
                <w:szCs w:val="22"/>
                <w:u w:val="single"/>
              </w:rPr>
              <w:t>Oficina de Asesoría Legal</w:t>
            </w:r>
          </w:p>
          <w:p w:rsidR="00320029" w:rsidRPr="00320029" w:rsidRDefault="00320029" w:rsidP="00320029">
            <w:pPr>
              <w:jc w:val="both"/>
              <w:rPr>
                <w:rFonts w:ascii="Arial" w:hAnsi="Arial" w:cs="Arial"/>
                <w:i/>
                <w:sz w:val="22"/>
                <w:szCs w:val="22"/>
              </w:rPr>
            </w:pPr>
            <w:r w:rsidRPr="00320029">
              <w:rPr>
                <w:rFonts w:ascii="Arial" w:hAnsi="Arial" w:cs="Arial"/>
                <w:i/>
                <w:sz w:val="22"/>
                <w:szCs w:val="22"/>
              </w:rPr>
              <w:t>“El proyecto de ley 20561, contiene elementos que amenazan y comprometen la Autonomía Universitaria del ITCR, específicamente en el artículo 14 de dicha propuesta, ya que estable obligatoriedad por parte de las universidades de elaborar y apoyar programas de formación teórico</w:t>
            </w:r>
            <w:r w:rsidRPr="00320029">
              <w:rPr>
                <w:rFonts w:ascii="Arial" w:hAnsi="Arial" w:cs="Arial"/>
                <w:sz w:val="22"/>
                <w:szCs w:val="22"/>
              </w:rPr>
              <w:t>-</w:t>
            </w:r>
            <w:r w:rsidRPr="00320029">
              <w:rPr>
                <w:rFonts w:ascii="Arial" w:hAnsi="Arial" w:cs="Arial"/>
              </w:rPr>
              <w:t xml:space="preserve"> </w:t>
            </w:r>
            <w:r w:rsidRPr="00320029">
              <w:rPr>
                <w:rFonts w:ascii="Arial" w:hAnsi="Arial" w:cs="Arial"/>
                <w:i/>
                <w:sz w:val="22"/>
                <w:szCs w:val="22"/>
              </w:rPr>
              <w:t xml:space="preserve">práctico y capacitación para agricultores y miembros de los centros agrícolas. </w:t>
            </w:r>
          </w:p>
          <w:p w:rsidR="00320029" w:rsidRPr="00320029" w:rsidRDefault="00320029" w:rsidP="00320029">
            <w:pPr>
              <w:jc w:val="both"/>
              <w:rPr>
                <w:rFonts w:ascii="Arial" w:hAnsi="Arial" w:cs="Arial"/>
                <w:i/>
                <w:sz w:val="22"/>
                <w:szCs w:val="22"/>
              </w:rPr>
            </w:pPr>
            <w:r w:rsidRPr="00320029">
              <w:rPr>
                <w:rFonts w:ascii="Arial" w:hAnsi="Arial" w:cs="Arial"/>
                <w:i/>
                <w:sz w:val="22"/>
                <w:szCs w:val="22"/>
              </w:rPr>
              <w:t>No obstante, estar de acuerdo con el objetivo y fines del presente proyecto de Ley, el artículo 14 lleva implícita una obligatoriedad la cual amenaza la autonomía universitaria, sin embargo, la presente Comisión no recomienda el apoyo al mismo, fundamentado en lo indicado anteriormente.”</w:t>
            </w:r>
          </w:p>
          <w:p w:rsidR="00320029" w:rsidRPr="00320029" w:rsidRDefault="00320029" w:rsidP="00320029">
            <w:pPr>
              <w:jc w:val="both"/>
              <w:rPr>
                <w:rFonts w:ascii="Arial" w:hAnsi="Arial" w:cs="Arial"/>
                <w:sz w:val="22"/>
                <w:szCs w:val="22"/>
                <w:lang w:val="es-CR"/>
              </w:rPr>
            </w:pPr>
          </w:p>
          <w:p w:rsidR="00320029" w:rsidRPr="00320029" w:rsidRDefault="00320029" w:rsidP="00320029">
            <w:pPr>
              <w:jc w:val="both"/>
              <w:rPr>
                <w:rFonts w:ascii="Arial" w:hAnsi="Arial" w:cs="Arial"/>
                <w:b/>
                <w:sz w:val="22"/>
                <w:szCs w:val="22"/>
                <w:u w:val="single"/>
              </w:rPr>
            </w:pPr>
            <w:r w:rsidRPr="00320029">
              <w:rPr>
                <w:rFonts w:ascii="Arial" w:hAnsi="Arial" w:cs="Arial"/>
                <w:b/>
                <w:sz w:val="22"/>
                <w:szCs w:val="22"/>
                <w:u w:val="single"/>
              </w:rPr>
              <w:t xml:space="preserve">Escuela de Agronomía </w:t>
            </w:r>
          </w:p>
          <w:p w:rsidR="00320029" w:rsidRPr="00320029" w:rsidRDefault="00320029" w:rsidP="00320029">
            <w:pPr>
              <w:jc w:val="both"/>
              <w:rPr>
                <w:rFonts w:ascii="Arial" w:hAnsi="Arial" w:cs="Arial"/>
                <w:i/>
                <w:sz w:val="22"/>
                <w:szCs w:val="22"/>
              </w:rPr>
            </w:pPr>
            <w:r w:rsidRPr="00320029">
              <w:rPr>
                <w:rFonts w:ascii="Arial" w:hAnsi="Arial" w:cs="Arial"/>
                <w:i/>
                <w:sz w:val="22"/>
                <w:szCs w:val="22"/>
              </w:rPr>
              <w:t xml:space="preserve">“1- Es criterio de éste lector en mi condición de Director de la Escuela de Agronomía del ITCR, que la propuesta de proyecto es pertinente desde el ámbito que compete a la agricultura. </w:t>
            </w:r>
          </w:p>
          <w:p w:rsidR="00320029" w:rsidRPr="00320029" w:rsidRDefault="00320029" w:rsidP="00320029">
            <w:pPr>
              <w:jc w:val="both"/>
              <w:rPr>
                <w:rFonts w:ascii="Arial" w:hAnsi="Arial" w:cs="Arial"/>
                <w:i/>
                <w:sz w:val="22"/>
                <w:szCs w:val="22"/>
              </w:rPr>
            </w:pPr>
            <w:r w:rsidRPr="00320029">
              <w:rPr>
                <w:rFonts w:ascii="Arial" w:hAnsi="Arial" w:cs="Arial"/>
                <w:i/>
                <w:sz w:val="22"/>
                <w:szCs w:val="22"/>
              </w:rPr>
              <w:t>2- Es mi criterio que esta propuesta de Proyecto de Ley no atenta contra la Autonomía Universitaria del ITCR.”</w:t>
            </w:r>
          </w:p>
          <w:p w:rsidR="00320029" w:rsidRPr="00320029" w:rsidRDefault="00320029" w:rsidP="00320029">
            <w:pPr>
              <w:jc w:val="both"/>
              <w:rPr>
                <w:rFonts w:ascii="Arial" w:hAnsi="Arial" w:cs="Arial"/>
                <w:i/>
                <w:sz w:val="22"/>
                <w:szCs w:val="22"/>
              </w:rPr>
            </w:pPr>
          </w:p>
          <w:p w:rsidR="00320029" w:rsidRPr="00320029" w:rsidRDefault="00320029" w:rsidP="00320029">
            <w:pPr>
              <w:jc w:val="both"/>
              <w:rPr>
                <w:rFonts w:ascii="Arial" w:hAnsi="Arial" w:cs="Arial"/>
                <w:b/>
                <w:sz w:val="22"/>
                <w:szCs w:val="22"/>
                <w:u w:val="single"/>
              </w:rPr>
            </w:pPr>
            <w:r w:rsidRPr="00320029">
              <w:rPr>
                <w:rFonts w:ascii="Arial" w:hAnsi="Arial" w:cs="Arial"/>
                <w:b/>
                <w:sz w:val="22"/>
                <w:szCs w:val="22"/>
                <w:u w:val="single"/>
              </w:rPr>
              <w:t xml:space="preserve">Escuela de Ingeniería Agrícola </w:t>
            </w:r>
          </w:p>
          <w:p w:rsidR="00320029" w:rsidRPr="00320029" w:rsidRDefault="00320029" w:rsidP="00320029">
            <w:pPr>
              <w:ind w:left="360" w:hanging="360"/>
              <w:contextualSpacing/>
              <w:jc w:val="both"/>
              <w:rPr>
                <w:rFonts w:ascii="Arial" w:hAnsi="Arial" w:cs="Arial"/>
                <w:i/>
                <w:sz w:val="22"/>
                <w:szCs w:val="22"/>
              </w:rPr>
            </w:pPr>
            <w:r w:rsidRPr="00320029">
              <w:rPr>
                <w:rFonts w:ascii="Arial" w:hAnsi="Arial" w:cs="Arial"/>
                <w:i/>
                <w:sz w:val="22"/>
                <w:szCs w:val="22"/>
              </w:rPr>
              <w:t>“1. Observaciones</w:t>
            </w:r>
          </w:p>
          <w:p w:rsidR="00320029" w:rsidRPr="00320029" w:rsidRDefault="00320029" w:rsidP="00320029">
            <w:pPr>
              <w:ind w:left="38"/>
              <w:jc w:val="both"/>
              <w:rPr>
                <w:rFonts w:ascii="Arial" w:hAnsi="Arial" w:cs="Arial"/>
                <w:i/>
                <w:sz w:val="22"/>
                <w:szCs w:val="22"/>
              </w:rPr>
            </w:pPr>
            <w:r w:rsidRPr="00320029">
              <w:rPr>
                <w:rFonts w:ascii="Arial" w:hAnsi="Arial" w:cs="Arial"/>
                <w:i/>
                <w:sz w:val="22"/>
                <w:szCs w:val="22"/>
              </w:rPr>
              <w:t xml:space="preserve">El Artículo 1, de la ley propuesta dice: “Declárense de interés público la existencia, la constitución y el funcionamiento de los centros agrícolas.  En aquellos cantones donde no existan centros agrícolas, las municipalidades, asociaciones de desarrollo, las organizaciones sindicales o las universidades públicas, </w:t>
            </w:r>
            <w:r w:rsidRPr="00320029">
              <w:rPr>
                <w:rFonts w:ascii="Arial" w:hAnsi="Arial" w:cs="Arial"/>
                <w:i/>
                <w:sz w:val="22"/>
                <w:szCs w:val="22"/>
              </w:rPr>
              <w:lastRenderedPageBreak/>
              <w:t>podrán promover la formación de estos.”</w:t>
            </w:r>
          </w:p>
          <w:p w:rsidR="00320029" w:rsidRPr="00320029" w:rsidRDefault="00320029" w:rsidP="00320029">
            <w:pPr>
              <w:ind w:left="38"/>
              <w:jc w:val="both"/>
              <w:rPr>
                <w:rFonts w:ascii="Arial" w:hAnsi="Arial" w:cs="Arial"/>
                <w:i/>
                <w:sz w:val="22"/>
                <w:szCs w:val="22"/>
              </w:rPr>
            </w:pPr>
            <w:r w:rsidRPr="00320029">
              <w:rPr>
                <w:rFonts w:ascii="Arial" w:hAnsi="Arial" w:cs="Arial"/>
                <w:i/>
                <w:sz w:val="22"/>
                <w:szCs w:val="22"/>
              </w:rPr>
              <w:t xml:space="preserve">Con respecto a este artículo creemos que La formación de los centros se consolida con una junta directiva de productores agrícolas con intereses comunes. </w:t>
            </w:r>
          </w:p>
          <w:p w:rsidR="00320029" w:rsidRPr="00320029" w:rsidRDefault="00320029" w:rsidP="00320029">
            <w:pPr>
              <w:ind w:left="38"/>
              <w:jc w:val="both"/>
              <w:rPr>
                <w:rFonts w:ascii="Arial" w:hAnsi="Arial" w:cs="Arial"/>
                <w:i/>
                <w:sz w:val="22"/>
                <w:szCs w:val="22"/>
              </w:rPr>
            </w:pPr>
            <w:r w:rsidRPr="00320029">
              <w:rPr>
                <w:rFonts w:ascii="Arial" w:hAnsi="Arial" w:cs="Arial"/>
                <w:i/>
                <w:sz w:val="22"/>
                <w:szCs w:val="22"/>
              </w:rPr>
              <w:t>Por lo que sugerimos agregar…siempre y cuando estos no participen en las juntas directivas.</w:t>
            </w:r>
          </w:p>
          <w:p w:rsidR="00320029" w:rsidRPr="00320029" w:rsidRDefault="00320029" w:rsidP="00320029">
            <w:pPr>
              <w:ind w:left="38"/>
              <w:jc w:val="both"/>
              <w:rPr>
                <w:rFonts w:ascii="Arial" w:hAnsi="Arial" w:cs="Arial"/>
                <w:i/>
                <w:sz w:val="22"/>
                <w:szCs w:val="22"/>
              </w:rPr>
            </w:pPr>
            <w:r w:rsidRPr="00320029">
              <w:rPr>
                <w:rFonts w:ascii="Arial" w:hAnsi="Arial" w:cs="Arial"/>
                <w:i/>
                <w:sz w:val="22"/>
                <w:szCs w:val="22"/>
              </w:rPr>
              <w:t>El artículo 14 en su último párrafo establece: “También las universidades deberán establecer programas de formación teórica-práctica y capacitación para agricultores y miembros de los centros agrícolas”.</w:t>
            </w:r>
          </w:p>
          <w:p w:rsidR="00320029" w:rsidRPr="00320029" w:rsidRDefault="00320029" w:rsidP="00320029">
            <w:pPr>
              <w:ind w:left="38"/>
              <w:jc w:val="both"/>
              <w:rPr>
                <w:rFonts w:ascii="Arial" w:hAnsi="Arial" w:cs="Arial"/>
                <w:i/>
                <w:sz w:val="22"/>
                <w:szCs w:val="22"/>
              </w:rPr>
            </w:pPr>
            <w:r w:rsidRPr="00320029">
              <w:rPr>
                <w:rFonts w:ascii="Arial" w:hAnsi="Arial" w:cs="Arial"/>
                <w:i/>
                <w:sz w:val="22"/>
                <w:szCs w:val="22"/>
              </w:rPr>
              <w:t>Creemos que no se debe de obligar a las universidades a establecer programas sino más bien que estas pueden colaborar estableciendo esos programas. No tenemos criterio suficiente si al decir “deberán establecer”, se está atentando con la Autonomía Universitaria.</w:t>
            </w:r>
          </w:p>
          <w:p w:rsidR="00320029" w:rsidRPr="00320029" w:rsidRDefault="00320029" w:rsidP="00320029">
            <w:pPr>
              <w:ind w:left="38"/>
              <w:jc w:val="both"/>
              <w:rPr>
                <w:rFonts w:ascii="Arial" w:hAnsi="Arial" w:cs="Arial"/>
                <w:i/>
                <w:sz w:val="22"/>
                <w:szCs w:val="22"/>
              </w:rPr>
            </w:pPr>
            <w:r w:rsidRPr="00320029">
              <w:rPr>
                <w:rFonts w:ascii="Arial" w:hAnsi="Arial" w:cs="Arial"/>
                <w:i/>
                <w:sz w:val="22"/>
                <w:szCs w:val="22"/>
              </w:rPr>
              <w:t>Por otra parte, existen ya los mecanismos establecidos para hacer transferencia de tecnologías y conocimientos por medio de proyectos de extensión.</w:t>
            </w:r>
          </w:p>
          <w:p w:rsidR="00320029" w:rsidRPr="00320029" w:rsidRDefault="00320029" w:rsidP="00320029">
            <w:pPr>
              <w:spacing w:after="160" w:line="259" w:lineRule="auto"/>
              <w:contextualSpacing/>
              <w:jc w:val="both"/>
              <w:rPr>
                <w:rFonts w:ascii="Arial" w:hAnsi="Arial" w:cs="Arial"/>
                <w:i/>
                <w:sz w:val="22"/>
                <w:szCs w:val="22"/>
              </w:rPr>
            </w:pPr>
            <w:r w:rsidRPr="00320029">
              <w:rPr>
                <w:rFonts w:ascii="Arial" w:hAnsi="Arial" w:cs="Arial"/>
                <w:i/>
                <w:sz w:val="22"/>
                <w:szCs w:val="22"/>
              </w:rPr>
              <w:t>2.Apoyo o no al proyecto</w:t>
            </w:r>
          </w:p>
          <w:p w:rsidR="00320029" w:rsidRPr="00320029" w:rsidRDefault="00320029" w:rsidP="00320029">
            <w:pPr>
              <w:jc w:val="both"/>
              <w:rPr>
                <w:rFonts w:ascii="Arial" w:hAnsi="Arial" w:cs="Arial"/>
                <w:i/>
                <w:sz w:val="22"/>
                <w:szCs w:val="22"/>
              </w:rPr>
            </w:pPr>
            <w:r w:rsidRPr="00320029">
              <w:rPr>
                <w:rFonts w:ascii="Arial" w:hAnsi="Arial" w:cs="Arial"/>
                <w:i/>
                <w:sz w:val="22"/>
                <w:szCs w:val="22"/>
              </w:rPr>
              <w:t>Con la incorporación de las observaciones que se han hecho creemos que esta ley vendría a fortalecer los Centros Agrícolas Cantonales, por lo tanto, estaríamos apoyando la creación de esta ley.”</w:t>
            </w:r>
          </w:p>
        </w:tc>
      </w:tr>
    </w:tbl>
    <w:p w:rsidR="00320029" w:rsidRPr="00320029" w:rsidRDefault="00320029" w:rsidP="00320029">
      <w:pPr>
        <w:autoSpaceDE w:val="0"/>
        <w:autoSpaceDN w:val="0"/>
        <w:adjustRightInd w:val="0"/>
        <w:ind w:right="-91"/>
        <w:jc w:val="both"/>
        <w:rPr>
          <w:rFonts w:ascii="Arial" w:hAnsi="Arial" w:cs="Arial"/>
          <w:b/>
          <w:sz w:val="20"/>
          <w:szCs w:val="20"/>
          <w:lang w:val="es-CR"/>
        </w:rPr>
      </w:pPr>
    </w:p>
    <w:p w:rsidR="00320029" w:rsidRPr="00320029" w:rsidRDefault="00320029" w:rsidP="00320029">
      <w:pPr>
        <w:rPr>
          <w:rFonts w:ascii="Arial" w:eastAsia="Cambria" w:hAnsi="Arial" w:cs="Arial"/>
          <w:sz w:val="22"/>
          <w:szCs w:val="22"/>
          <w:u w:val="single"/>
          <w:lang w:val="es-CR" w:eastAsia="en-US"/>
        </w:rPr>
      </w:pPr>
      <w:r w:rsidRPr="00320029">
        <w:rPr>
          <w:rFonts w:ascii="Arial" w:eastAsia="Cambria" w:hAnsi="Arial" w:cs="Arial"/>
          <w:sz w:val="22"/>
          <w:szCs w:val="22"/>
          <w:u w:val="single"/>
          <w:lang w:val="es-CR" w:eastAsia="en-US"/>
        </w:rPr>
        <w:t xml:space="preserve">Comisión Especial de Ambiente: </w:t>
      </w:r>
    </w:p>
    <w:p w:rsidR="00320029" w:rsidRPr="00320029" w:rsidRDefault="00320029" w:rsidP="00320029">
      <w:pPr>
        <w:rPr>
          <w:rFonts w:ascii="Arial" w:eastAsia="Cambria" w:hAnsi="Arial" w:cs="Arial"/>
          <w:sz w:val="22"/>
          <w:szCs w:val="22"/>
          <w:u w:val="single"/>
          <w:lang w:val="es-CR" w:eastAsia="en-US"/>
        </w:rPr>
      </w:pPr>
    </w:p>
    <w:tbl>
      <w:tblPr>
        <w:tblStyle w:val="Tablaconcuadrcula101"/>
        <w:tblW w:w="9776" w:type="dxa"/>
        <w:tblLayout w:type="fixed"/>
        <w:tblLook w:val="04A0" w:firstRow="1" w:lastRow="0" w:firstColumn="1" w:lastColumn="0" w:noHBand="0" w:noVBand="1"/>
      </w:tblPr>
      <w:tblGrid>
        <w:gridCol w:w="1413"/>
        <w:gridCol w:w="2694"/>
        <w:gridCol w:w="1560"/>
        <w:gridCol w:w="4109"/>
      </w:tblGrid>
      <w:tr w:rsidR="00320029" w:rsidRPr="00320029" w:rsidTr="00C40834">
        <w:tc>
          <w:tcPr>
            <w:tcW w:w="1413" w:type="dxa"/>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No. Expediente</w:t>
            </w:r>
          </w:p>
        </w:tc>
        <w:tc>
          <w:tcPr>
            <w:tcW w:w="2694" w:type="dxa"/>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Nombre del Proyecto</w:t>
            </w:r>
          </w:p>
        </w:tc>
        <w:tc>
          <w:tcPr>
            <w:tcW w:w="1560" w:type="dxa"/>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Transgrede o no la Autonomía Universitaria</w:t>
            </w:r>
          </w:p>
        </w:tc>
        <w:tc>
          <w:tcPr>
            <w:tcW w:w="4109" w:type="dxa"/>
          </w:tcPr>
          <w:p w:rsidR="00320029" w:rsidRPr="00320029" w:rsidRDefault="00320029" w:rsidP="00320029">
            <w:pPr>
              <w:autoSpaceDE w:val="0"/>
              <w:autoSpaceDN w:val="0"/>
              <w:adjustRightInd w:val="0"/>
              <w:ind w:right="-91"/>
              <w:jc w:val="center"/>
              <w:rPr>
                <w:rFonts w:ascii="Arial" w:eastAsia="Cambria" w:hAnsi="Arial" w:cs="Arial"/>
                <w:b/>
                <w:sz w:val="22"/>
                <w:szCs w:val="22"/>
                <w:lang w:eastAsia="en-US"/>
              </w:rPr>
            </w:pPr>
            <w:r w:rsidRPr="00320029">
              <w:rPr>
                <w:rFonts w:ascii="Arial" w:eastAsia="Cambria" w:hAnsi="Arial" w:cs="Arial"/>
                <w:b/>
                <w:sz w:val="22"/>
                <w:szCs w:val="22"/>
                <w:lang w:eastAsia="en-US"/>
              </w:rPr>
              <w:t>Observaciones de las diferentes entidades institucionales consultadas</w:t>
            </w:r>
          </w:p>
        </w:tc>
      </w:tr>
      <w:tr w:rsidR="00320029" w:rsidRPr="00320029" w:rsidTr="00C40834">
        <w:tc>
          <w:tcPr>
            <w:tcW w:w="1413" w:type="dxa"/>
          </w:tcPr>
          <w:p w:rsidR="00320029" w:rsidRPr="00320029" w:rsidRDefault="00320029" w:rsidP="00320029">
            <w:pPr>
              <w:jc w:val="center"/>
              <w:rPr>
                <w:rFonts w:ascii="Arial" w:eastAsia="SimSun" w:hAnsi="Arial" w:cs="Arial"/>
                <w:b/>
                <w:iCs/>
                <w:sz w:val="22"/>
                <w:szCs w:val="20"/>
              </w:rPr>
            </w:pPr>
            <w:r w:rsidRPr="00320029">
              <w:rPr>
                <w:rFonts w:ascii="Arial" w:eastAsia="SimSun" w:hAnsi="Arial" w:cs="Arial"/>
                <w:b/>
                <w:iCs/>
                <w:sz w:val="22"/>
                <w:szCs w:val="20"/>
              </w:rPr>
              <w:t>20.531</w:t>
            </w:r>
          </w:p>
        </w:tc>
        <w:tc>
          <w:tcPr>
            <w:tcW w:w="2694" w:type="dxa"/>
          </w:tcPr>
          <w:p w:rsidR="00320029" w:rsidRPr="00320029" w:rsidRDefault="00320029" w:rsidP="00320029">
            <w:pPr>
              <w:jc w:val="both"/>
              <w:rPr>
                <w:rFonts w:ascii="Arial" w:eastAsia="SimSun" w:hAnsi="Arial" w:cs="Arial"/>
                <w:iCs/>
                <w:sz w:val="22"/>
                <w:szCs w:val="20"/>
              </w:rPr>
            </w:pPr>
            <w:r w:rsidRPr="00320029">
              <w:rPr>
                <w:rFonts w:ascii="Arial" w:eastAsia="SimSun" w:hAnsi="Arial" w:cs="Arial"/>
                <w:iCs/>
                <w:sz w:val="22"/>
                <w:szCs w:val="20"/>
              </w:rPr>
              <w:t xml:space="preserve">Proyecto de “Ley de creación del Fondo Nacional para incentivar la conservación de los servicios </w:t>
            </w:r>
            <w:proofErr w:type="spellStart"/>
            <w:r w:rsidRPr="00320029">
              <w:rPr>
                <w:rFonts w:ascii="Arial" w:eastAsia="SimSun" w:hAnsi="Arial" w:cs="Arial"/>
                <w:iCs/>
                <w:sz w:val="22"/>
                <w:szCs w:val="20"/>
              </w:rPr>
              <w:t>ecosistémicos</w:t>
            </w:r>
            <w:proofErr w:type="spellEnd"/>
            <w:r w:rsidRPr="00320029">
              <w:rPr>
                <w:rFonts w:ascii="Arial" w:eastAsia="SimSun" w:hAnsi="Arial" w:cs="Arial"/>
                <w:iCs/>
                <w:sz w:val="22"/>
                <w:szCs w:val="20"/>
              </w:rPr>
              <w:t xml:space="preserve"> del mar y de los recursos marino y costeros (FONASEMAR)”</w:t>
            </w:r>
          </w:p>
        </w:tc>
        <w:tc>
          <w:tcPr>
            <w:tcW w:w="1560" w:type="dxa"/>
          </w:tcPr>
          <w:p w:rsidR="00320029" w:rsidRPr="00320029" w:rsidRDefault="00320029" w:rsidP="00320029">
            <w:pPr>
              <w:autoSpaceDE w:val="0"/>
              <w:autoSpaceDN w:val="0"/>
              <w:adjustRightInd w:val="0"/>
              <w:ind w:right="-91"/>
              <w:jc w:val="center"/>
              <w:rPr>
                <w:rFonts w:ascii="Arial" w:eastAsia="Cambria" w:hAnsi="Arial" w:cs="Arial"/>
                <w:sz w:val="22"/>
                <w:szCs w:val="22"/>
                <w:lang w:eastAsia="en-US"/>
              </w:rPr>
            </w:pPr>
            <w:r w:rsidRPr="00320029">
              <w:rPr>
                <w:rFonts w:ascii="Arial" w:eastAsia="Cambria" w:hAnsi="Arial" w:cs="Arial"/>
                <w:sz w:val="22"/>
                <w:szCs w:val="22"/>
                <w:lang w:eastAsia="en-US"/>
              </w:rPr>
              <w:t>No</w:t>
            </w:r>
          </w:p>
        </w:tc>
        <w:tc>
          <w:tcPr>
            <w:tcW w:w="4109" w:type="dxa"/>
          </w:tcPr>
          <w:p w:rsidR="00320029" w:rsidRPr="00320029" w:rsidRDefault="00320029" w:rsidP="00320029">
            <w:pPr>
              <w:jc w:val="both"/>
              <w:rPr>
                <w:rFonts w:ascii="Arial" w:hAnsi="Arial" w:cs="Arial"/>
                <w:b/>
                <w:sz w:val="22"/>
                <w:szCs w:val="22"/>
                <w:u w:val="single"/>
              </w:rPr>
            </w:pPr>
            <w:r w:rsidRPr="00320029">
              <w:rPr>
                <w:rFonts w:ascii="Arial" w:hAnsi="Arial" w:cs="Arial"/>
                <w:b/>
                <w:sz w:val="22"/>
                <w:szCs w:val="22"/>
                <w:u w:val="single"/>
              </w:rPr>
              <w:t>Oficina de Asesoría Legal</w:t>
            </w:r>
          </w:p>
          <w:p w:rsidR="00320029" w:rsidRPr="00320029" w:rsidRDefault="00320029" w:rsidP="00320029">
            <w:pPr>
              <w:jc w:val="both"/>
              <w:rPr>
                <w:rFonts w:ascii="Arial" w:hAnsi="Arial" w:cs="Arial"/>
                <w:i/>
                <w:sz w:val="22"/>
                <w:szCs w:val="22"/>
              </w:rPr>
            </w:pPr>
            <w:r w:rsidRPr="00320029">
              <w:rPr>
                <w:rFonts w:ascii="Arial" w:hAnsi="Arial" w:cs="Arial"/>
                <w:i/>
                <w:sz w:val="22"/>
                <w:szCs w:val="22"/>
              </w:rPr>
              <w:t xml:space="preserve">“Tomando como base el espíritu de la iniciativa, la misma puede abrir alguna posibilidad interesante para el caso de proyectos relacionados con el tema ambiental y que sean igualmente de interés para el ITCR.  No obstante, y por ser el FONASEMAR, el que va a establecer la metodología y las pautas a seguir en este tipo de modalidad es recomendable que la consulta técnica </w:t>
            </w:r>
            <w:r w:rsidRPr="00320029">
              <w:rPr>
                <w:rFonts w:ascii="Arial" w:hAnsi="Arial" w:cs="Arial"/>
                <w:i/>
                <w:sz w:val="22"/>
                <w:szCs w:val="22"/>
              </w:rPr>
              <w:lastRenderedPageBreak/>
              <w:t>se realice al Centro de vinculación institucional.</w:t>
            </w:r>
          </w:p>
          <w:p w:rsidR="00320029" w:rsidRPr="00320029" w:rsidRDefault="00320029" w:rsidP="00320029">
            <w:pPr>
              <w:jc w:val="both"/>
              <w:rPr>
                <w:i/>
                <w:sz w:val="22"/>
                <w:szCs w:val="22"/>
              </w:rPr>
            </w:pPr>
            <w:r w:rsidRPr="00320029">
              <w:rPr>
                <w:rFonts w:ascii="Arial" w:eastAsia="Calibri" w:hAnsi="Arial" w:cs="Arial"/>
                <w:i/>
                <w:sz w:val="22"/>
                <w:szCs w:val="22"/>
              </w:rPr>
              <w:t xml:space="preserve">En vista de lo anterior esta Asesoría considera que no existen elementos que amenacen la </w:t>
            </w:r>
            <w:r w:rsidRPr="00320029">
              <w:rPr>
                <w:rFonts w:ascii="Arial" w:hAnsi="Arial" w:cs="Arial"/>
                <w:i/>
                <w:sz w:val="22"/>
                <w:szCs w:val="22"/>
              </w:rPr>
              <w:t>autonomía</w:t>
            </w:r>
            <w:r w:rsidRPr="00320029">
              <w:rPr>
                <w:rFonts w:ascii="Arial" w:eastAsia="Calibri" w:hAnsi="Arial" w:cs="Arial"/>
                <w:i/>
                <w:sz w:val="22"/>
                <w:szCs w:val="22"/>
              </w:rPr>
              <w:t xml:space="preserve"> universitaria, pero se recomienda que la misma sea consultada a otros departamentos o Escuelas vinculadas con proyectos como los propuestos en la iniciativa.  </w:t>
            </w:r>
          </w:p>
          <w:p w:rsidR="00320029" w:rsidRPr="00320029" w:rsidRDefault="00320029" w:rsidP="00320029">
            <w:pPr>
              <w:rPr>
                <w:rFonts w:ascii="Arial" w:hAnsi="Arial" w:cs="Arial"/>
                <w:sz w:val="22"/>
                <w:szCs w:val="22"/>
              </w:rPr>
            </w:pPr>
          </w:p>
          <w:p w:rsidR="00320029" w:rsidRPr="00320029" w:rsidRDefault="00320029" w:rsidP="00320029">
            <w:pPr>
              <w:rPr>
                <w:rFonts w:ascii="Arial" w:hAnsi="Arial" w:cs="Arial"/>
                <w:sz w:val="22"/>
                <w:szCs w:val="22"/>
              </w:rPr>
            </w:pPr>
            <w:r w:rsidRPr="00320029">
              <w:rPr>
                <w:rFonts w:ascii="Arial" w:hAnsi="Arial" w:cs="Arial"/>
                <w:b/>
                <w:sz w:val="22"/>
                <w:szCs w:val="22"/>
                <w:u w:val="single"/>
              </w:rPr>
              <w:t>Escuela de Ingeniería Forestal</w:t>
            </w:r>
          </w:p>
          <w:p w:rsidR="00320029" w:rsidRPr="00320029" w:rsidRDefault="00320029" w:rsidP="00320029">
            <w:pPr>
              <w:ind w:left="322" w:hanging="322"/>
              <w:jc w:val="both"/>
              <w:rPr>
                <w:rFonts w:ascii="Arial" w:hAnsi="Arial" w:cs="Arial"/>
                <w:i/>
                <w:sz w:val="22"/>
                <w:szCs w:val="22"/>
              </w:rPr>
            </w:pPr>
            <w:r w:rsidRPr="00320029">
              <w:rPr>
                <w:rFonts w:ascii="Arial" w:hAnsi="Arial" w:cs="Arial"/>
                <w:i/>
                <w:sz w:val="22"/>
                <w:szCs w:val="22"/>
              </w:rPr>
              <w:t xml:space="preserve">“1.Observaciones </w:t>
            </w:r>
            <w:r w:rsidRPr="00320029">
              <w:rPr>
                <w:rFonts w:ascii="Arial" w:hAnsi="Arial" w:cs="Arial"/>
                <w:i/>
                <w:sz w:val="22"/>
                <w:szCs w:val="22"/>
              </w:rPr>
              <w:sym w:font="Symbol" w:char="F0B7"/>
            </w:r>
            <w:r w:rsidRPr="00320029">
              <w:rPr>
                <w:rFonts w:ascii="Arial" w:hAnsi="Arial" w:cs="Arial"/>
                <w:i/>
                <w:sz w:val="22"/>
                <w:szCs w:val="22"/>
              </w:rPr>
              <w:t xml:space="preserve"> Se sugiere incluir en la descripción de servicios </w:t>
            </w:r>
            <w:proofErr w:type="spellStart"/>
            <w:r w:rsidRPr="00320029">
              <w:rPr>
                <w:rFonts w:ascii="Arial" w:hAnsi="Arial" w:cs="Arial"/>
                <w:i/>
                <w:sz w:val="22"/>
                <w:szCs w:val="22"/>
              </w:rPr>
              <w:t>ecosistémicos</w:t>
            </w:r>
            <w:proofErr w:type="spellEnd"/>
            <w:r w:rsidRPr="00320029">
              <w:rPr>
                <w:rFonts w:ascii="Arial" w:hAnsi="Arial" w:cs="Arial"/>
                <w:i/>
                <w:sz w:val="22"/>
                <w:szCs w:val="22"/>
              </w:rPr>
              <w:t xml:space="preserve"> el de “viveros de especies” referidos a las áreas de manglar que son sitios de reproducción de muchas especies explotas comercialmente. </w:t>
            </w:r>
            <w:r w:rsidRPr="00320029">
              <w:rPr>
                <w:rFonts w:ascii="Arial" w:hAnsi="Arial" w:cs="Arial"/>
                <w:i/>
                <w:sz w:val="22"/>
                <w:szCs w:val="22"/>
              </w:rPr>
              <w:sym w:font="Symbol" w:char="F0B7"/>
            </w:r>
            <w:r w:rsidRPr="00320029">
              <w:rPr>
                <w:rFonts w:ascii="Arial" w:hAnsi="Arial" w:cs="Arial"/>
                <w:i/>
                <w:sz w:val="22"/>
                <w:szCs w:val="22"/>
              </w:rPr>
              <w:t xml:space="preserve"> Que se revise el impacto del canon sobre transporte marítimo en los precios finales. </w:t>
            </w:r>
            <w:r w:rsidRPr="00320029">
              <w:rPr>
                <w:rFonts w:ascii="Arial" w:hAnsi="Arial" w:cs="Arial"/>
                <w:i/>
                <w:sz w:val="22"/>
                <w:szCs w:val="22"/>
              </w:rPr>
              <w:sym w:font="Symbol" w:char="F0B7"/>
            </w:r>
            <w:r w:rsidRPr="00320029">
              <w:rPr>
                <w:rFonts w:ascii="Arial" w:hAnsi="Arial" w:cs="Arial"/>
                <w:i/>
                <w:sz w:val="22"/>
                <w:szCs w:val="22"/>
              </w:rPr>
              <w:t xml:space="preserve"> Que se revise el impacto de grabar sistemas de producción nacional de bajísimo valor agregado como lo es la producción de tarimas de madera, donde se sugiere que queden excluidas de la posibilidad de ser gravadas. </w:t>
            </w:r>
          </w:p>
          <w:p w:rsidR="00320029" w:rsidRPr="00320029" w:rsidRDefault="00320029" w:rsidP="00320029">
            <w:pPr>
              <w:ind w:left="322" w:hanging="322"/>
              <w:jc w:val="both"/>
              <w:rPr>
                <w:rFonts w:ascii="Arial" w:hAnsi="Arial" w:cs="Arial"/>
                <w:i/>
                <w:sz w:val="22"/>
                <w:szCs w:val="22"/>
              </w:rPr>
            </w:pPr>
            <w:r w:rsidRPr="00320029">
              <w:rPr>
                <w:rFonts w:ascii="Arial" w:hAnsi="Arial" w:cs="Arial"/>
                <w:i/>
                <w:sz w:val="22"/>
                <w:szCs w:val="22"/>
              </w:rPr>
              <w:t>2. Indicar si apoya o no el proyecto de ley y las razones que justifican no apoyarlo Por la importancia y los beneficios que plantea y en la forma en que lo hace, se considera importante brindar el apoyo a este proyecto. No obstante, considerar las observaciones planteadas.”</w:t>
            </w:r>
          </w:p>
        </w:tc>
      </w:tr>
    </w:tbl>
    <w:p w:rsidR="00320029" w:rsidRPr="00320029" w:rsidRDefault="00320029" w:rsidP="00320029">
      <w:pPr>
        <w:autoSpaceDE w:val="0"/>
        <w:autoSpaceDN w:val="0"/>
        <w:adjustRightInd w:val="0"/>
        <w:ind w:right="-91"/>
        <w:jc w:val="both"/>
        <w:rPr>
          <w:rFonts w:ascii="Arial" w:eastAsia="Cambria" w:hAnsi="Arial" w:cs="Arial"/>
          <w:sz w:val="22"/>
          <w:szCs w:val="22"/>
          <w:u w:val="single"/>
          <w:lang w:val="es-CR" w:eastAsia="en-US"/>
        </w:rPr>
      </w:pPr>
    </w:p>
    <w:p w:rsidR="00320029" w:rsidRPr="00320029" w:rsidRDefault="00320029" w:rsidP="00320029">
      <w:pPr>
        <w:autoSpaceDE w:val="0"/>
        <w:autoSpaceDN w:val="0"/>
        <w:adjustRightInd w:val="0"/>
        <w:ind w:right="-91"/>
        <w:jc w:val="both"/>
        <w:rPr>
          <w:rFonts w:ascii="Arial" w:hAnsi="Arial" w:cs="Arial"/>
          <w:b/>
          <w:sz w:val="20"/>
          <w:szCs w:val="20"/>
          <w:lang w:val="es-CR"/>
        </w:rPr>
      </w:pPr>
    </w:p>
    <w:p w:rsidR="007D3F8E" w:rsidRDefault="007D3F8E" w:rsidP="007742A1">
      <w:pPr>
        <w:jc w:val="both"/>
        <w:rPr>
          <w:rFonts w:ascii="Arial" w:eastAsia="Cambria" w:hAnsi="Arial" w:cs="Arial"/>
          <w:lang w:val="es-ES_tradnl" w:eastAsia="en-US"/>
        </w:rPr>
      </w:pPr>
    </w:p>
    <w:p w:rsidR="00215C41" w:rsidRPr="00320029" w:rsidRDefault="00BB6A5E" w:rsidP="00320029">
      <w:pPr>
        <w:numPr>
          <w:ilvl w:val="0"/>
          <w:numId w:val="21"/>
        </w:numPr>
        <w:ind w:left="426" w:hanging="426"/>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320029" w:rsidRDefault="00320029" w:rsidP="00320029">
      <w:pPr>
        <w:contextualSpacing/>
        <w:jc w:val="both"/>
        <w:rPr>
          <w:rFonts w:ascii="Arial" w:hAnsi="Arial" w:cs="Arial"/>
          <w:b/>
          <w:lang w:val="es-CR"/>
        </w:rPr>
      </w:pPr>
    </w:p>
    <w:p w:rsidR="00320029" w:rsidRPr="00320029" w:rsidRDefault="00320029" w:rsidP="00320029">
      <w:pPr>
        <w:autoSpaceDE w:val="0"/>
        <w:autoSpaceDN w:val="0"/>
        <w:adjustRightInd w:val="0"/>
        <w:ind w:right="-91"/>
        <w:jc w:val="both"/>
        <w:rPr>
          <w:rFonts w:ascii="Arial" w:hAnsi="Arial" w:cs="Arial"/>
          <w:lang w:val="es-CR"/>
        </w:rPr>
      </w:pPr>
      <w:r w:rsidRPr="00320029">
        <w:rPr>
          <w:rFonts w:ascii="Arial" w:hAnsi="Arial" w:cs="Arial"/>
          <w:b/>
          <w:sz w:val="20"/>
          <w:szCs w:val="20"/>
          <w:lang w:val="es-CR"/>
        </w:rPr>
        <w:t>PALABRAS CLAVE:   Proyectos de Ley Nos. 20.561, 20.316, 20.649 y 20.531</w:t>
      </w:r>
    </w:p>
    <w:p w:rsidR="00F41610" w:rsidRDefault="00F41610" w:rsidP="00F41610">
      <w:pPr>
        <w:autoSpaceDE w:val="0"/>
        <w:autoSpaceDN w:val="0"/>
        <w:adjustRightInd w:val="0"/>
        <w:jc w:val="both"/>
        <w:rPr>
          <w:rFonts w:ascii="Arial" w:hAnsi="Arial" w:cs="Arial"/>
          <w:b/>
          <w:lang w:val="es-CR"/>
        </w:rPr>
      </w:pPr>
    </w:p>
    <w:p w:rsidR="00A7618F" w:rsidRPr="00EF1D05" w:rsidRDefault="00A7618F" w:rsidP="00EF1D05">
      <w:pPr>
        <w:tabs>
          <w:tab w:val="left" w:pos="760"/>
        </w:tabs>
        <w:spacing w:line="276" w:lineRule="auto"/>
        <w:jc w:val="both"/>
        <w:rPr>
          <w:rFonts w:ascii="Arial" w:hAnsi="Arial" w:cs="Arial"/>
          <w:b/>
          <w:sz w:val="20"/>
          <w:szCs w:val="20"/>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320029" w:rsidRDefault="00320029"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Oficina Asesoría Legal</w:t>
      </w:r>
    </w:p>
    <w:p w:rsidR="00320029" w:rsidRDefault="00320029"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Escuela de Agronomía</w:t>
      </w:r>
    </w:p>
    <w:p w:rsidR="00320029" w:rsidRDefault="00320029"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Escuela de Ingeniería Agrícola</w:t>
      </w:r>
    </w:p>
    <w:p w:rsidR="00320029" w:rsidRDefault="00320029"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Escuela de Ingeniería Forestal</w:t>
      </w:r>
    </w:p>
    <w:p w:rsidR="00320029" w:rsidRDefault="00320029"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Departamento de Vida Estudiantil y Servicios Académicos (DEVESA)</w:t>
      </w:r>
    </w:p>
    <w:p w:rsidR="00320029" w:rsidRDefault="00320029"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Escuela de Cultura y Deporte</w:t>
      </w:r>
    </w:p>
    <w:p w:rsidR="00604088" w:rsidRDefault="00604088"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Escuela de Arquitectura y Urbanismo</w:t>
      </w:r>
      <w:bookmarkStart w:id="0" w:name="_GoBack"/>
      <w:bookmarkEnd w:id="0"/>
    </w:p>
    <w:p w:rsidR="0003651A" w:rsidRPr="00D31E17" w:rsidRDefault="00C413F4" w:rsidP="00F41044">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317" w:rsidRDefault="00AA1317">
      <w:r>
        <w:separator/>
      </w:r>
    </w:p>
  </w:endnote>
  <w:endnote w:type="continuationSeparator" w:id="0">
    <w:p w:rsidR="00AA1317" w:rsidRDefault="00AA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98" w:rsidRDefault="007B4F98">
    <w:pPr>
      <w:pStyle w:val="Piedepgina"/>
      <w:jc w:val="center"/>
    </w:pPr>
  </w:p>
  <w:p w:rsidR="007B4F98" w:rsidRDefault="007B4F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317" w:rsidRDefault="00AA1317">
      <w:r>
        <w:separator/>
      </w:r>
    </w:p>
  </w:footnote>
  <w:footnote w:type="continuationSeparator" w:id="0">
    <w:p w:rsidR="00AA1317" w:rsidRDefault="00AA1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F98" w:rsidRPr="00D958BC" w:rsidRDefault="007B4F98"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7B4F98" w:rsidRPr="00D958BC" w:rsidRDefault="007B4F98"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310</w:t>
    </w:r>
    <w:r w:rsidR="00AF5DC8">
      <w:rPr>
        <w:rFonts w:ascii="Arial" w:eastAsia="Cambria" w:hAnsi="Arial" w:cs="Arial"/>
        <w:i/>
        <w:sz w:val="18"/>
        <w:szCs w:val="18"/>
        <w:lang w:val="es-ES_tradnl" w:eastAsia="x-none"/>
      </w:rPr>
      <w:t>1</w:t>
    </w:r>
    <w:r w:rsidRPr="00D958BC">
      <w:rPr>
        <w:rFonts w:ascii="Arial" w:eastAsia="Cambria" w:hAnsi="Arial" w:cs="Arial"/>
        <w:i/>
        <w:sz w:val="18"/>
        <w:szCs w:val="18"/>
        <w:lang w:val="es-ES_tradnl" w:eastAsia="x-none"/>
      </w:rPr>
      <w:t xml:space="preserve">, Artículo </w:t>
    </w:r>
    <w:r w:rsidR="00AF5DC8">
      <w:rPr>
        <w:rFonts w:ascii="Arial" w:eastAsia="Cambria" w:hAnsi="Arial" w:cs="Arial"/>
        <w:i/>
        <w:sz w:val="18"/>
        <w:szCs w:val="18"/>
        <w:lang w:val="es-ES_tradnl" w:eastAsia="x-none"/>
      </w:rPr>
      <w:t>7</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AF5DC8">
      <w:rPr>
        <w:rFonts w:ascii="Arial" w:eastAsia="Cambria" w:hAnsi="Arial" w:cs="Arial"/>
        <w:i/>
        <w:sz w:val="18"/>
        <w:szCs w:val="18"/>
        <w:lang w:val="es-ES_tradnl" w:eastAsia="x-none"/>
      </w:rPr>
      <w:t>12</w:t>
    </w:r>
    <w:r>
      <w:rPr>
        <w:rFonts w:ascii="Arial" w:eastAsia="Cambria" w:hAnsi="Arial" w:cs="Arial"/>
        <w:i/>
        <w:sz w:val="18"/>
        <w:szCs w:val="18"/>
        <w:lang w:val="es-ES_tradnl" w:eastAsia="x-none"/>
      </w:rPr>
      <w:t xml:space="preserve"> de diciembre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8</w:t>
    </w:r>
  </w:p>
  <w:p w:rsidR="007B4F98" w:rsidRDefault="007B4F98"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604088">
      <w:rPr>
        <w:rFonts w:ascii="Arial" w:eastAsia="Cambria" w:hAnsi="Arial" w:cs="Arial"/>
        <w:i/>
        <w:noProof/>
        <w:sz w:val="18"/>
        <w:szCs w:val="18"/>
        <w:lang w:val="es-ES_tradnl" w:eastAsia="x-none"/>
      </w:rPr>
      <w:t>6</w:t>
    </w:r>
    <w:r w:rsidRPr="00D958BC">
      <w:rPr>
        <w:rFonts w:ascii="Arial" w:eastAsia="Cambria" w:hAnsi="Arial" w:cs="Arial"/>
        <w:i/>
        <w:sz w:val="18"/>
        <w:szCs w:val="18"/>
        <w:lang w:val="es-ES_tradnl" w:eastAsia="x-none"/>
      </w:rPr>
      <w:fldChar w:fldCharType="end"/>
    </w:r>
  </w:p>
  <w:p w:rsidR="007B4F98" w:rsidRDefault="007B4F98"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DC4709"/>
    <w:multiLevelType w:val="hybridMultilevel"/>
    <w:tmpl w:val="CA8A92F8"/>
    <w:lvl w:ilvl="0" w:tplc="0409000F">
      <w:start w:val="1"/>
      <w:numFmt w:val="decimal"/>
      <w:lvlText w:val="%1."/>
      <w:lvlJc w:val="left"/>
      <w:pPr>
        <w:ind w:left="288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721738D"/>
    <w:multiLevelType w:val="hybridMultilevel"/>
    <w:tmpl w:val="E92A818E"/>
    <w:lvl w:ilvl="0" w:tplc="B2D2989C">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7D2700B"/>
    <w:multiLevelType w:val="hybridMultilevel"/>
    <w:tmpl w:val="6B2260C0"/>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3832C3"/>
    <w:multiLevelType w:val="hybridMultilevel"/>
    <w:tmpl w:val="CCA4600E"/>
    <w:lvl w:ilvl="0" w:tplc="585070A4">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1FE12BA"/>
    <w:multiLevelType w:val="hybridMultilevel"/>
    <w:tmpl w:val="790E9682"/>
    <w:lvl w:ilvl="0" w:tplc="7E40F524">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15:restartNumberingAfterBreak="0">
    <w:nsid w:val="344E62B4"/>
    <w:multiLevelType w:val="hybridMultilevel"/>
    <w:tmpl w:val="C21AFE34"/>
    <w:lvl w:ilvl="0" w:tplc="2BF24446">
      <w:start w:val="1"/>
      <w:numFmt w:val="lowerLetter"/>
      <w:lvlText w:val="%1."/>
      <w:lvlJc w:val="left"/>
      <w:pPr>
        <w:ind w:left="1108" w:hanging="360"/>
      </w:pPr>
      <w:rPr>
        <w:rFonts w:hint="default"/>
      </w:rPr>
    </w:lvl>
    <w:lvl w:ilvl="1" w:tplc="140A0019" w:tentative="1">
      <w:start w:val="1"/>
      <w:numFmt w:val="lowerLetter"/>
      <w:lvlText w:val="%2."/>
      <w:lvlJc w:val="left"/>
      <w:pPr>
        <w:ind w:left="1828" w:hanging="360"/>
      </w:pPr>
    </w:lvl>
    <w:lvl w:ilvl="2" w:tplc="140A001B" w:tentative="1">
      <w:start w:val="1"/>
      <w:numFmt w:val="lowerRoman"/>
      <w:lvlText w:val="%3."/>
      <w:lvlJc w:val="right"/>
      <w:pPr>
        <w:ind w:left="2548" w:hanging="180"/>
      </w:pPr>
    </w:lvl>
    <w:lvl w:ilvl="3" w:tplc="140A000F" w:tentative="1">
      <w:start w:val="1"/>
      <w:numFmt w:val="decimal"/>
      <w:lvlText w:val="%4."/>
      <w:lvlJc w:val="left"/>
      <w:pPr>
        <w:ind w:left="3268" w:hanging="360"/>
      </w:pPr>
    </w:lvl>
    <w:lvl w:ilvl="4" w:tplc="140A0019" w:tentative="1">
      <w:start w:val="1"/>
      <w:numFmt w:val="lowerLetter"/>
      <w:lvlText w:val="%5."/>
      <w:lvlJc w:val="left"/>
      <w:pPr>
        <w:ind w:left="3988" w:hanging="360"/>
      </w:pPr>
    </w:lvl>
    <w:lvl w:ilvl="5" w:tplc="140A001B" w:tentative="1">
      <w:start w:val="1"/>
      <w:numFmt w:val="lowerRoman"/>
      <w:lvlText w:val="%6."/>
      <w:lvlJc w:val="right"/>
      <w:pPr>
        <w:ind w:left="4708" w:hanging="180"/>
      </w:pPr>
    </w:lvl>
    <w:lvl w:ilvl="6" w:tplc="140A000F" w:tentative="1">
      <w:start w:val="1"/>
      <w:numFmt w:val="decimal"/>
      <w:lvlText w:val="%7."/>
      <w:lvlJc w:val="left"/>
      <w:pPr>
        <w:ind w:left="5428" w:hanging="360"/>
      </w:pPr>
    </w:lvl>
    <w:lvl w:ilvl="7" w:tplc="140A0019" w:tentative="1">
      <w:start w:val="1"/>
      <w:numFmt w:val="lowerLetter"/>
      <w:lvlText w:val="%8."/>
      <w:lvlJc w:val="left"/>
      <w:pPr>
        <w:ind w:left="6148" w:hanging="360"/>
      </w:pPr>
    </w:lvl>
    <w:lvl w:ilvl="8" w:tplc="140A001B" w:tentative="1">
      <w:start w:val="1"/>
      <w:numFmt w:val="lowerRoman"/>
      <w:lvlText w:val="%9."/>
      <w:lvlJc w:val="right"/>
      <w:pPr>
        <w:ind w:left="6868" w:hanging="180"/>
      </w:pPr>
    </w:lvl>
  </w:abstractNum>
  <w:abstractNum w:abstractNumId="8" w15:restartNumberingAfterBreak="0">
    <w:nsid w:val="34BA7C37"/>
    <w:multiLevelType w:val="hybridMultilevel"/>
    <w:tmpl w:val="F934CA1A"/>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DA4D70"/>
    <w:multiLevelType w:val="hybridMultilevel"/>
    <w:tmpl w:val="372AB89C"/>
    <w:lvl w:ilvl="0" w:tplc="1E74AAB4">
      <w:start w:val="1"/>
      <w:numFmt w:val="lowerLetter"/>
      <w:lvlText w:val="%1."/>
      <w:lvlJc w:val="left"/>
      <w:pPr>
        <w:ind w:left="1146" w:hanging="360"/>
      </w:pPr>
      <w:rPr>
        <w:rFonts w:hint="default"/>
        <w:b/>
      </w:rPr>
    </w:lvl>
    <w:lvl w:ilvl="1" w:tplc="140A000F">
      <w:start w:val="1"/>
      <w:numFmt w:val="decimal"/>
      <w:lvlText w:val="%2."/>
      <w:lvlJc w:val="left"/>
      <w:pPr>
        <w:ind w:left="1866" w:hanging="360"/>
      </w:pPr>
    </w:lvl>
    <w:lvl w:ilvl="2" w:tplc="140A001B" w:tentative="1">
      <w:start w:val="1"/>
      <w:numFmt w:val="lowerRoman"/>
      <w:lvlText w:val="%3."/>
      <w:lvlJc w:val="right"/>
      <w:pPr>
        <w:ind w:left="2586" w:hanging="180"/>
      </w:pPr>
    </w:lvl>
    <w:lvl w:ilvl="3" w:tplc="140A000F" w:tentative="1">
      <w:start w:val="1"/>
      <w:numFmt w:val="decimal"/>
      <w:lvlText w:val="%4."/>
      <w:lvlJc w:val="left"/>
      <w:pPr>
        <w:ind w:left="3306" w:hanging="360"/>
      </w:pPr>
    </w:lvl>
    <w:lvl w:ilvl="4" w:tplc="140A0019" w:tentative="1">
      <w:start w:val="1"/>
      <w:numFmt w:val="lowerLetter"/>
      <w:lvlText w:val="%5."/>
      <w:lvlJc w:val="left"/>
      <w:pPr>
        <w:ind w:left="4026" w:hanging="360"/>
      </w:pPr>
    </w:lvl>
    <w:lvl w:ilvl="5" w:tplc="140A001B" w:tentative="1">
      <w:start w:val="1"/>
      <w:numFmt w:val="lowerRoman"/>
      <w:lvlText w:val="%6."/>
      <w:lvlJc w:val="right"/>
      <w:pPr>
        <w:ind w:left="4746" w:hanging="180"/>
      </w:pPr>
    </w:lvl>
    <w:lvl w:ilvl="6" w:tplc="140A000F" w:tentative="1">
      <w:start w:val="1"/>
      <w:numFmt w:val="decimal"/>
      <w:lvlText w:val="%7."/>
      <w:lvlJc w:val="left"/>
      <w:pPr>
        <w:ind w:left="5466" w:hanging="360"/>
      </w:pPr>
    </w:lvl>
    <w:lvl w:ilvl="7" w:tplc="140A0019" w:tentative="1">
      <w:start w:val="1"/>
      <w:numFmt w:val="lowerLetter"/>
      <w:lvlText w:val="%8."/>
      <w:lvlJc w:val="left"/>
      <w:pPr>
        <w:ind w:left="6186" w:hanging="360"/>
      </w:pPr>
    </w:lvl>
    <w:lvl w:ilvl="8" w:tplc="140A001B" w:tentative="1">
      <w:start w:val="1"/>
      <w:numFmt w:val="lowerRoman"/>
      <w:lvlText w:val="%9."/>
      <w:lvlJc w:val="right"/>
      <w:pPr>
        <w:ind w:left="6906" w:hanging="180"/>
      </w:pPr>
    </w:lvl>
  </w:abstractNum>
  <w:abstractNum w:abstractNumId="11" w15:restartNumberingAfterBreak="0">
    <w:nsid w:val="45620CE0"/>
    <w:multiLevelType w:val="hybridMultilevel"/>
    <w:tmpl w:val="F46203E4"/>
    <w:lvl w:ilvl="0" w:tplc="F4F294D2">
      <w:start w:val="1"/>
      <w:numFmt w:val="decimal"/>
      <w:lvlText w:val="%1."/>
      <w:lvlJc w:val="left"/>
      <w:pPr>
        <w:tabs>
          <w:tab w:val="num" w:pos="825"/>
        </w:tabs>
        <w:ind w:left="825" w:hanging="465"/>
      </w:pPr>
      <w:rPr>
        <w:rFonts w:cs="Times New Roman"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EA8511B"/>
    <w:multiLevelType w:val="hybridMultilevel"/>
    <w:tmpl w:val="91CCBA4E"/>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7232354"/>
    <w:multiLevelType w:val="hybridMultilevel"/>
    <w:tmpl w:val="2D3CCA66"/>
    <w:lvl w:ilvl="0" w:tplc="4E021186">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7992949"/>
    <w:multiLevelType w:val="hybridMultilevel"/>
    <w:tmpl w:val="4FD861DE"/>
    <w:lvl w:ilvl="0" w:tplc="111A5DD8">
      <w:start w:val="2"/>
      <w:numFmt w:val="lowerLetter"/>
      <w:lvlText w:val="%1."/>
      <w:lvlJc w:val="left"/>
      <w:pPr>
        <w:tabs>
          <w:tab w:val="num" w:pos="1495"/>
        </w:tabs>
        <w:ind w:left="1495" w:hanging="360"/>
      </w:pPr>
      <w:rPr>
        <w:rFonts w:cs="TTE1865388t00" w:hint="default"/>
        <w:b/>
        <w:i/>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86006A4"/>
    <w:multiLevelType w:val="hybridMultilevel"/>
    <w:tmpl w:val="4F2A93DA"/>
    <w:lvl w:ilvl="0" w:tplc="9B9E8A8C">
      <w:start w:val="1"/>
      <w:numFmt w:val="decimal"/>
      <w:lvlText w:val="%1."/>
      <w:lvlJc w:val="left"/>
      <w:pPr>
        <w:ind w:left="720" w:hanging="360"/>
      </w:pPr>
      <w:rPr>
        <w:b/>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8174EB0"/>
    <w:multiLevelType w:val="hybridMultilevel"/>
    <w:tmpl w:val="8DDE2258"/>
    <w:lvl w:ilvl="0" w:tplc="11D69808">
      <w:start w:val="1"/>
      <w:numFmt w:val="lowerLetter"/>
      <w:lvlText w:val="%1."/>
      <w:lvlJc w:val="left"/>
      <w:pPr>
        <w:tabs>
          <w:tab w:val="num" w:pos="360"/>
        </w:tabs>
        <w:ind w:left="360" w:hanging="360"/>
      </w:pPr>
      <w:rPr>
        <w:rFonts w:cs="TTE1865388t00" w:hint="default"/>
        <w:b/>
        <w:i w:val="0"/>
        <w:sz w:val="24"/>
        <w:szCs w:val="24"/>
      </w:rPr>
    </w:lvl>
    <w:lvl w:ilvl="1" w:tplc="140A001B">
      <w:start w:val="1"/>
      <w:numFmt w:val="lowerRoman"/>
      <w:lvlText w:val="%2."/>
      <w:lvlJc w:val="righ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8342639"/>
    <w:multiLevelType w:val="hybridMultilevel"/>
    <w:tmpl w:val="303E47FA"/>
    <w:lvl w:ilvl="0" w:tplc="B9B25D28">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BEE382C"/>
    <w:multiLevelType w:val="hybridMultilevel"/>
    <w:tmpl w:val="B2781866"/>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2"/>
  </w:num>
  <w:num w:numId="2">
    <w:abstractNumId w:val="19"/>
  </w:num>
  <w:num w:numId="3">
    <w:abstractNumId w:val="20"/>
  </w:num>
  <w:num w:numId="4">
    <w:abstractNumId w:val="0"/>
  </w:num>
  <w:num w:numId="5">
    <w:abstractNumId w:val="17"/>
  </w:num>
  <w:num w:numId="6">
    <w:abstractNumId w:val="1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15"/>
  </w:num>
  <w:num w:numId="11">
    <w:abstractNumId w:val="3"/>
  </w:num>
  <w:num w:numId="12">
    <w:abstractNumId w:val="4"/>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6"/>
  </w:num>
  <w:num w:numId="18">
    <w:abstractNumId w:val="7"/>
  </w:num>
  <w:num w:numId="19">
    <w:abstractNumId w:val="18"/>
  </w:num>
  <w:num w:numId="20">
    <w:abstractNumId w:val="8"/>
  </w:num>
  <w:num w:numId="2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5F69"/>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2A1C"/>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B7989"/>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029"/>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4F28"/>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51C7"/>
    <w:rsid w:val="004873EC"/>
    <w:rsid w:val="00487C3B"/>
    <w:rsid w:val="00492457"/>
    <w:rsid w:val="0049385C"/>
    <w:rsid w:val="004945D5"/>
    <w:rsid w:val="004947BD"/>
    <w:rsid w:val="00495B4F"/>
    <w:rsid w:val="00497506"/>
    <w:rsid w:val="00497832"/>
    <w:rsid w:val="004A0A9A"/>
    <w:rsid w:val="004A172B"/>
    <w:rsid w:val="004A4274"/>
    <w:rsid w:val="004A48E6"/>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660"/>
    <w:rsid w:val="004D0B7A"/>
    <w:rsid w:val="004D0E9A"/>
    <w:rsid w:val="004D19F3"/>
    <w:rsid w:val="004D2D67"/>
    <w:rsid w:val="004D3777"/>
    <w:rsid w:val="004D5B06"/>
    <w:rsid w:val="004D6CA2"/>
    <w:rsid w:val="004E0961"/>
    <w:rsid w:val="004E1FC9"/>
    <w:rsid w:val="004E23CB"/>
    <w:rsid w:val="004E3D7B"/>
    <w:rsid w:val="004E6438"/>
    <w:rsid w:val="004E65FB"/>
    <w:rsid w:val="004E6E23"/>
    <w:rsid w:val="004E7D9D"/>
    <w:rsid w:val="004E7FFC"/>
    <w:rsid w:val="004F2645"/>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C5BA1"/>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088"/>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3D72"/>
    <w:rsid w:val="006C45BA"/>
    <w:rsid w:val="006C4FFB"/>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6ABF"/>
    <w:rsid w:val="00777FF4"/>
    <w:rsid w:val="00781332"/>
    <w:rsid w:val="007819B0"/>
    <w:rsid w:val="007837C1"/>
    <w:rsid w:val="0078514D"/>
    <w:rsid w:val="00791713"/>
    <w:rsid w:val="00794454"/>
    <w:rsid w:val="00795377"/>
    <w:rsid w:val="007A2D73"/>
    <w:rsid w:val="007A5E5B"/>
    <w:rsid w:val="007B381B"/>
    <w:rsid w:val="007B4F98"/>
    <w:rsid w:val="007B56C0"/>
    <w:rsid w:val="007B6F61"/>
    <w:rsid w:val="007B7700"/>
    <w:rsid w:val="007C024F"/>
    <w:rsid w:val="007C10F3"/>
    <w:rsid w:val="007C12C6"/>
    <w:rsid w:val="007C46B5"/>
    <w:rsid w:val="007C6A05"/>
    <w:rsid w:val="007D0868"/>
    <w:rsid w:val="007D13D9"/>
    <w:rsid w:val="007D2E3F"/>
    <w:rsid w:val="007D3430"/>
    <w:rsid w:val="007D3593"/>
    <w:rsid w:val="007D3F8E"/>
    <w:rsid w:val="007D4708"/>
    <w:rsid w:val="007D4B77"/>
    <w:rsid w:val="007D5BC0"/>
    <w:rsid w:val="007D6321"/>
    <w:rsid w:val="007D71B4"/>
    <w:rsid w:val="007D77B2"/>
    <w:rsid w:val="007D7B7B"/>
    <w:rsid w:val="007E0809"/>
    <w:rsid w:val="007E12A1"/>
    <w:rsid w:val="007E7814"/>
    <w:rsid w:val="007F0A2E"/>
    <w:rsid w:val="007F1052"/>
    <w:rsid w:val="007F49BB"/>
    <w:rsid w:val="007F4BFE"/>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0403"/>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2EF"/>
    <w:rsid w:val="00A77F8A"/>
    <w:rsid w:val="00A80881"/>
    <w:rsid w:val="00A82FEA"/>
    <w:rsid w:val="00A8408D"/>
    <w:rsid w:val="00A9472C"/>
    <w:rsid w:val="00AA0A77"/>
    <w:rsid w:val="00AA1317"/>
    <w:rsid w:val="00AA4A78"/>
    <w:rsid w:val="00AA5259"/>
    <w:rsid w:val="00AA542A"/>
    <w:rsid w:val="00AA7BFD"/>
    <w:rsid w:val="00AA7CF3"/>
    <w:rsid w:val="00AB0454"/>
    <w:rsid w:val="00AB0640"/>
    <w:rsid w:val="00AB1D20"/>
    <w:rsid w:val="00AB4A79"/>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AF5DC8"/>
    <w:rsid w:val="00B008C0"/>
    <w:rsid w:val="00B03DFF"/>
    <w:rsid w:val="00B0598C"/>
    <w:rsid w:val="00B05C4B"/>
    <w:rsid w:val="00B05D21"/>
    <w:rsid w:val="00B10D6F"/>
    <w:rsid w:val="00B124AA"/>
    <w:rsid w:val="00B17C67"/>
    <w:rsid w:val="00B2081E"/>
    <w:rsid w:val="00B219FF"/>
    <w:rsid w:val="00B227C4"/>
    <w:rsid w:val="00B229A7"/>
    <w:rsid w:val="00B23112"/>
    <w:rsid w:val="00B23A76"/>
    <w:rsid w:val="00B269D8"/>
    <w:rsid w:val="00B26FFA"/>
    <w:rsid w:val="00B36A6C"/>
    <w:rsid w:val="00B40B55"/>
    <w:rsid w:val="00B412E2"/>
    <w:rsid w:val="00B415F0"/>
    <w:rsid w:val="00B421BD"/>
    <w:rsid w:val="00B429A5"/>
    <w:rsid w:val="00B4627C"/>
    <w:rsid w:val="00B47959"/>
    <w:rsid w:val="00B500C3"/>
    <w:rsid w:val="00B50C53"/>
    <w:rsid w:val="00B50DD5"/>
    <w:rsid w:val="00B52F4E"/>
    <w:rsid w:val="00B544F0"/>
    <w:rsid w:val="00B545A7"/>
    <w:rsid w:val="00B60382"/>
    <w:rsid w:val="00B6158F"/>
    <w:rsid w:val="00B6260C"/>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DAD"/>
    <w:rsid w:val="00BE41A3"/>
    <w:rsid w:val="00BE546A"/>
    <w:rsid w:val="00BE5D68"/>
    <w:rsid w:val="00BE62EA"/>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1A6F"/>
    <w:rsid w:val="00C320EC"/>
    <w:rsid w:val="00C331DC"/>
    <w:rsid w:val="00C338DB"/>
    <w:rsid w:val="00C33B68"/>
    <w:rsid w:val="00C3580C"/>
    <w:rsid w:val="00C3645D"/>
    <w:rsid w:val="00C37602"/>
    <w:rsid w:val="00C413F4"/>
    <w:rsid w:val="00C47C47"/>
    <w:rsid w:val="00C521FE"/>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0CB"/>
    <w:rsid w:val="00C80386"/>
    <w:rsid w:val="00C8108C"/>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084"/>
    <w:rsid w:val="00D65680"/>
    <w:rsid w:val="00D6604C"/>
    <w:rsid w:val="00D66756"/>
    <w:rsid w:val="00D67BAD"/>
    <w:rsid w:val="00D729A5"/>
    <w:rsid w:val="00D72ECB"/>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D7785"/>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20527"/>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05D3"/>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9DA"/>
    <w:rsid w:val="00E913FF"/>
    <w:rsid w:val="00E92284"/>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1D05"/>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610"/>
    <w:rsid w:val="00F41878"/>
    <w:rsid w:val="00F4630D"/>
    <w:rsid w:val="00F4695B"/>
    <w:rsid w:val="00F46A3F"/>
    <w:rsid w:val="00F47518"/>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335D1"/>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semiHidden/>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uiPriority w:val="99"/>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uiPriority w:val="99"/>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uiPriority w:val="34"/>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semiHidden/>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uiPriority w:val="99"/>
    <w:rsid w:val="008D187C"/>
    <w:rPr>
      <w:rFonts w:ascii="Arial" w:hAnsi="Arial" w:cs="Arial"/>
      <w:i/>
      <w:sz w:val="16"/>
      <w:lang w:val="es-ES" w:eastAsia="es-ES"/>
    </w:rPr>
  </w:style>
  <w:style w:type="paragraph" w:styleId="Listaconvietas">
    <w:name w:val="List Bullet"/>
    <w:basedOn w:val="Normal"/>
    <w:rsid w:val="008D187C"/>
    <w:pPr>
      <w:numPr>
        <w:numId w:val="4"/>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32002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070C-A19A-49DB-BC5E-03B0065A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Pages>
  <Words>2044</Words>
  <Characters>11242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92</cp:revision>
  <cp:lastPrinted>2018-12-05T17:10:00Z</cp:lastPrinted>
  <dcterms:created xsi:type="dcterms:W3CDTF">2018-05-02T21:37:00Z</dcterms:created>
  <dcterms:modified xsi:type="dcterms:W3CDTF">2018-12-12T16:47:00Z</dcterms:modified>
</cp:coreProperties>
</file>