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B77B04">
        <w:rPr>
          <w:rFonts w:ascii="Arial" w:hAnsi="Arial" w:cs="Arial"/>
          <w:b/>
          <w:bCs/>
          <w:iCs/>
          <w:sz w:val="26"/>
          <w:szCs w:val="22"/>
          <w:lang w:val="es-CR"/>
        </w:rPr>
        <w:t>009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C90F7F" w:rsidRPr="00AC372A"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C90F7F" w:rsidRPr="00AC372A" w:rsidRDefault="00C90F7F" w:rsidP="00C90F7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C90F7F" w:rsidRPr="00AC372A"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C90F7F" w:rsidRPr="00AC372A"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C90F7F" w:rsidRPr="00AC372A" w:rsidRDefault="00C90F7F" w:rsidP="00C90F7F">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C90F7F"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C90F7F" w:rsidRPr="00AC372A" w:rsidRDefault="00C90F7F" w:rsidP="00C90F7F">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C90F7F" w:rsidRPr="00024721" w:rsidRDefault="00C90F7F" w:rsidP="00C90F7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C90F7F" w:rsidRDefault="00C90F7F"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Dra. Hannia Rodríguez Mora, Directora Departamento de Recursos Humanos</w:t>
            </w:r>
          </w:p>
          <w:p w:rsidR="00C90F7F" w:rsidRDefault="00C90F7F"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MAU. Tatiana Fernández Martín, Directora Oficina de Planificación Institucional</w:t>
            </w:r>
          </w:p>
          <w:p w:rsidR="00C90F7F" w:rsidRDefault="00C90F7F"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Ing. Andrea Cavero Quesada, Secretaria General AFITEC </w:t>
            </w:r>
          </w:p>
          <w:p w:rsidR="00C90F7F" w:rsidRDefault="00C90F7F"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Licda. Grettel Ortiz Álvarez, Directora Oficina de Asesoría Legal</w:t>
            </w:r>
          </w:p>
          <w:p w:rsidR="005E0359" w:rsidRDefault="005E0359" w:rsidP="00C90F7F">
            <w:pPr>
              <w:ind w:left="30" w:hanging="30"/>
              <w:jc w:val="both"/>
              <w:rPr>
                <w:rFonts w:ascii="Arial" w:hAnsi="Arial" w:cs="Arial"/>
                <w:sz w:val="22"/>
                <w:szCs w:val="22"/>
                <w:lang w:val="es-ES_tradnl"/>
              </w:rPr>
            </w:pPr>
            <w:r>
              <w:rPr>
                <w:rFonts w:ascii="Arial" w:hAnsi="Arial" w:cs="Arial"/>
                <w:sz w:val="22"/>
                <w:szCs w:val="22"/>
                <w:lang w:val="es-ES_tradnl"/>
              </w:rPr>
              <w:t xml:space="preserve"> </w:t>
            </w:r>
          </w:p>
          <w:p w:rsidR="00BE62EA" w:rsidRPr="00F548D2" w:rsidRDefault="00BE62EA" w:rsidP="00171957">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61D4"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23</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e</w:t>
            </w:r>
            <w:r>
              <w:rPr>
                <w:rFonts w:ascii="Arial" w:eastAsia="Cambria" w:hAnsi="Arial" w:cs="Arial"/>
                <w:b/>
                <w:sz w:val="22"/>
                <w:szCs w:val="22"/>
                <w:lang w:val="es-ES_tradnl" w:eastAsia="en-US"/>
              </w:rPr>
              <w:t>nero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AA61D4">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AA61D4">
              <w:rPr>
                <w:rFonts w:ascii="Arial" w:eastAsia="Calibri" w:hAnsi="Arial" w:cs="Arial"/>
                <w:b/>
                <w:sz w:val="22"/>
                <w:szCs w:val="22"/>
              </w:rPr>
              <w:t>3</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CE015E">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A61D4">
              <w:rPr>
                <w:rFonts w:ascii="Arial" w:eastAsia="Calibri" w:hAnsi="Arial" w:cs="Arial"/>
                <w:b/>
                <w:sz w:val="22"/>
                <w:szCs w:val="22"/>
              </w:rPr>
              <w:t>23</w:t>
            </w:r>
            <w:r w:rsidR="00BE62EA">
              <w:rPr>
                <w:rFonts w:ascii="Arial" w:eastAsia="Calibri" w:hAnsi="Arial" w:cs="Arial"/>
                <w:b/>
                <w:sz w:val="22"/>
                <w:szCs w:val="22"/>
              </w:rPr>
              <w:t xml:space="preserve"> de e</w:t>
            </w:r>
            <w:r w:rsidR="00AA61D4">
              <w:rPr>
                <w:rFonts w:ascii="Arial" w:eastAsia="Calibri" w:hAnsi="Arial" w:cs="Arial"/>
                <w:b/>
                <w:sz w:val="22"/>
                <w:szCs w:val="22"/>
              </w:rPr>
              <w:t>nero</w:t>
            </w:r>
            <w:r w:rsidR="00BE62EA">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AA61D4" w:rsidRPr="00AA61D4">
              <w:rPr>
                <w:rFonts w:ascii="Arial" w:eastAsia="Calibri" w:hAnsi="Arial" w:cs="Arial"/>
                <w:b/>
                <w:bCs/>
                <w:sz w:val="22"/>
                <w:szCs w:val="22"/>
                <w:lang w:val="es-CR" w:eastAsia="es-CR"/>
              </w:rPr>
              <w:t>Modificación al Reglamento de Evaluación del Desempeño Académico del Instituto Tecnológico de Costa Rica, Capítulo 7: Recursos de Revocatoria y Apelación para la Evaluación del Superior Jerárquico, Artículo 26 y Normas y Procedimientos de Evaluación Docente, Capítulo 6: Recursos de Revocatoria y Apelación para la Evaluación Docente contra la Evaluación de los Estudiantes, Artículo 19</w:t>
            </w:r>
            <w:r w:rsidR="00AA61D4">
              <w:rPr>
                <w:rFonts w:ascii="Arial" w:eastAsia="Calibri" w:hAnsi="Arial" w:cs="Arial"/>
                <w:b/>
                <w:bCs/>
                <w:sz w:val="22"/>
                <w:szCs w:val="22"/>
                <w:lang w:val="es-CR" w:eastAsia="es-CR"/>
              </w:rPr>
              <w:t>.</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102531" w:rsidRPr="00102531" w:rsidRDefault="00102531" w:rsidP="00102531">
      <w:pPr>
        <w:tabs>
          <w:tab w:val="left" w:pos="3070"/>
        </w:tabs>
        <w:jc w:val="both"/>
        <w:rPr>
          <w:rFonts w:ascii="Arial" w:eastAsia="Arial" w:hAnsi="Arial" w:cs="Arial"/>
          <w:b/>
          <w:lang w:val="es-CR" w:eastAsia="es-CR"/>
        </w:rPr>
      </w:pPr>
      <w:r w:rsidRPr="00102531">
        <w:rPr>
          <w:rFonts w:ascii="Arial" w:eastAsia="Arial" w:hAnsi="Arial" w:cs="Arial"/>
          <w:b/>
          <w:lang w:val="es-CR" w:eastAsia="es-CR"/>
        </w:rPr>
        <w:t>RESULTANDO QUE:</w:t>
      </w:r>
    </w:p>
    <w:p w:rsidR="00102531" w:rsidRPr="00102531" w:rsidRDefault="00102531" w:rsidP="00102531">
      <w:pPr>
        <w:tabs>
          <w:tab w:val="left" w:pos="3070"/>
        </w:tabs>
        <w:jc w:val="both"/>
        <w:rPr>
          <w:rFonts w:ascii="Arial" w:eastAsia="Arial" w:hAnsi="Arial" w:cs="Arial"/>
          <w:b/>
          <w:lang w:val="es-CR" w:eastAsia="es-CR"/>
        </w:rPr>
      </w:pPr>
    </w:p>
    <w:p w:rsidR="00102531" w:rsidRPr="00102531" w:rsidRDefault="00102531" w:rsidP="00102531">
      <w:pPr>
        <w:numPr>
          <w:ilvl w:val="0"/>
          <w:numId w:val="38"/>
        </w:numPr>
        <w:pBdr>
          <w:top w:val="nil"/>
          <w:left w:val="nil"/>
          <w:bottom w:val="nil"/>
          <w:right w:val="nil"/>
          <w:between w:val="nil"/>
        </w:pBdr>
        <w:ind w:left="360"/>
        <w:jc w:val="both"/>
        <w:rPr>
          <w:color w:val="000000"/>
          <w:lang w:val="es-CR" w:eastAsia="es-CR"/>
        </w:rPr>
      </w:pPr>
      <w:r w:rsidRPr="00102531">
        <w:rPr>
          <w:rFonts w:ascii="Arial" w:eastAsia="Arial" w:hAnsi="Arial" w:cs="Arial"/>
          <w:color w:val="000000"/>
          <w:lang w:val="es-CR" w:eastAsia="es-CR"/>
        </w:rPr>
        <w:t>El inciso f del Artículo 18, del Estatuto Orgánico del ITCR, establece:</w:t>
      </w:r>
    </w:p>
    <w:p w:rsidR="00102531" w:rsidRPr="00102531" w:rsidRDefault="00102531" w:rsidP="00102531">
      <w:pPr>
        <w:ind w:left="284"/>
        <w:jc w:val="both"/>
        <w:rPr>
          <w:rFonts w:ascii="Arial" w:eastAsia="Arial" w:hAnsi="Arial" w:cs="Arial"/>
          <w:sz w:val="20"/>
          <w:szCs w:val="20"/>
          <w:lang w:val="es-CR" w:eastAsia="es-CR"/>
        </w:rPr>
      </w:pPr>
    </w:p>
    <w:p w:rsidR="00102531" w:rsidRPr="00102531" w:rsidRDefault="00102531" w:rsidP="00102531">
      <w:pPr>
        <w:ind w:left="709" w:right="284"/>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“Son funciones del Consejo Institucional:</w:t>
      </w:r>
    </w:p>
    <w:p w:rsidR="00102531" w:rsidRPr="00102531" w:rsidRDefault="00102531" w:rsidP="00102531">
      <w:pPr>
        <w:ind w:left="709" w:right="284"/>
        <w:jc w:val="both"/>
        <w:rPr>
          <w:rFonts w:ascii="Arial" w:eastAsia="Arial" w:hAnsi="Arial" w:cs="Arial"/>
          <w:i/>
          <w:sz w:val="22"/>
          <w:szCs w:val="22"/>
          <w:lang w:val="es-CR" w:eastAsia="es-CR"/>
        </w:rPr>
      </w:pPr>
    </w:p>
    <w:p w:rsidR="00102531" w:rsidRPr="00102531" w:rsidRDefault="00102531" w:rsidP="00102531">
      <w:pPr>
        <w:ind w:left="993" w:right="284" w:hanging="28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102531" w:rsidRPr="00102531" w:rsidRDefault="00102531" w:rsidP="00102531">
      <w:pPr>
        <w:ind w:left="1320" w:hanging="1320"/>
        <w:jc w:val="both"/>
        <w:rPr>
          <w:rFonts w:ascii="Arial" w:eastAsia="Arial" w:hAnsi="Arial" w:cs="Arial"/>
          <w:lang w:val="es-CR" w:eastAsia="es-CR"/>
        </w:rPr>
      </w:pPr>
    </w:p>
    <w:p w:rsidR="00102531" w:rsidRPr="00102531" w:rsidRDefault="00102531" w:rsidP="00102531">
      <w:pPr>
        <w:ind w:left="993" w:right="618" w:hanging="426"/>
        <w:jc w:val="both"/>
        <w:rPr>
          <w:i/>
          <w:sz w:val="20"/>
          <w:szCs w:val="20"/>
          <w:lang w:val="es-CR" w:eastAsia="es-CR"/>
        </w:rPr>
      </w:pPr>
    </w:p>
    <w:p w:rsidR="00102531" w:rsidRPr="00102531" w:rsidRDefault="00102531" w:rsidP="00102531">
      <w:pPr>
        <w:numPr>
          <w:ilvl w:val="0"/>
          <w:numId w:val="38"/>
        </w:numPr>
        <w:pBdr>
          <w:top w:val="nil"/>
          <w:left w:val="nil"/>
          <w:bottom w:val="nil"/>
          <w:right w:val="nil"/>
          <w:between w:val="nil"/>
        </w:pBdr>
        <w:ind w:left="567"/>
        <w:jc w:val="both"/>
        <w:rPr>
          <w:color w:val="000000"/>
          <w:lang w:val="es-CR" w:eastAsia="es-CR"/>
        </w:rPr>
      </w:pPr>
      <w:r w:rsidRPr="00102531">
        <w:rPr>
          <w:rFonts w:ascii="Arial" w:eastAsia="Arial" w:hAnsi="Arial" w:cs="Arial"/>
          <w:color w:val="000000"/>
          <w:lang w:val="es-CR" w:eastAsia="es-CR"/>
        </w:rPr>
        <w:t xml:space="preserve">El artículo 3 de la Segunda Convención Colectiva de Trabajo y sus Reformas, indica: </w:t>
      </w:r>
    </w:p>
    <w:p w:rsidR="00102531" w:rsidRPr="00102531" w:rsidRDefault="00102531" w:rsidP="00102531">
      <w:pPr>
        <w:pBdr>
          <w:top w:val="nil"/>
          <w:left w:val="nil"/>
          <w:bottom w:val="nil"/>
          <w:right w:val="nil"/>
          <w:between w:val="nil"/>
        </w:pBdr>
        <w:spacing w:before="120"/>
        <w:ind w:left="708"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lastRenderedPageBreak/>
        <w:t>“…</w:t>
      </w:r>
    </w:p>
    <w:p w:rsidR="00102531" w:rsidRPr="00102531" w:rsidRDefault="00102531" w:rsidP="00102531">
      <w:pPr>
        <w:pBdr>
          <w:top w:val="nil"/>
          <w:left w:val="nil"/>
          <w:bottom w:val="nil"/>
          <w:right w:val="nil"/>
          <w:between w:val="nil"/>
        </w:pBdr>
        <w:spacing w:before="120"/>
        <w:ind w:left="708"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Antes de la emisión de disposiciones de carácter general por parte del Instituto, que incidan en las condiciones y relaciones de trabajo, éste dará audiencia a la AFITEC por un plazo de 10 días hábiles, para que emita su criterio.  Una vez vencido el término anterior y de ser aprobada la disposición correspondiente, se procederá al cumplimiento de lo dispuesto por el artículo 48 de la presente Convención Colectiva de Trabajo.  La obligación del Instituto de conferir la audiencia al Sindicato se dará siempre que no se presenten motivos de urgencia o emergencia, en cuyo caso se conferirá la audiencia por un plazo no inferior a un día hábil; en tal caso los motivos indicados deberán ser consignados en la respectiva resolución.”</w:t>
      </w:r>
    </w:p>
    <w:p w:rsidR="00102531" w:rsidRPr="00102531" w:rsidRDefault="00102531" w:rsidP="00102531">
      <w:pPr>
        <w:tabs>
          <w:tab w:val="left" w:pos="3070"/>
        </w:tabs>
        <w:jc w:val="both"/>
        <w:rPr>
          <w:rFonts w:ascii="Arial" w:eastAsia="Arial" w:hAnsi="Arial" w:cs="Arial"/>
          <w:b/>
          <w:lang w:val="es-CR" w:eastAsia="es-CR"/>
        </w:rPr>
      </w:pPr>
    </w:p>
    <w:p w:rsidR="00102531" w:rsidRPr="00102531" w:rsidRDefault="00102531" w:rsidP="00102531">
      <w:pPr>
        <w:numPr>
          <w:ilvl w:val="0"/>
          <w:numId w:val="38"/>
        </w:numPr>
        <w:pBdr>
          <w:top w:val="nil"/>
          <w:left w:val="nil"/>
          <w:bottom w:val="nil"/>
          <w:right w:val="nil"/>
          <w:between w:val="nil"/>
        </w:pBdr>
        <w:ind w:left="567"/>
        <w:jc w:val="both"/>
        <w:rPr>
          <w:color w:val="000000"/>
          <w:lang w:val="es-CR" w:eastAsia="es-CR"/>
        </w:rPr>
      </w:pPr>
      <w:r w:rsidRPr="00102531">
        <w:rPr>
          <w:rFonts w:ascii="Arial" w:eastAsia="Arial" w:hAnsi="Arial" w:cs="Arial"/>
          <w:color w:val="000000"/>
          <w:lang w:val="es-CR" w:eastAsia="es-CR"/>
        </w:rPr>
        <w:t xml:space="preserve">La Secretaría del Consejo Institucional, recibe el oficio RH-919-2018, con fecha de recibido 13 de setiembre de 2018, suscrito por la Dra. Hannia Rodríguez Mora, Directora del Departamento de Recursos Humanos, dirigido al Dr. Julio Calvo </w:t>
      </w:r>
      <w:r w:rsidRPr="00102531">
        <w:rPr>
          <w:rFonts w:ascii="Arial" w:eastAsia="Arial" w:hAnsi="Arial" w:cs="Arial"/>
          <w:lang w:val="es-CR" w:eastAsia="es-CR"/>
        </w:rPr>
        <w:t>Alvarado, Presidente del Consejo Institucional, en el cual remite la propuesta de modificación al Reglamento de Evaluación del Desempeño del ITCR, en los siguientes términos:</w:t>
      </w:r>
    </w:p>
    <w:p w:rsidR="00102531" w:rsidRPr="00102531" w:rsidRDefault="00102531" w:rsidP="00102531">
      <w:pPr>
        <w:pBdr>
          <w:top w:val="nil"/>
          <w:left w:val="nil"/>
          <w:bottom w:val="nil"/>
          <w:right w:val="nil"/>
          <w:between w:val="nil"/>
        </w:pBdr>
        <w:jc w:val="both"/>
        <w:rPr>
          <w:rFonts w:ascii="Arial" w:eastAsia="Arial" w:hAnsi="Arial" w:cs="Arial"/>
          <w:color w:val="000000"/>
          <w:lang w:val="es-CR" w:eastAsia="es-CR"/>
        </w:rPr>
      </w:pPr>
    </w:p>
    <w:p w:rsidR="00102531" w:rsidRPr="00102531" w:rsidRDefault="00102531" w:rsidP="00102531">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“Como resultado de la revisión normativa que está realizando el Departamento de Recursos Humanos, atinente a los procesos de la gestión del talento humano del Tecnológico de Costa Rica, se presenta la siguiente solicitud de modificación normativa para que por favor se proceda de conformidad.</w:t>
      </w:r>
    </w:p>
    <w:p w:rsidR="00102531" w:rsidRPr="00102531" w:rsidRDefault="00102531" w:rsidP="00102531">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RESULTANDO QUE:</w:t>
      </w:r>
    </w:p>
    <w:p w:rsidR="00102531" w:rsidRPr="00102531" w:rsidRDefault="00102531" w:rsidP="00102531">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Estatuto Orgánico del ITCR, en su artículo 26, inciso o, establece:</w:t>
      </w:r>
    </w:p>
    <w:p w:rsidR="00102531" w:rsidRPr="00102531" w:rsidRDefault="00102531" w:rsidP="00102531">
      <w:pPr>
        <w:numPr>
          <w:ilvl w:val="0"/>
          <w:numId w:val="41"/>
        </w:numPr>
        <w:spacing w:before="100" w:beforeAutospacing="1" w:after="100" w:afterAutospacing="1"/>
        <w:ind w:left="709" w:firstLine="0"/>
        <w:rPr>
          <w:rFonts w:ascii="Arial" w:hAnsi="Arial" w:cs="Arial"/>
          <w:b/>
          <w:i/>
          <w:color w:val="111111"/>
          <w:sz w:val="22"/>
          <w:lang w:eastAsia="es-CR"/>
        </w:rPr>
      </w:pPr>
      <w:r w:rsidRPr="00102531">
        <w:rPr>
          <w:rFonts w:ascii="Arial" w:hAnsi="Arial" w:cs="Arial"/>
          <w:b/>
          <w:i/>
          <w:color w:val="111111"/>
          <w:sz w:val="22"/>
          <w:lang w:eastAsia="es-CR"/>
        </w:rPr>
        <w:t xml:space="preserve">Son funciones del Rector: </w:t>
      </w:r>
    </w:p>
    <w:p w:rsidR="00102531" w:rsidRPr="00102531" w:rsidRDefault="00102531" w:rsidP="00102531">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w:t>
      </w:r>
    </w:p>
    <w:p w:rsidR="00102531" w:rsidRPr="00102531" w:rsidRDefault="00102531" w:rsidP="00102531">
      <w:pPr>
        <w:tabs>
          <w:tab w:val="left" w:pos="8640"/>
        </w:tabs>
        <w:ind w:left="720" w:right="-136"/>
        <w:jc w:val="both"/>
        <w:rPr>
          <w:rFonts w:ascii="Arial" w:hAnsi="Arial" w:cs="Arial"/>
          <w:i/>
          <w:sz w:val="22"/>
          <w:lang w:eastAsia="es-CR"/>
        </w:rPr>
      </w:pPr>
      <w:r w:rsidRPr="00102531">
        <w:rPr>
          <w:rFonts w:ascii="Arial" w:hAnsi="Arial" w:cs="Arial"/>
          <w:b/>
          <w:i/>
          <w:color w:val="111111"/>
          <w:sz w:val="22"/>
          <w:lang w:eastAsia="es-CR"/>
        </w:rPr>
        <w:t>o. Agotar la vía administrativa en materia laboral</w:t>
      </w:r>
    </w:p>
    <w:p w:rsidR="00102531" w:rsidRPr="00102531" w:rsidRDefault="00102531" w:rsidP="00102531">
      <w:pPr>
        <w:tabs>
          <w:tab w:val="left" w:pos="8640"/>
        </w:tabs>
        <w:ind w:left="720" w:right="-136"/>
        <w:jc w:val="both"/>
        <w:rPr>
          <w:rFonts w:ascii="Arial" w:hAnsi="Arial" w:cs="Arial"/>
          <w:i/>
          <w:sz w:val="22"/>
          <w:lang w:eastAsia="es-CR"/>
        </w:rPr>
      </w:pPr>
    </w:p>
    <w:p w:rsidR="00102531" w:rsidRPr="00102531" w:rsidRDefault="00102531" w:rsidP="00102531">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Estatuto Orgánico del ITCR, en su artículo 50 bis, apartado 2, inciso f, establece:</w:t>
      </w:r>
    </w:p>
    <w:p w:rsidR="00102531" w:rsidRPr="00102531" w:rsidRDefault="00102531" w:rsidP="00102531">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eastAsia="es-CR"/>
        </w:rPr>
        <w:t>Son funciones del Consejo de Área:</w:t>
      </w:r>
    </w:p>
    <w:p w:rsidR="00102531" w:rsidRPr="00102531" w:rsidRDefault="00102531" w:rsidP="00102531">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w:t>
      </w:r>
    </w:p>
    <w:p w:rsidR="00102531" w:rsidRPr="00102531" w:rsidRDefault="00102531" w:rsidP="00102531">
      <w:pPr>
        <w:tabs>
          <w:tab w:val="left" w:pos="8640"/>
        </w:tabs>
        <w:ind w:left="709" w:right="-136"/>
        <w:jc w:val="both"/>
        <w:rPr>
          <w:rFonts w:ascii="Arial" w:hAnsi="Arial" w:cs="Arial"/>
          <w:b/>
          <w:i/>
          <w:color w:val="111111"/>
          <w:sz w:val="22"/>
          <w:lang w:eastAsia="es-CR"/>
        </w:rPr>
      </w:pPr>
      <w:r w:rsidRPr="00102531">
        <w:rPr>
          <w:rFonts w:ascii="Arial" w:hAnsi="Arial" w:cs="Arial"/>
          <w:b/>
          <w:i/>
          <w:color w:val="111111"/>
          <w:sz w:val="22"/>
          <w:lang w:eastAsia="es-CR"/>
        </w:rPr>
        <w:t>f. Resolver los recursos de apelación contra las resoluciones en materia académica del coordinador de área.</w:t>
      </w:r>
    </w:p>
    <w:p w:rsidR="00102531" w:rsidRPr="00102531" w:rsidRDefault="00102531" w:rsidP="00102531">
      <w:pPr>
        <w:tabs>
          <w:tab w:val="left" w:pos="8640"/>
        </w:tabs>
        <w:ind w:left="720" w:right="-136"/>
        <w:jc w:val="both"/>
        <w:rPr>
          <w:rFonts w:ascii="Arial" w:hAnsi="Arial" w:cs="Arial"/>
          <w:i/>
          <w:sz w:val="22"/>
          <w:lang w:eastAsia="es-CR"/>
        </w:rPr>
      </w:pPr>
    </w:p>
    <w:p w:rsidR="00102531" w:rsidRPr="00102531" w:rsidRDefault="00102531" w:rsidP="00102531">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Estatuto Orgánico del ITCR, en su artículo 56, inciso d, indica:</w:t>
      </w:r>
    </w:p>
    <w:p w:rsidR="00102531" w:rsidRPr="00102531" w:rsidRDefault="00102531" w:rsidP="00102531">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Son atribuciones del Consejo de Departamento Académico:</w:t>
      </w:r>
    </w:p>
    <w:p w:rsidR="00102531" w:rsidRPr="00102531" w:rsidRDefault="00102531" w:rsidP="00102531">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w:t>
      </w:r>
    </w:p>
    <w:p w:rsidR="00102531" w:rsidRPr="00102531" w:rsidRDefault="00102531" w:rsidP="00102531">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d. Resolver los recursos de apelación contra las resoluciones en materia académica del Director de Departamento.</w:t>
      </w:r>
    </w:p>
    <w:p w:rsidR="00102531" w:rsidRPr="00102531" w:rsidRDefault="00102531" w:rsidP="00102531">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Estatuto Orgánico del ITCR, en su artículo 83-bis 4, apartado 2, inciso c, indica:</w:t>
      </w:r>
    </w:p>
    <w:p w:rsidR="00102531" w:rsidRPr="00102531" w:rsidRDefault="00102531" w:rsidP="00102531">
      <w:pPr>
        <w:numPr>
          <w:ilvl w:val="0"/>
          <w:numId w:val="41"/>
        </w:numPr>
        <w:spacing w:before="100" w:beforeAutospacing="1" w:after="100" w:afterAutospacing="1"/>
        <w:ind w:left="709" w:firstLine="0"/>
        <w:rPr>
          <w:rFonts w:ascii="Arial" w:hAnsi="Arial" w:cs="Arial"/>
          <w:b/>
          <w:i/>
          <w:color w:val="111111"/>
          <w:sz w:val="22"/>
          <w:lang w:eastAsia="es-CR"/>
        </w:rPr>
      </w:pPr>
      <w:r w:rsidRPr="00102531">
        <w:rPr>
          <w:rFonts w:ascii="Arial" w:hAnsi="Arial" w:cs="Arial"/>
          <w:b/>
          <w:i/>
          <w:color w:val="111111"/>
          <w:sz w:val="22"/>
          <w:lang w:eastAsia="es-CR"/>
        </w:rPr>
        <w:t xml:space="preserve">Son funciones del Consejo de Unidad desconcentrada: </w:t>
      </w:r>
    </w:p>
    <w:p w:rsidR="00102531" w:rsidRPr="00102531" w:rsidRDefault="00102531" w:rsidP="00102531">
      <w:pPr>
        <w:numPr>
          <w:ilvl w:val="0"/>
          <w:numId w:val="41"/>
        </w:numPr>
        <w:spacing w:before="100" w:beforeAutospacing="1" w:after="100" w:afterAutospacing="1"/>
        <w:ind w:left="709" w:firstLine="0"/>
        <w:rPr>
          <w:rFonts w:ascii="Arial" w:hAnsi="Arial" w:cs="Arial"/>
          <w:b/>
          <w:i/>
          <w:color w:val="111111"/>
          <w:sz w:val="22"/>
          <w:lang w:val="es-CR" w:eastAsia="es-CR"/>
        </w:rPr>
      </w:pPr>
      <w:r w:rsidRPr="00102531">
        <w:rPr>
          <w:rFonts w:ascii="Arial" w:hAnsi="Arial" w:cs="Arial"/>
          <w:b/>
          <w:i/>
          <w:color w:val="111111"/>
          <w:sz w:val="22"/>
          <w:lang w:val="es-CR" w:eastAsia="es-CR"/>
        </w:rPr>
        <w:t>(…)</w:t>
      </w:r>
    </w:p>
    <w:p w:rsidR="00102531" w:rsidRPr="00102531" w:rsidRDefault="00102531" w:rsidP="00102531">
      <w:pPr>
        <w:numPr>
          <w:ilvl w:val="0"/>
          <w:numId w:val="41"/>
        </w:numPr>
        <w:spacing w:before="100" w:beforeAutospacing="1" w:after="100" w:afterAutospacing="1"/>
        <w:ind w:left="709" w:firstLine="0"/>
        <w:jc w:val="both"/>
        <w:rPr>
          <w:rFonts w:ascii="Arial" w:hAnsi="Arial" w:cs="Arial"/>
          <w:b/>
          <w:i/>
          <w:color w:val="111111"/>
          <w:sz w:val="22"/>
          <w:lang w:eastAsia="es-CR"/>
        </w:rPr>
      </w:pPr>
      <w:r w:rsidRPr="00102531">
        <w:rPr>
          <w:rFonts w:ascii="Arial" w:hAnsi="Arial" w:cs="Arial"/>
          <w:b/>
          <w:i/>
          <w:color w:val="111111"/>
          <w:sz w:val="22"/>
          <w:lang w:eastAsia="es-CR"/>
        </w:rPr>
        <w:lastRenderedPageBreak/>
        <w:t>c. Analizar y resolver los recursos de apelación contra las resoluciones en materia académica del Coordinador de la Unidad desconcentrada.</w:t>
      </w:r>
    </w:p>
    <w:p w:rsidR="00102531" w:rsidRPr="00102531" w:rsidRDefault="00102531" w:rsidP="00102531">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Reglamento de Evaluación del Desempeño Académico, en el capítulo 7. Recursos de Revocatoria Y Apelación para la Evaluación contra la Evaluación del Superior Jerárquico, artículo 26, establece:</w:t>
      </w:r>
    </w:p>
    <w:p w:rsidR="00102531" w:rsidRPr="00102531" w:rsidRDefault="00102531" w:rsidP="00102531">
      <w:pPr>
        <w:tabs>
          <w:tab w:val="left" w:pos="8640"/>
        </w:tabs>
        <w:ind w:right="-136"/>
        <w:jc w:val="both"/>
        <w:rPr>
          <w:rFonts w:ascii="Arial" w:hAnsi="Arial" w:cs="Arial"/>
          <w:b/>
          <w:i/>
          <w:color w:val="111111"/>
          <w:sz w:val="22"/>
          <w:lang w:eastAsia="es-CR"/>
        </w:rPr>
      </w:pPr>
    </w:p>
    <w:p w:rsidR="00102531" w:rsidRPr="00102531" w:rsidRDefault="00102531" w:rsidP="00102531">
      <w:pPr>
        <w:tabs>
          <w:tab w:val="left" w:pos="8640"/>
        </w:tabs>
        <w:ind w:left="709" w:right="-136"/>
        <w:jc w:val="both"/>
        <w:rPr>
          <w:rFonts w:ascii="Arial" w:hAnsi="Arial" w:cs="Arial"/>
          <w:b/>
          <w:i/>
          <w:color w:val="111111"/>
          <w:sz w:val="22"/>
          <w:lang w:eastAsia="es-CR"/>
        </w:rPr>
      </w:pPr>
      <w:r w:rsidRPr="00102531">
        <w:rPr>
          <w:rFonts w:ascii="Arial" w:hAnsi="Arial" w:cs="Arial"/>
          <w:b/>
          <w:i/>
          <w:color w:val="111111"/>
          <w:sz w:val="22"/>
          <w:lang w:eastAsia="es-CR"/>
        </w:rPr>
        <w:t xml:space="preserve">En caso de una resolución negativa y que no sea satisfactoria para </w:t>
      </w:r>
      <w:proofErr w:type="spellStart"/>
      <w:r w:rsidRPr="00102531">
        <w:rPr>
          <w:rFonts w:ascii="Arial" w:hAnsi="Arial" w:cs="Arial"/>
          <w:b/>
          <w:i/>
          <w:color w:val="111111"/>
          <w:sz w:val="22"/>
          <w:lang w:eastAsia="es-CR"/>
        </w:rPr>
        <w:t>el</w:t>
      </w:r>
      <w:proofErr w:type="spellEnd"/>
      <w:r w:rsidRPr="00102531">
        <w:rPr>
          <w:rFonts w:ascii="Arial" w:hAnsi="Arial" w:cs="Arial"/>
          <w:b/>
          <w:i/>
          <w:color w:val="111111"/>
          <w:sz w:val="22"/>
          <w:lang w:eastAsia="es-CR"/>
        </w:rPr>
        <w:t xml:space="preserve"> o la docente, este podrá acudir ante el Consejo de Escuela, como segunda instancia resolutoria, dentro de los tres días hábiles posteriores a recibir la resolución escrita del director, el cual contará con 15 días naturales para resolver la apelación.</w:t>
      </w:r>
    </w:p>
    <w:p w:rsidR="00102531" w:rsidRPr="00102531" w:rsidRDefault="00102531" w:rsidP="00102531">
      <w:pPr>
        <w:tabs>
          <w:tab w:val="left" w:pos="8640"/>
        </w:tabs>
        <w:ind w:right="-136"/>
        <w:jc w:val="both"/>
        <w:rPr>
          <w:rFonts w:ascii="Arial" w:hAnsi="Arial" w:cs="Arial"/>
          <w:i/>
          <w:sz w:val="22"/>
          <w:lang w:eastAsia="es-CR"/>
        </w:rPr>
      </w:pPr>
    </w:p>
    <w:p w:rsidR="00102531" w:rsidRPr="00102531" w:rsidRDefault="00102531" w:rsidP="00102531">
      <w:pPr>
        <w:numPr>
          <w:ilvl w:val="0"/>
          <w:numId w:val="40"/>
        </w:numPr>
        <w:tabs>
          <w:tab w:val="left" w:pos="8640"/>
        </w:tabs>
        <w:ind w:right="-136"/>
        <w:jc w:val="both"/>
        <w:rPr>
          <w:rFonts w:ascii="Arial" w:hAnsi="Arial" w:cs="Arial"/>
          <w:i/>
          <w:sz w:val="22"/>
          <w:lang w:eastAsia="es-CR"/>
        </w:rPr>
      </w:pPr>
      <w:r w:rsidRPr="00102531">
        <w:rPr>
          <w:rFonts w:ascii="Arial" w:hAnsi="Arial" w:cs="Arial"/>
          <w:i/>
          <w:sz w:val="22"/>
          <w:lang w:eastAsia="es-CR"/>
        </w:rPr>
        <w:t>El Reglamento de Evaluación del Desempeño Académico, en las Normas y Procedimientos de Evaluación Docente, artículo 19, establece:</w:t>
      </w:r>
    </w:p>
    <w:p w:rsidR="00102531" w:rsidRPr="00102531" w:rsidRDefault="00102531" w:rsidP="00102531">
      <w:pPr>
        <w:tabs>
          <w:tab w:val="left" w:pos="8640"/>
        </w:tabs>
        <w:ind w:right="-136"/>
        <w:jc w:val="both"/>
        <w:rPr>
          <w:rFonts w:ascii="Arial" w:hAnsi="Arial" w:cs="Arial"/>
          <w:b/>
          <w:i/>
          <w:color w:val="111111"/>
          <w:sz w:val="22"/>
          <w:lang w:eastAsia="es-CR"/>
        </w:rPr>
      </w:pPr>
    </w:p>
    <w:p w:rsidR="00102531" w:rsidRPr="00102531" w:rsidRDefault="00102531" w:rsidP="00102531">
      <w:pPr>
        <w:tabs>
          <w:tab w:val="left" w:pos="8640"/>
        </w:tabs>
        <w:ind w:left="709" w:right="-136"/>
        <w:jc w:val="both"/>
        <w:rPr>
          <w:rFonts w:ascii="Arial" w:hAnsi="Arial" w:cs="Arial"/>
          <w:b/>
          <w:i/>
          <w:color w:val="111111"/>
          <w:sz w:val="22"/>
          <w:lang w:val="es-CR" w:eastAsia="es-CR"/>
        </w:rPr>
      </w:pPr>
      <w:r w:rsidRPr="00102531">
        <w:rPr>
          <w:rFonts w:ascii="Arial" w:hAnsi="Arial" w:cs="Arial"/>
          <w:b/>
          <w:i/>
          <w:color w:val="111111"/>
          <w:sz w:val="22"/>
          <w:lang w:val="es-CR" w:eastAsia="es-CR"/>
        </w:rPr>
        <w:t>En caso de rechazo del recurso de revocatoria ante el Director, el funcionario podrá apelar la evaluación ante el Consejo de Escuela. Contará con tres días hábiles para presentarla, a partir de la notificación del rechazo. Para hacerlo deberá cumplir con los mismos requerimientos establecidos en los artículos 123 y 126 de la Ley de Administración Pública.”</w:t>
      </w:r>
    </w:p>
    <w:p w:rsidR="00102531" w:rsidRPr="00102531" w:rsidRDefault="00102531" w:rsidP="00102531">
      <w:pPr>
        <w:tabs>
          <w:tab w:val="left" w:pos="8640"/>
        </w:tabs>
        <w:ind w:right="-136"/>
        <w:jc w:val="both"/>
        <w:rPr>
          <w:rFonts w:ascii="Arial" w:hAnsi="Arial" w:cs="Arial"/>
          <w:lang w:val="es-CR" w:eastAsia="es-CR"/>
        </w:rPr>
      </w:pPr>
    </w:p>
    <w:p w:rsidR="00102531" w:rsidRPr="00102531" w:rsidRDefault="00102531" w:rsidP="00102531">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CONSIDERANDO QUE:</w:t>
      </w:r>
    </w:p>
    <w:p w:rsidR="00102531" w:rsidRPr="00102531" w:rsidRDefault="00102531" w:rsidP="00102531">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Es ampliamente conocida la competencia otorgada en el Estatuto Orgánico del ITCR a los Consejos de Departamento Académico, Consejos de Unidad Descentralizada y Consejos de Área para resolver los recursos de apelación en materia académica que sean presentados por miembros de dicha instancia o dependencia.</w:t>
      </w:r>
    </w:p>
    <w:p w:rsidR="00102531" w:rsidRPr="00102531" w:rsidRDefault="00102531" w:rsidP="00102531">
      <w:pPr>
        <w:ind w:left="720"/>
        <w:contextualSpacing/>
        <w:jc w:val="both"/>
        <w:rPr>
          <w:rFonts w:ascii="Arial" w:eastAsia="Cambria" w:hAnsi="Arial" w:cs="Arial"/>
          <w:i/>
          <w:color w:val="000000"/>
          <w:sz w:val="22"/>
          <w:szCs w:val="22"/>
          <w:lang w:val="es-CR" w:eastAsia="es-CR"/>
        </w:rPr>
      </w:pPr>
    </w:p>
    <w:p w:rsidR="00102531" w:rsidRPr="00102531" w:rsidRDefault="00102531" w:rsidP="00102531">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A su vez, mediante el Reglamento de Evaluación del Desempeño se ha asignado a estas instancias como responsables de resolver en alzada los recursos de apelación que provengan del proceso de evaluación del desempeño docente.</w:t>
      </w:r>
    </w:p>
    <w:p w:rsidR="00102531" w:rsidRPr="00102531" w:rsidRDefault="00102531" w:rsidP="00102531">
      <w:pPr>
        <w:ind w:left="720"/>
        <w:contextualSpacing/>
        <w:rPr>
          <w:rFonts w:ascii="Arial" w:eastAsia="Cambria" w:hAnsi="Arial" w:cs="Arial"/>
          <w:i/>
          <w:color w:val="000000"/>
          <w:sz w:val="22"/>
          <w:szCs w:val="22"/>
          <w:lang w:val="es-CR" w:eastAsia="es-CR"/>
        </w:rPr>
      </w:pPr>
    </w:p>
    <w:p w:rsidR="00102531" w:rsidRPr="00102531" w:rsidRDefault="00102531" w:rsidP="00102531">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 xml:space="preserve">El proceso de evaluación del desempeño forma parte del engranaje propio de la labor administrativa de la gestión de las personas en la organización y su responsabilidad contractual con el Tecnológico de Costa Rica que funge como su empleador, siendo su finalidad primordial la mejora en el desempeño laboral y, por ende, es materia enteramente laboral. </w:t>
      </w:r>
    </w:p>
    <w:p w:rsidR="00102531" w:rsidRPr="00102531" w:rsidRDefault="00102531" w:rsidP="00102531">
      <w:pPr>
        <w:ind w:left="720"/>
        <w:contextualSpacing/>
        <w:rPr>
          <w:rFonts w:ascii="Arial" w:eastAsia="Cambria" w:hAnsi="Arial" w:cs="Arial"/>
          <w:i/>
          <w:color w:val="000000"/>
          <w:sz w:val="22"/>
          <w:szCs w:val="22"/>
          <w:lang w:val="es-CR" w:eastAsia="es-CR"/>
        </w:rPr>
      </w:pPr>
    </w:p>
    <w:p w:rsidR="00102531" w:rsidRPr="00102531" w:rsidRDefault="00102531" w:rsidP="00102531">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La instancia resolutoria de este tipo de recursos debería ser quien cumpla con el papel organizacional de superior jerárquico en materia administrativa, a quien se le confiere la competencia de resolver los diferentes aspectos en materia laboral.</w:t>
      </w:r>
    </w:p>
    <w:p w:rsidR="00102531" w:rsidRPr="00102531" w:rsidRDefault="00102531" w:rsidP="00102531">
      <w:pPr>
        <w:ind w:left="720"/>
        <w:contextualSpacing/>
        <w:rPr>
          <w:rFonts w:ascii="Arial" w:eastAsia="Cambria" w:hAnsi="Arial" w:cs="Arial"/>
          <w:i/>
          <w:color w:val="000000"/>
          <w:sz w:val="22"/>
          <w:szCs w:val="22"/>
          <w:lang w:val="es-CR" w:eastAsia="es-CR"/>
        </w:rPr>
      </w:pPr>
    </w:p>
    <w:p w:rsidR="00102531" w:rsidRPr="00102531" w:rsidRDefault="00102531" w:rsidP="00102531">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En el Instituto Tecnológico de Costa Rica, tal como lo indica el Estatuto Orgánico del ITCR. el Rector es quien agota la vía administrativa en materia laboral, por lo que las resoluciones de los recursos de apelación en esta materia deberían ser resueltos por quienes se encuentran en línea jerárquica con la Rectoría.</w:t>
      </w:r>
    </w:p>
    <w:p w:rsidR="00102531" w:rsidRPr="00102531" w:rsidRDefault="00102531" w:rsidP="00102531">
      <w:pPr>
        <w:ind w:left="720"/>
        <w:contextualSpacing/>
        <w:rPr>
          <w:rFonts w:ascii="Arial" w:eastAsia="Cambria" w:hAnsi="Arial" w:cs="Arial"/>
          <w:i/>
          <w:color w:val="000000"/>
          <w:sz w:val="22"/>
          <w:szCs w:val="22"/>
          <w:lang w:val="es-CR" w:eastAsia="es-CR"/>
        </w:rPr>
      </w:pPr>
    </w:p>
    <w:p w:rsidR="00102531" w:rsidRPr="00102531" w:rsidRDefault="00102531" w:rsidP="00102531">
      <w:pPr>
        <w:numPr>
          <w:ilvl w:val="0"/>
          <w:numId w:val="42"/>
        </w:numPr>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De conformidad con lo anterior, el Vicerrector de Docencia es quien cumple con lo dispuesto para resolver los recursos de apelación presentados sobre este tipo de procesos.</w:t>
      </w:r>
    </w:p>
    <w:p w:rsidR="00102531" w:rsidRDefault="00102531" w:rsidP="00102531">
      <w:pPr>
        <w:ind w:left="708"/>
        <w:rPr>
          <w:rFonts w:ascii="Arial" w:hAnsi="Arial" w:cs="Arial"/>
          <w:i/>
          <w:lang w:eastAsia="es-CR"/>
        </w:rPr>
      </w:pPr>
    </w:p>
    <w:p w:rsidR="00B77B04" w:rsidRDefault="00B77B04" w:rsidP="00102531">
      <w:pPr>
        <w:ind w:left="708"/>
        <w:rPr>
          <w:rFonts w:ascii="Arial" w:hAnsi="Arial" w:cs="Arial"/>
          <w:i/>
          <w:lang w:eastAsia="es-CR"/>
        </w:rPr>
      </w:pPr>
    </w:p>
    <w:p w:rsidR="00B77B04" w:rsidRPr="00102531" w:rsidRDefault="00B77B04" w:rsidP="00102531">
      <w:pPr>
        <w:ind w:left="708"/>
        <w:rPr>
          <w:rFonts w:ascii="Arial" w:hAnsi="Arial" w:cs="Arial"/>
          <w:i/>
          <w:lang w:eastAsia="es-CR"/>
        </w:rPr>
      </w:pPr>
    </w:p>
    <w:p w:rsidR="00102531" w:rsidRPr="00102531" w:rsidRDefault="00102531" w:rsidP="00102531">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lastRenderedPageBreak/>
        <w:t>POR TANTO:</w:t>
      </w:r>
    </w:p>
    <w:p w:rsidR="00102531" w:rsidRPr="00102531" w:rsidRDefault="00102531" w:rsidP="00102531">
      <w:pPr>
        <w:spacing w:after="160" w:line="259" w:lineRule="auto"/>
        <w:ind w:left="567" w:right="333"/>
        <w:jc w:val="both"/>
        <w:rPr>
          <w:rFonts w:ascii="Arial" w:eastAsia="Cambria" w:hAnsi="Arial" w:cs="Arial"/>
          <w:i/>
          <w:color w:val="000000"/>
          <w:sz w:val="22"/>
          <w:szCs w:val="22"/>
          <w:lang w:val="es-CR" w:eastAsia="es-CR"/>
        </w:rPr>
      </w:pPr>
      <w:r w:rsidRPr="00102531">
        <w:rPr>
          <w:rFonts w:ascii="Arial" w:eastAsia="Cambria" w:hAnsi="Arial" w:cs="Arial"/>
          <w:i/>
          <w:color w:val="000000"/>
          <w:sz w:val="22"/>
          <w:szCs w:val="22"/>
          <w:lang w:val="es-CR" w:eastAsia="es-CR"/>
        </w:rPr>
        <w:t>Se solicita atentamente la respectiva modificación normativa de forma que los recursos de apelación resultantes del proceso de evaluación del desempeño desde la perspectiva del estudiante y el director de escuela sean resueltos por quien funja como Vicerrector de Docencia, tal como se describe a continuación:</w:t>
      </w:r>
    </w:p>
    <w:tbl>
      <w:tblPr>
        <w:tblStyle w:val="Tablaconcuadrcula"/>
        <w:tblW w:w="0" w:type="auto"/>
        <w:tblLook w:val="04A0" w:firstRow="1" w:lastRow="0" w:firstColumn="1" w:lastColumn="0" w:noHBand="0" w:noVBand="1"/>
      </w:tblPr>
      <w:tblGrid>
        <w:gridCol w:w="2405"/>
        <w:gridCol w:w="3219"/>
        <w:gridCol w:w="2925"/>
      </w:tblGrid>
      <w:tr w:rsidR="00102531" w:rsidRPr="00102531" w:rsidTr="00775B78">
        <w:tc>
          <w:tcPr>
            <w:tcW w:w="2405" w:type="dxa"/>
          </w:tcPr>
          <w:p w:rsidR="00102531" w:rsidRPr="00102531" w:rsidRDefault="00102531" w:rsidP="00102531">
            <w:pPr>
              <w:jc w:val="center"/>
              <w:rPr>
                <w:rFonts w:ascii="Arial" w:hAnsi="Arial" w:cs="Arial"/>
                <w:b/>
                <w:i/>
                <w:sz w:val="20"/>
                <w:lang w:val="es-CR" w:eastAsia="es-CR"/>
              </w:rPr>
            </w:pPr>
            <w:r w:rsidRPr="00102531">
              <w:rPr>
                <w:rFonts w:ascii="Arial" w:hAnsi="Arial" w:cs="Arial"/>
                <w:b/>
                <w:i/>
                <w:sz w:val="20"/>
                <w:lang w:val="es-CR" w:eastAsia="es-CR"/>
              </w:rPr>
              <w:t>ARTÍCULO</w:t>
            </w:r>
          </w:p>
        </w:tc>
        <w:tc>
          <w:tcPr>
            <w:tcW w:w="3219" w:type="dxa"/>
          </w:tcPr>
          <w:p w:rsidR="00102531" w:rsidRPr="00102531" w:rsidRDefault="00102531" w:rsidP="00102531">
            <w:pPr>
              <w:jc w:val="center"/>
              <w:rPr>
                <w:rFonts w:ascii="Arial" w:hAnsi="Arial" w:cs="Arial"/>
                <w:b/>
                <w:i/>
                <w:sz w:val="20"/>
                <w:lang w:val="es-CR" w:eastAsia="es-CR"/>
              </w:rPr>
            </w:pPr>
            <w:r w:rsidRPr="00102531">
              <w:rPr>
                <w:rFonts w:ascii="Arial" w:hAnsi="Arial" w:cs="Arial"/>
                <w:b/>
                <w:i/>
                <w:sz w:val="20"/>
                <w:lang w:val="es-CR" w:eastAsia="es-CR"/>
              </w:rPr>
              <w:t>TEXTO ACTUAL</w:t>
            </w:r>
          </w:p>
        </w:tc>
        <w:tc>
          <w:tcPr>
            <w:tcW w:w="2925" w:type="dxa"/>
          </w:tcPr>
          <w:p w:rsidR="00102531" w:rsidRPr="00102531" w:rsidRDefault="00102531" w:rsidP="00102531">
            <w:pPr>
              <w:jc w:val="center"/>
              <w:rPr>
                <w:rFonts w:ascii="Arial" w:hAnsi="Arial" w:cs="Arial"/>
                <w:b/>
                <w:i/>
                <w:sz w:val="20"/>
                <w:lang w:val="es-CR" w:eastAsia="es-CR"/>
              </w:rPr>
            </w:pPr>
            <w:r w:rsidRPr="00102531">
              <w:rPr>
                <w:rFonts w:ascii="Arial" w:hAnsi="Arial" w:cs="Arial"/>
                <w:b/>
                <w:i/>
                <w:sz w:val="20"/>
                <w:lang w:val="es-CR" w:eastAsia="es-CR"/>
              </w:rPr>
              <w:t>TEXTO PROPUESTO</w:t>
            </w:r>
          </w:p>
        </w:tc>
      </w:tr>
      <w:tr w:rsidR="00102531" w:rsidRPr="00102531" w:rsidTr="00775B78">
        <w:tc>
          <w:tcPr>
            <w:tcW w:w="2405" w:type="dxa"/>
          </w:tcPr>
          <w:p w:rsidR="00102531" w:rsidRPr="00102531" w:rsidRDefault="00102531" w:rsidP="00102531">
            <w:pPr>
              <w:tabs>
                <w:tab w:val="left" w:pos="8640"/>
              </w:tabs>
              <w:ind w:right="36"/>
              <w:jc w:val="both"/>
              <w:rPr>
                <w:rFonts w:ascii="Arial" w:hAnsi="Arial" w:cs="Arial"/>
                <w:i/>
                <w:sz w:val="20"/>
                <w:lang w:val="es-CR" w:eastAsia="es-CR"/>
              </w:rPr>
            </w:pPr>
          </w:p>
          <w:p w:rsidR="00102531" w:rsidRPr="00102531" w:rsidRDefault="00102531" w:rsidP="00102531">
            <w:pPr>
              <w:tabs>
                <w:tab w:val="left" w:pos="8640"/>
              </w:tabs>
              <w:ind w:right="36"/>
              <w:jc w:val="both"/>
              <w:rPr>
                <w:rFonts w:ascii="Arial" w:hAnsi="Arial" w:cs="Arial"/>
                <w:i/>
                <w:sz w:val="20"/>
                <w:lang w:val="es-CR" w:eastAsia="es-CR"/>
              </w:rPr>
            </w:pPr>
            <w:r w:rsidRPr="00102531">
              <w:rPr>
                <w:rFonts w:ascii="Arial" w:hAnsi="Arial" w:cs="Arial"/>
                <w:i/>
                <w:sz w:val="20"/>
                <w:lang w:val="es-CR" w:eastAsia="es-CR"/>
              </w:rPr>
              <w:t xml:space="preserve">Reglamento de Evaluación del Desempeño Académico, capítulo 7. Recursos de Revocatoria Y Apelación para la Evaluación contra la Evaluación del Superior Jerárquico, artículo 26. </w:t>
            </w:r>
          </w:p>
        </w:tc>
        <w:tc>
          <w:tcPr>
            <w:tcW w:w="3219" w:type="dxa"/>
          </w:tcPr>
          <w:p w:rsidR="00102531" w:rsidRPr="00102531" w:rsidRDefault="00102531" w:rsidP="00102531">
            <w:pPr>
              <w:tabs>
                <w:tab w:val="left" w:pos="8640"/>
              </w:tabs>
              <w:ind w:right="-136"/>
              <w:jc w:val="both"/>
              <w:rPr>
                <w:rFonts w:ascii="Arial" w:hAnsi="Arial" w:cs="Arial"/>
                <w:i/>
                <w:color w:val="111111"/>
                <w:sz w:val="20"/>
                <w:lang w:val="es-CR" w:eastAsia="es-CR"/>
              </w:rPr>
            </w:pPr>
          </w:p>
          <w:p w:rsidR="00102531" w:rsidRPr="00102531" w:rsidRDefault="00102531" w:rsidP="00102531">
            <w:pPr>
              <w:tabs>
                <w:tab w:val="left" w:pos="8640"/>
              </w:tabs>
              <w:jc w:val="both"/>
              <w:rPr>
                <w:rFonts w:ascii="Arial" w:hAnsi="Arial" w:cs="Arial"/>
                <w:i/>
                <w:color w:val="111111"/>
                <w:sz w:val="20"/>
                <w:lang w:val="es-CR" w:eastAsia="es-CR"/>
              </w:rPr>
            </w:pPr>
            <w:r w:rsidRPr="00102531">
              <w:rPr>
                <w:rFonts w:ascii="Arial" w:hAnsi="Arial" w:cs="Arial"/>
                <w:i/>
                <w:color w:val="111111"/>
                <w:sz w:val="20"/>
                <w:lang w:val="es-CR" w:eastAsia="es-CR"/>
              </w:rPr>
              <w:t xml:space="preserve">En caso de una resolución negativa y que no sea satisfactoria para </w:t>
            </w:r>
            <w:proofErr w:type="spellStart"/>
            <w:r w:rsidRPr="00102531">
              <w:rPr>
                <w:rFonts w:ascii="Arial" w:hAnsi="Arial" w:cs="Arial"/>
                <w:i/>
                <w:color w:val="111111"/>
                <w:sz w:val="20"/>
                <w:lang w:val="es-CR" w:eastAsia="es-CR"/>
              </w:rPr>
              <w:t>el</w:t>
            </w:r>
            <w:proofErr w:type="spellEnd"/>
            <w:r w:rsidRPr="00102531">
              <w:rPr>
                <w:rFonts w:ascii="Arial" w:hAnsi="Arial" w:cs="Arial"/>
                <w:i/>
                <w:color w:val="111111"/>
                <w:sz w:val="20"/>
                <w:lang w:val="es-CR" w:eastAsia="es-CR"/>
              </w:rPr>
              <w:t xml:space="preserve"> o la docente, este podrá acudir ante el Consejo de Escuela, como segunda instancia resolutoria, dentro de los tres días hábiles posteriores a recibir la resolución escrita del director, el cual contará con 15 días naturales para resolver la apelación.</w:t>
            </w:r>
          </w:p>
          <w:p w:rsidR="00102531" w:rsidRPr="00102531" w:rsidRDefault="00102531" w:rsidP="00102531">
            <w:pPr>
              <w:rPr>
                <w:rFonts w:ascii="Arial" w:hAnsi="Arial" w:cs="Arial"/>
                <w:i/>
                <w:sz w:val="20"/>
                <w:lang w:val="es-CR" w:eastAsia="es-CR"/>
              </w:rPr>
            </w:pPr>
          </w:p>
        </w:tc>
        <w:tc>
          <w:tcPr>
            <w:tcW w:w="2925" w:type="dxa"/>
          </w:tcPr>
          <w:p w:rsidR="00102531" w:rsidRPr="00102531" w:rsidRDefault="00102531" w:rsidP="00102531">
            <w:pPr>
              <w:tabs>
                <w:tab w:val="left" w:pos="8640"/>
              </w:tabs>
              <w:ind w:right="-136"/>
              <w:jc w:val="both"/>
              <w:rPr>
                <w:rFonts w:ascii="Arial" w:hAnsi="Arial" w:cs="Arial"/>
                <w:i/>
                <w:color w:val="111111"/>
                <w:sz w:val="20"/>
                <w:lang w:val="es-CR" w:eastAsia="es-CR"/>
              </w:rPr>
            </w:pPr>
          </w:p>
          <w:p w:rsidR="00102531" w:rsidRPr="00102531" w:rsidRDefault="00102531" w:rsidP="00102531">
            <w:pPr>
              <w:tabs>
                <w:tab w:val="left" w:pos="8640"/>
              </w:tabs>
              <w:jc w:val="both"/>
              <w:rPr>
                <w:rFonts w:ascii="Arial" w:hAnsi="Arial" w:cs="Arial"/>
                <w:i/>
                <w:color w:val="111111"/>
                <w:sz w:val="20"/>
                <w:lang w:val="es-CR" w:eastAsia="es-CR"/>
              </w:rPr>
            </w:pPr>
            <w:r w:rsidRPr="00102531">
              <w:rPr>
                <w:rFonts w:ascii="Arial" w:hAnsi="Arial" w:cs="Arial"/>
                <w:i/>
                <w:color w:val="111111"/>
                <w:sz w:val="20"/>
                <w:lang w:val="es-CR" w:eastAsia="es-CR"/>
              </w:rPr>
              <w:t xml:space="preserve">En caso de una resolución negativa y que no sea satisfactoria para </w:t>
            </w:r>
            <w:proofErr w:type="spellStart"/>
            <w:r w:rsidRPr="00102531">
              <w:rPr>
                <w:rFonts w:ascii="Arial" w:hAnsi="Arial" w:cs="Arial"/>
                <w:i/>
                <w:color w:val="111111"/>
                <w:sz w:val="20"/>
                <w:lang w:val="es-CR" w:eastAsia="es-CR"/>
              </w:rPr>
              <w:t>el</w:t>
            </w:r>
            <w:proofErr w:type="spellEnd"/>
            <w:r w:rsidRPr="00102531">
              <w:rPr>
                <w:rFonts w:ascii="Arial" w:hAnsi="Arial" w:cs="Arial"/>
                <w:i/>
                <w:color w:val="111111"/>
                <w:sz w:val="20"/>
                <w:lang w:val="es-CR" w:eastAsia="es-CR"/>
              </w:rPr>
              <w:t xml:space="preserve"> o la docente, podrá acudir ante el Vicerrector de Docencia, como segunda instancia resolutoria, dentro de los tres días hábiles posteriores a recibir la resolución escrita del director, el cual contará con 15 días naturales para resolver la apelación.</w:t>
            </w:r>
          </w:p>
        </w:tc>
      </w:tr>
      <w:tr w:rsidR="00102531" w:rsidRPr="00102531" w:rsidTr="00775B78">
        <w:tc>
          <w:tcPr>
            <w:tcW w:w="2405" w:type="dxa"/>
          </w:tcPr>
          <w:p w:rsidR="00102531" w:rsidRPr="00102531" w:rsidRDefault="00102531" w:rsidP="00102531">
            <w:pPr>
              <w:jc w:val="both"/>
              <w:rPr>
                <w:rFonts w:ascii="Arial" w:hAnsi="Arial" w:cs="Arial"/>
                <w:i/>
                <w:sz w:val="20"/>
                <w:lang w:val="es-CR" w:eastAsia="es-CR"/>
              </w:rPr>
            </w:pPr>
          </w:p>
          <w:p w:rsidR="00102531" w:rsidRPr="00102531" w:rsidRDefault="00102531" w:rsidP="00102531">
            <w:pPr>
              <w:jc w:val="both"/>
              <w:rPr>
                <w:rFonts w:ascii="Arial" w:hAnsi="Arial" w:cs="Arial"/>
                <w:i/>
                <w:sz w:val="20"/>
                <w:lang w:val="es-CR" w:eastAsia="es-CR"/>
              </w:rPr>
            </w:pPr>
            <w:r w:rsidRPr="00102531">
              <w:rPr>
                <w:rFonts w:ascii="Arial" w:hAnsi="Arial" w:cs="Arial"/>
                <w:i/>
                <w:sz w:val="20"/>
                <w:lang w:val="es-CR" w:eastAsia="es-CR"/>
              </w:rPr>
              <w:t>Reglamento de Evaluación del Desempeño Académico, Normas y Procedimientos de Evaluación Docente, artículo 19.</w:t>
            </w:r>
          </w:p>
        </w:tc>
        <w:tc>
          <w:tcPr>
            <w:tcW w:w="3219" w:type="dxa"/>
          </w:tcPr>
          <w:p w:rsidR="00102531" w:rsidRPr="00102531" w:rsidRDefault="00102531" w:rsidP="00102531">
            <w:pPr>
              <w:tabs>
                <w:tab w:val="left" w:pos="8640"/>
              </w:tabs>
              <w:jc w:val="both"/>
              <w:rPr>
                <w:rFonts w:ascii="Arial" w:hAnsi="Arial" w:cs="Arial"/>
                <w:i/>
                <w:color w:val="111111"/>
                <w:sz w:val="20"/>
                <w:lang w:val="es-CR" w:eastAsia="es-CR"/>
              </w:rPr>
            </w:pPr>
          </w:p>
          <w:p w:rsidR="00102531" w:rsidRPr="00102531" w:rsidRDefault="00102531" w:rsidP="00102531">
            <w:pPr>
              <w:tabs>
                <w:tab w:val="left" w:pos="8640"/>
              </w:tabs>
              <w:jc w:val="both"/>
              <w:rPr>
                <w:rFonts w:ascii="Arial" w:hAnsi="Arial" w:cs="Arial"/>
                <w:i/>
                <w:color w:val="111111"/>
                <w:sz w:val="20"/>
                <w:lang w:val="es-CR" w:eastAsia="es-CR"/>
              </w:rPr>
            </w:pPr>
            <w:r w:rsidRPr="00102531">
              <w:rPr>
                <w:rFonts w:ascii="Arial" w:hAnsi="Arial" w:cs="Arial"/>
                <w:i/>
                <w:color w:val="111111"/>
                <w:sz w:val="20"/>
                <w:lang w:val="es-CR" w:eastAsia="es-CR"/>
              </w:rPr>
              <w:t>En caso de rechazo del recurso de revocatoria ante el Director, el funcionario podrá apelar la evaluación ante el Consejo de Escuela. Contará con tres días hábiles para presentarla, a partir de la notificación del rechazo. Para hacerlo deberá cumplir con los mismos requerimientos establecidos en los artículos 123 y 126 de la Ley de Administración Pública.</w:t>
            </w:r>
          </w:p>
          <w:p w:rsidR="00102531" w:rsidRPr="00102531" w:rsidRDefault="00102531" w:rsidP="00102531">
            <w:pPr>
              <w:rPr>
                <w:rFonts w:ascii="Arial" w:hAnsi="Arial" w:cs="Arial"/>
                <w:i/>
                <w:sz w:val="20"/>
                <w:lang w:val="es-CR" w:eastAsia="es-CR"/>
              </w:rPr>
            </w:pPr>
          </w:p>
        </w:tc>
        <w:tc>
          <w:tcPr>
            <w:tcW w:w="2925" w:type="dxa"/>
          </w:tcPr>
          <w:p w:rsidR="00102531" w:rsidRPr="00102531" w:rsidRDefault="00102531" w:rsidP="00102531">
            <w:pPr>
              <w:tabs>
                <w:tab w:val="left" w:pos="8640"/>
              </w:tabs>
              <w:jc w:val="both"/>
              <w:rPr>
                <w:rFonts w:ascii="Arial" w:hAnsi="Arial" w:cs="Arial"/>
                <w:i/>
                <w:color w:val="111111"/>
                <w:sz w:val="20"/>
                <w:lang w:val="es-CR" w:eastAsia="es-CR"/>
              </w:rPr>
            </w:pPr>
          </w:p>
          <w:p w:rsidR="00102531" w:rsidRPr="00102531" w:rsidRDefault="00102531" w:rsidP="00102531">
            <w:pPr>
              <w:tabs>
                <w:tab w:val="left" w:pos="8640"/>
              </w:tabs>
              <w:jc w:val="both"/>
              <w:rPr>
                <w:rFonts w:ascii="Arial" w:hAnsi="Arial" w:cs="Arial"/>
                <w:i/>
                <w:color w:val="111111"/>
                <w:sz w:val="20"/>
                <w:lang w:val="es-CR" w:eastAsia="es-CR"/>
              </w:rPr>
            </w:pPr>
            <w:r w:rsidRPr="00102531">
              <w:rPr>
                <w:rFonts w:ascii="Arial" w:hAnsi="Arial" w:cs="Arial"/>
                <w:i/>
                <w:color w:val="111111"/>
                <w:sz w:val="20"/>
                <w:lang w:val="es-CR" w:eastAsia="es-CR"/>
              </w:rPr>
              <w:t>En caso de rechazo del recurso de revocatoria ante el Director, el funcionario podrá apelar la evaluación ante el Vicerrector de Docencia. Contará con tres días hábiles para presentarla, a partir de la notificación del rechazo. Para hacerlo deberá cumplir con los mismos requerimientos establecidos en los artículos 123 y 126 de la Ley de Administración Pública.</w:t>
            </w:r>
          </w:p>
          <w:p w:rsidR="00102531" w:rsidRPr="00102531" w:rsidRDefault="00102531" w:rsidP="00102531">
            <w:pPr>
              <w:rPr>
                <w:rFonts w:ascii="Arial" w:hAnsi="Arial" w:cs="Arial"/>
                <w:i/>
                <w:sz w:val="20"/>
                <w:lang w:val="es-CR" w:eastAsia="es-CR"/>
              </w:rPr>
            </w:pPr>
          </w:p>
        </w:tc>
      </w:tr>
    </w:tbl>
    <w:p w:rsidR="00102531" w:rsidRPr="00102531" w:rsidRDefault="00102531" w:rsidP="00102531">
      <w:pPr>
        <w:rPr>
          <w:rFonts w:ascii="Arial" w:hAnsi="Arial" w:cs="Arial"/>
          <w:color w:val="7030A0"/>
          <w:sz w:val="20"/>
          <w:szCs w:val="20"/>
          <w:lang w:val="es-CR" w:eastAsia="es-CR"/>
        </w:rPr>
      </w:pPr>
    </w:p>
    <w:p w:rsidR="00102531" w:rsidRPr="00102531" w:rsidRDefault="00102531" w:rsidP="00102531">
      <w:pPr>
        <w:rPr>
          <w:rFonts w:ascii="Arial" w:hAnsi="Arial" w:cs="Arial"/>
          <w:color w:val="7030A0"/>
          <w:sz w:val="20"/>
          <w:szCs w:val="20"/>
          <w:lang w:val="es-CR" w:eastAsia="es-CR"/>
        </w:rPr>
      </w:pPr>
    </w:p>
    <w:p w:rsidR="00102531" w:rsidRPr="00102531" w:rsidRDefault="00102531" w:rsidP="00102531">
      <w:pPr>
        <w:numPr>
          <w:ilvl w:val="0"/>
          <w:numId w:val="38"/>
        </w:numPr>
        <w:pBdr>
          <w:top w:val="nil"/>
          <w:left w:val="nil"/>
          <w:bottom w:val="nil"/>
          <w:right w:val="nil"/>
          <w:between w:val="nil"/>
        </w:pBdr>
        <w:ind w:left="567"/>
        <w:jc w:val="both"/>
        <w:rPr>
          <w:color w:val="000000"/>
          <w:lang w:val="es-CR" w:eastAsia="es-CR"/>
        </w:rPr>
      </w:pPr>
      <w:r w:rsidRPr="00102531">
        <w:rPr>
          <w:rFonts w:ascii="Arial" w:eastAsia="Arial" w:hAnsi="Arial" w:cs="Arial"/>
          <w:color w:val="000000"/>
          <w:lang w:val="es-CR" w:eastAsia="es-CR"/>
        </w:rPr>
        <w:t>Mediante el acuerdo de la Sesión Ordinaria No. 3090, Artículo 9, del 04 de octubre de 2018, se somete a consulta a la Comunidad Institucional y a la AFITEC, la propuesta “Modificación del Reglamento de Evaluación del Desempeño Académico del Instituto Tecnológico de Costa Rica, Capítulo 7: Recursos de Revocatoria y Apelación para la Evaluación del Superior Jerárquico, Artículo 26 y Normas y Procedimientos de Evaluación Docente, Capítulo 6: Recursos de revocatoria y apelación para la evaluación docente contra la evaluación de los estudiantes, Artículo 19.”</w:t>
      </w:r>
    </w:p>
    <w:p w:rsidR="00102531" w:rsidRPr="00102531" w:rsidRDefault="00102531" w:rsidP="00102531">
      <w:pPr>
        <w:ind w:left="720"/>
        <w:contextualSpacing/>
        <w:rPr>
          <w:color w:val="000000"/>
          <w:lang w:val="es-CR" w:eastAsia="es-CR"/>
        </w:rPr>
      </w:pPr>
    </w:p>
    <w:p w:rsidR="00102531" w:rsidRPr="00102531" w:rsidRDefault="00102531" w:rsidP="00102531">
      <w:pPr>
        <w:numPr>
          <w:ilvl w:val="0"/>
          <w:numId w:val="38"/>
        </w:numPr>
        <w:pBdr>
          <w:top w:val="nil"/>
          <w:left w:val="nil"/>
          <w:bottom w:val="nil"/>
          <w:right w:val="nil"/>
          <w:between w:val="nil"/>
        </w:pBdr>
        <w:ind w:left="567"/>
        <w:jc w:val="both"/>
        <w:rPr>
          <w:rFonts w:ascii="Arial" w:hAnsi="Arial" w:cs="Arial"/>
          <w:lang w:val="es-CR" w:eastAsia="es-CR"/>
        </w:rPr>
      </w:pPr>
      <w:r w:rsidRPr="00102531">
        <w:rPr>
          <w:rFonts w:ascii="Arial" w:hAnsi="Arial" w:cs="Arial"/>
          <w:lang w:val="es-CR" w:eastAsia="es-CR"/>
        </w:rPr>
        <w:t xml:space="preserve">El </w:t>
      </w:r>
      <w:r>
        <w:rPr>
          <w:rFonts w:ascii="Arial" w:hAnsi="Arial" w:cs="Arial"/>
          <w:lang w:val="es-CR" w:eastAsia="es-CR"/>
        </w:rPr>
        <w:t>A</w:t>
      </w:r>
      <w:r w:rsidRPr="00102531">
        <w:rPr>
          <w:rFonts w:ascii="Arial" w:hAnsi="Arial" w:cs="Arial"/>
          <w:lang w:val="es-CR" w:eastAsia="es-CR"/>
        </w:rPr>
        <w:t>rtículo 5 de la “</w:t>
      </w:r>
      <w:r w:rsidR="00B77B04" w:rsidRPr="00102531">
        <w:rPr>
          <w:rFonts w:ascii="Arial" w:hAnsi="Arial" w:cs="Arial"/>
          <w:bCs/>
          <w:lang w:val="es-CR" w:eastAsia="es-CR"/>
        </w:rPr>
        <w:t xml:space="preserve">Norma Estatutaria </w:t>
      </w:r>
      <w:r w:rsidR="00B77B04">
        <w:rPr>
          <w:rFonts w:ascii="Arial" w:hAnsi="Arial" w:cs="Arial"/>
          <w:bCs/>
          <w:lang w:val="es-CR" w:eastAsia="es-CR"/>
        </w:rPr>
        <w:t>de los Artículos 136 y</w:t>
      </w:r>
      <w:r w:rsidR="00B77B04" w:rsidRPr="00102531">
        <w:rPr>
          <w:rFonts w:ascii="Arial" w:hAnsi="Arial" w:cs="Arial"/>
          <w:bCs/>
          <w:lang w:val="es-CR" w:eastAsia="es-CR"/>
        </w:rPr>
        <w:t xml:space="preserve"> 137 </w:t>
      </w:r>
      <w:r w:rsidR="00B77B04">
        <w:rPr>
          <w:rFonts w:ascii="Arial" w:hAnsi="Arial" w:cs="Arial"/>
          <w:bCs/>
          <w:lang w:val="es-CR" w:eastAsia="es-CR"/>
        </w:rPr>
        <w:t>d</w:t>
      </w:r>
      <w:r w:rsidR="00B77B04" w:rsidRPr="00102531">
        <w:rPr>
          <w:rFonts w:ascii="Arial" w:hAnsi="Arial" w:cs="Arial"/>
          <w:bCs/>
          <w:lang w:val="es-CR" w:eastAsia="es-CR"/>
        </w:rPr>
        <w:t>el Estatuto Orgánico</w:t>
      </w:r>
      <w:r w:rsidRPr="00102531">
        <w:rPr>
          <w:rFonts w:ascii="Arial" w:hAnsi="Arial" w:cs="Arial"/>
          <w:bCs/>
          <w:lang w:val="es-CR" w:eastAsia="es-CR"/>
        </w:rPr>
        <w:t>”</w:t>
      </w:r>
      <w:r w:rsidR="00B77B04">
        <w:rPr>
          <w:rFonts w:ascii="Arial" w:hAnsi="Arial" w:cs="Arial"/>
          <w:bCs/>
          <w:lang w:val="es-CR" w:eastAsia="es-CR"/>
        </w:rPr>
        <w:t>,</w:t>
      </w:r>
      <w:r w:rsidRPr="00102531">
        <w:rPr>
          <w:rFonts w:ascii="Arial" w:hAnsi="Arial" w:cs="Arial"/>
          <w:bCs/>
          <w:lang w:val="es-CR" w:eastAsia="es-CR"/>
        </w:rPr>
        <w:t xml:space="preserve"> aprobada por la Asamblea Institucional Representativa</w:t>
      </w:r>
      <w:r w:rsidR="00B77B04">
        <w:rPr>
          <w:rFonts w:ascii="Arial" w:hAnsi="Arial" w:cs="Arial"/>
          <w:bCs/>
          <w:lang w:val="es-CR" w:eastAsia="es-CR"/>
        </w:rPr>
        <w:t>,</w:t>
      </w:r>
      <w:r w:rsidRPr="00102531">
        <w:rPr>
          <w:rFonts w:ascii="Arial" w:hAnsi="Arial" w:cs="Arial"/>
          <w:bCs/>
          <w:lang w:val="es-CR" w:eastAsia="es-CR"/>
        </w:rPr>
        <w:t xml:space="preserve"> en la Sesión Ordinaria AIR-95-2018 establece lo siguiente:</w:t>
      </w:r>
    </w:p>
    <w:p w:rsidR="00102531" w:rsidRPr="00102531" w:rsidRDefault="00102531" w:rsidP="00102531">
      <w:pPr>
        <w:pBdr>
          <w:top w:val="nil"/>
          <w:left w:val="nil"/>
          <w:bottom w:val="nil"/>
          <w:right w:val="nil"/>
          <w:between w:val="nil"/>
        </w:pBdr>
        <w:spacing w:before="120"/>
        <w:ind w:left="708"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 xml:space="preserve">“Artículo 5. El plazo para interponer los recursos ordinarios de revocatoria o de apelación es de cinco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 </w:t>
      </w:r>
    </w:p>
    <w:p w:rsidR="00102531" w:rsidRPr="00102531" w:rsidRDefault="00102531" w:rsidP="00102531">
      <w:pPr>
        <w:pBdr>
          <w:top w:val="nil"/>
          <w:left w:val="nil"/>
          <w:bottom w:val="nil"/>
          <w:right w:val="nil"/>
          <w:between w:val="nil"/>
        </w:pBdr>
        <w:spacing w:before="120"/>
        <w:ind w:left="708"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lastRenderedPageBreak/>
        <w:t>En caso de que el recurrente opte por interponer en el mismo acto el recurso de revocatoria y en subsidio el de apelación, el órgano de primera instancia, salvo que acoja totalmente el recurso presentado en su contra, contará con un plazo de dos días hábiles para trasladar a su superior jerárquico la resolución o acuerdo con que resuelve el recurso de revocatoria, junto al expediente incoado al efecto, a partir del día hábil siguiente al dictado de su resolución.”</w:t>
      </w:r>
    </w:p>
    <w:p w:rsidR="00102531" w:rsidRPr="00102531" w:rsidRDefault="00102531" w:rsidP="00102531">
      <w:pPr>
        <w:tabs>
          <w:tab w:val="left" w:pos="3070"/>
        </w:tabs>
        <w:jc w:val="both"/>
        <w:rPr>
          <w:rFonts w:ascii="Arial" w:eastAsia="Arial" w:hAnsi="Arial" w:cs="Arial"/>
          <w:b/>
          <w:lang w:val="es-CR" w:eastAsia="es-CR"/>
        </w:rPr>
      </w:pPr>
    </w:p>
    <w:p w:rsidR="00102531" w:rsidRPr="00102531" w:rsidRDefault="00102531" w:rsidP="00102531">
      <w:pPr>
        <w:tabs>
          <w:tab w:val="left" w:pos="3070"/>
        </w:tabs>
        <w:jc w:val="both"/>
        <w:rPr>
          <w:rFonts w:ascii="Arial" w:eastAsia="Arial" w:hAnsi="Arial" w:cs="Arial"/>
          <w:b/>
          <w:lang w:val="es-CR" w:eastAsia="es-CR"/>
        </w:rPr>
      </w:pPr>
      <w:r w:rsidRPr="00102531">
        <w:rPr>
          <w:rFonts w:ascii="Arial" w:eastAsia="Arial" w:hAnsi="Arial" w:cs="Arial"/>
          <w:b/>
          <w:lang w:val="es-CR" w:eastAsia="es-CR"/>
        </w:rPr>
        <w:t>CONSIDERANDO QUE:</w:t>
      </w:r>
    </w:p>
    <w:p w:rsidR="00102531" w:rsidRPr="00102531" w:rsidRDefault="00102531" w:rsidP="00102531">
      <w:pPr>
        <w:ind w:left="1320" w:hanging="1320"/>
        <w:jc w:val="both"/>
        <w:rPr>
          <w:rFonts w:ascii="Arial" w:eastAsia="Arial" w:hAnsi="Arial" w:cs="Arial"/>
          <w:lang w:val="es-CR" w:eastAsia="es-CR"/>
        </w:rPr>
      </w:pPr>
    </w:p>
    <w:p w:rsidR="00102531" w:rsidRPr="00102531" w:rsidRDefault="00102531" w:rsidP="00102531">
      <w:pPr>
        <w:numPr>
          <w:ilvl w:val="0"/>
          <w:numId w:val="37"/>
        </w:numPr>
        <w:pBdr>
          <w:top w:val="nil"/>
          <w:left w:val="nil"/>
          <w:bottom w:val="nil"/>
          <w:right w:val="nil"/>
          <w:between w:val="nil"/>
        </w:pBdr>
        <w:ind w:left="360"/>
        <w:jc w:val="both"/>
        <w:rPr>
          <w:color w:val="000000"/>
          <w:lang w:val="es-CR" w:eastAsia="es-CR"/>
        </w:rPr>
      </w:pPr>
      <w:r w:rsidRPr="00102531">
        <w:rPr>
          <w:rFonts w:ascii="Arial" w:eastAsia="Arial" w:hAnsi="Arial" w:cs="Arial"/>
          <w:color w:val="000000"/>
          <w:lang w:val="es-CR" w:eastAsia="es-CR"/>
        </w:rPr>
        <w:t>La Secretaría del Consejo Institucional</w:t>
      </w:r>
      <w:r w:rsidR="00B77B04">
        <w:rPr>
          <w:rFonts w:ascii="Arial" w:eastAsia="Arial" w:hAnsi="Arial" w:cs="Arial"/>
          <w:color w:val="000000"/>
          <w:lang w:val="es-CR" w:eastAsia="es-CR"/>
        </w:rPr>
        <w:t>,</w:t>
      </w:r>
      <w:r w:rsidRPr="00102531">
        <w:rPr>
          <w:rFonts w:ascii="Arial" w:eastAsia="Arial" w:hAnsi="Arial" w:cs="Arial"/>
          <w:color w:val="000000"/>
          <w:lang w:val="es-CR" w:eastAsia="es-CR"/>
        </w:rPr>
        <w:t xml:space="preserve"> recibió el oficio ICSSC-299-2018, con fecha de recibido 22 de octubre de 2018, suscrito por el Lic. Ángel Benjamín Campos Chavarría, Profesor de la Escuela de Idiomas y Ciencia Sociales, en el cual indica:</w:t>
      </w:r>
    </w:p>
    <w:p w:rsidR="00102531" w:rsidRPr="00102531" w:rsidRDefault="00102531" w:rsidP="00102531">
      <w:pPr>
        <w:jc w:val="both"/>
        <w:rPr>
          <w:rFonts w:ascii="Arial" w:eastAsia="Arial" w:hAnsi="Arial" w:cs="Arial"/>
          <w:lang w:val="es-CR" w:eastAsia="es-CR"/>
        </w:rPr>
      </w:pPr>
    </w:p>
    <w:p w:rsidR="00102531" w:rsidRPr="00102531" w:rsidRDefault="00102531" w:rsidP="00102531">
      <w:pPr>
        <w:spacing w:after="160" w:line="259" w:lineRule="auto"/>
        <w:ind w:left="567" w:right="333"/>
        <w:jc w:val="both"/>
        <w:rPr>
          <w:rFonts w:ascii="Arial" w:eastAsia="Arial" w:hAnsi="Arial" w:cs="Arial"/>
          <w:i/>
          <w:color w:val="000000"/>
          <w:sz w:val="22"/>
          <w:szCs w:val="22"/>
          <w:lang w:val="es-CR" w:eastAsia="es-CR"/>
        </w:rPr>
      </w:pPr>
      <w:r w:rsidRPr="00102531">
        <w:rPr>
          <w:rFonts w:ascii="Arial" w:eastAsia="Arial" w:hAnsi="Arial" w:cs="Arial"/>
          <w:i/>
          <w:color w:val="000000"/>
          <w:sz w:val="22"/>
          <w:szCs w:val="22"/>
          <w:lang w:val="es-CR" w:eastAsia="es-CR"/>
        </w:rPr>
        <w:t>“...</w:t>
      </w:r>
    </w:p>
    <w:p w:rsidR="00102531" w:rsidRPr="00102531" w:rsidRDefault="00102531" w:rsidP="00102531">
      <w:pPr>
        <w:pBdr>
          <w:top w:val="nil"/>
          <w:left w:val="nil"/>
          <w:bottom w:val="nil"/>
          <w:right w:val="nil"/>
          <w:between w:val="nil"/>
        </w:pBdr>
        <w:spacing w:after="160" w:line="259" w:lineRule="auto"/>
        <w:ind w:left="567"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De la propuesta de “Modificación al Reglamento de Evaluación del Desempeño Académico del Instituto Tecnológico de Costa Rica”, la Comisión de Reglamentos de la Escuela de Idiomas y Ciencias Sociales, en conjunto con su director, acuerda lo siguiente:</w:t>
      </w:r>
    </w:p>
    <w:p w:rsidR="00102531" w:rsidRDefault="00102531" w:rsidP="00B77B04">
      <w:pPr>
        <w:pBdr>
          <w:top w:val="nil"/>
          <w:left w:val="nil"/>
          <w:bottom w:val="nil"/>
          <w:right w:val="nil"/>
          <w:between w:val="nil"/>
        </w:pBdr>
        <w:ind w:left="567" w:right="333"/>
        <w:jc w:val="both"/>
        <w:rPr>
          <w:rFonts w:ascii="Arial" w:eastAsia="Arial" w:hAnsi="Arial" w:cs="Arial"/>
          <w:i/>
          <w:sz w:val="22"/>
          <w:szCs w:val="22"/>
          <w:lang w:val="es-CR" w:eastAsia="es-CR"/>
        </w:rPr>
      </w:pPr>
      <w:r w:rsidRPr="00102531">
        <w:rPr>
          <w:rFonts w:ascii="Arial" w:eastAsia="Arial" w:hAnsi="Arial" w:cs="Arial"/>
          <w:i/>
          <w:sz w:val="22"/>
          <w:szCs w:val="22"/>
          <w:lang w:val="es-CR" w:eastAsia="es-CR"/>
        </w:rPr>
        <w:t>Avalar la propuesta de modificación enviada, ello pues trasladar tales apelaciones de los consejos al Vicerrector coincide con la línea jerárquica del TEC, además de que con ellos se evitan posibles conflictos en el seno de los Consejos.”</w:t>
      </w:r>
    </w:p>
    <w:p w:rsidR="00B77B04" w:rsidRPr="00102531" w:rsidRDefault="00B77B04" w:rsidP="00B77B04">
      <w:pPr>
        <w:pBdr>
          <w:top w:val="nil"/>
          <w:left w:val="nil"/>
          <w:bottom w:val="nil"/>
          <w:right w:val="nil"/>
          <w:between w:val="nil"/>
        </w:pBdr>
        <w:ind w:left="567" w:right="333"/>
        <w:jc w:val="both"/>
        <w:rPr>
          <w:rFonts w:ascii="Arial" w:eastAsia="Arial" w:hAnsi="Arial" w:cs="Arial"/>
          <w:i/>
          <w:sz w:val="22"/>
          <w:szCs w:val="22"/>
          <w:lang w:val="es-CR" w:eastAsia="es-CR"/>
        </w:rPr>
      </w:pPr>
    </w:p>
    <w:p w:rsidR="00102531" w:rsidRPr="00102531" w:rsidRDefault="00102531" w:rsidP="00B77B04">
      <w:pPr>
        <w:numPr>
          <w:ilvl w:val="0"/>
          <w:numId w:val="37"/>
        </w:numPr>
        <w:pBdr>
          <w:top w:val="nil"/>
          <w:left w:val="nil"/>
          <w:bottom w:val="nil"/>
          <w:right w:val="nil"/>
          <w:between w:val="nil"/>
        </w:pBdr>
        <w:ind w:left="360"/>
        <w:jc w:val="both"/>
        <w:rPr>
          <w:color w:val="000000"/>
          <w:lang w:val="es-CR" w:eastAsia="es-CR"/>
        </w:rPr>
      </w:pPr>
      <w:bookmarkStart w:id="0" w:name="_gjdgxs" w:colFirst="0" w:colLast="0"/>
      <w:bookmarkEnd w:id="0"/>
      <w:r w:rsidRPr="00102531">
        <w:rPr>
          <w:rFonts w:ascii="Arial" w:eastAsia="Arial" w:hAnsi="Arial" w:cs="Arial"/>
          <w:color w:val="000000"/>
          <w:lang w:val="es-CR" w:eastAsia="es-CR"/>
        </w:rPr>
        <w:t xml:space="preserve">La Comisión de Asuntos Académicos y Estudiantiles, en la reunión No.610-18, celebrada el 23 de noviembre del presente año, en el apartado de correspondencia recibe el oficio AFITEC-181-18, en el cual solicitan ampliación del plazo para referirse al acuerdo de la Sesión No. 3090, </w:t>
      </w:r>
      <w:r w:rsidR="00B77B04">
        <w:rPr>
          <w:rFonts w:ascii="Arial" w:eastAsia="Arial" w:hAnsi="Arial" w:cs="Arial"/>
          <w:color w:val="000000"/>
          <w:lang w:val="es-CR" w:eastAsia="es-CR"/>
        </w:rPr>
        <w:t>A</w:t>
      </w:r>
      <w:r w:rsidRPr="00102531">
        <w:rPr>
          <w:rFonts w:ascii="Arial" w:eastAsia="Arial" w:hAnsi="Arial" w:cs="Arial"/>
          <w:color w:val="000000"/>
          <w:lang w:val="es-CR" w:eastAsia="es-CR"/>
        </w:rPr>
        <w:t xml:space="preserve">rtículo 9, la Comisión dispone remitir oficio SCI-996-2018, dirigido al Dr. Julio </w:t>
      </w:r>
      <w:r w:rsidRPr="00102531">
        <w:rPr>
          <w:rFonts w:ascii="Arial" w:eastAsia="Arial" w:hAnsi="Arial" w:cs="Arial"/>
          <w:lang w:val="es-CR" w:eastAsia="es-CR"/>
        </w:rPr>
        <w:t xml:space="preserve">Calvo Alvarado, </w:t>
      </w:r>
      <w:r w:rsidRPr="00102531">
        <w:rPr>
          <w:rFonts w:ascii="Arial" w:eastAsia="Arial" w:hAnsi="Arial" w:cs="Arial"/>
          <w:color w:val="000000"/>
          <w:lang w:val="es-CR" w:eastAsia="es-CR"/>
        </w:rPr>
        <w:t xml:space="preserve">Presidente del Consejo Institucional, en el cual se le indica realizar los trámites correspondientes para dar respuesta a la AFITEC, </w:t>
      </w:r>
      <w:r w:rsidRPr="00102531">
        <w:rPr>
          <w:rFonts w:ascii="Arial" w:eastAsia="Arial" w:hAnsi="Arial" w:cs="Arial"/>
          <w:lang w:val="es-CR" w:eastAsia="es-CR"/>
        </w:rPr>
        <w:t>indicando</w:t>
      </w:r>
      <w:r w:rsidRPr="00102531">
        <w:rPr>
          <w:rFonts w:ascii="Arial" w:eastAsia="Arial" w:hAnsi="Arial" w:cs="Arial"/>
          <w:color w:val="000000"/>
          <w:lang w:val="es-CR" w:eastAsia="es-CR"/>
        </w:rPr>
        <w:t xml:space="preserve"> que se dispuso no dar trámite a la solicitud en razón de que la misma se recibió en forma extemporánea, dado que el plazo otorgado en el precitado acuerdo venció el 18 de octubre de 2018.</w:t>
      </w:r>
    </w:p>
    <w:p w:rsidR="00102531" w:rsidRPr="00102531" w:rsidRDefault="00102531" w:rsidP="00102531">
      <w:pPr>
        <w:pBdr>
          <w:top w:val="nil"/>
          <w:left w:val="nil"/>
          <w:bottom w:val="nil"/>
          <w:right w:val="nil"/>
          <w:between w:val="nil"/>
        </w:pBdr>
        <w:ind w:left="360" w:hanging="708"/>
        <w:jc w:val="both"/>
        <w:rPr>
          <w:rFonts w:ascii="Arial" w:eastAsia="Arial" w:hAnsi="Arial" w:cs="Arial"/>
          <w:color w:val="000000"/>
          <w:lang w:val="es-CR" w:eastAsia="es-CR"/>
        </w:rPr>
      </w:pPr>
    </w:p>
    <w:p w:rsidR="00B77B04" w:rsidRPr="00952F8F" w:rsidRDefault="00102531" w:rsidP="00102531">
      <w:pPr>
        <w:numPr>
          <w:ilvl w:val="0"/>
          <w:numId w:val="37"/>
        </w:numPr>
        <w:pBdr>
          <w:top w:val="nil"/>
          <w:left w:val="nil"/>
          <w:bottom w:val="nil"/>
          <w:right w:val="nil"/>
          <w:between w:val="nil"/>
        </w:pBdr>
        <w:ind w:left="360"/>
        <w:jc w:val="both"/>
        <w:rPr>
          <w:color w:val="000000"/>
          <w:lang w:val="es-CR" w:eastAsia="es-CR"/>
        </w:rPr>
      </w:pPr>
      <w:r w:rsidRPr="00102531">
        <w:rPr>
          <w:rFonts w:ascii="Arial" w:eastAsia="Arial" w:hAnsi="Arial" w:cs="Arial"/>
          <w:color w:val="000000"/>
          <w:lang w:val="es-CR" w:eastAsia="es-CR"/>
        </w:rPr>
        <w:t xml:space="preserve">La Secretaría del Consejo Institucional, recibe el oficio SCI-991-2018, con fecha de recibido 26 de noviembre de 2018, suscrito por el Dr. Humberto Villalta Solano, Presidente </w:t>
      </w:r>
      <w:proofErr w:type="spellStart"/>
      <w:r w:rsidRPr="00102531">
        <w:rPr>
          <w:rFonts w:ascii="Arial" w:eastAsia="Arial" w:hAnsi="Arial" w:cs="Arial"/>
          <w:color w:val="000000"/>
          <w:lang w:val="es-CR" w:eastAsia="es-CR"/>
        </w:rPr>
        <w:t>a.i.</w:t>
      </w:r>
      <w:proofErr w:type="spellEnd"/>
      <w:r w:rsidRPr="00102531">
        <w:rPr>
          <w:rFonts w:ascii="Arial" w:eastAsia="Arial" w:hAnsi="Arial" w:cs="Arial"/>
          <w:color w:val="000000"/>
          <w:lang w:val="es-CR" w:eastAsia="es-CR"/>
        </w:rPr>
        <w:t xml:space="preserve">, Consejo Institucional, dirigido al Dr. Celso Vargas Elizondo, Secretario General Adjunto, Asociación de Funcionarios del ITCR, con copia al Consejo Institucional, en el cual se hace devolución de oficio AFITEC-181-2018.  Solicitud de prórroga para referirse a los acuerdos de la Sesión Ordinaria No 3090, del 04 de octubre de 2018, Artículo 9 y 13 relacionados con las consultas a la AFITEC y a la Comunidad Institucional sobre la reforma  del Reglamento para concursos de antecedentes internos y externos del personal del Institucional Tecnológico de Costa Rica y la Propuesta de Modificación al Reglamento Evaluación del Desempeño Docente, se dispuso no dar trámite en virtud de que la solicitud  se recibió en forma extemporánea.   </w:t>
      </w:r>
      <w:bookmarkStart w:id="1" w:name="_GoBack"/>
      <w:bookmarkEnd w:id="1"/>
    </w:p>
    <w:p w:rsidR="00B77B04" w:rsidRPr="00102531" w:rsidRDefault="00B77B04" w:rsidP="00102531">
      <w:pPr>
        <w:pBdr>
          <w:top w:val="nil"/>
          <w:left w:val="nil"/>
          <w:bottom w:val="nil"/>
          <w:right w:val="nil"/>
          <w:between w:val="nil"/>
        </w:pBdr>
        <w:jc w:val="both"/>
        <w:rPr>
          <w:rFonts w:ascii="Arial" w:eastAsia="Arial" w:hAnsi="Arial" w:cs="Arial"/>
          <w:color w:val="000000"/>
          <w:lang w:val="es-CR" w:eastAsia="es-CR"/>
        </w:rPr>
      </w:pPr>
    </w:p>
    <w:p w:rsidR="00102531" w:rsidRPr="00102531" w:rsidRDefault="00102531" w:rsidP="00102531">
      <w:pPr>
        <w:pBdr>
          <w:top w:val="nil"/>
          <w:left w:val="nil"/>
          <w:bottom w:val="nil"/>
          <w:right w:val="nil"/>
          <w:between w:val="nil"/>
        </w:pBdr>
        <w:ind w:hanging="283"/>
        <w:jc w:val="both"/>
        <w:rPr>
          <w:rFonts w:ascii="Arial" w:eastAsia="Arial" w:hAnsi="Arial" w:cs="Arial"/>
          <w:b/>
          <w:color w:val="000000"/>
          <w:lang w:val="es-CR" w:eastAsia="es-CR"/>
        </w:rPr>
      </w:pPr>
      <w:r w:rsidRPr="00102531">
        <w:rPr>
          <w:rFonts w:ascii="Arial" w:eastAsia="Arial" w:hAnsi="Arial" w:cs="Arial"/>
          <w:b/>
          <w:color w:val="000000"/>
          <w:lang w:val="es-CR" w:eastAsia="es-CR"/>
        </w:rPr>
        <w:t>SE</w:t>
      </w:r>
      <w:r>
        <w:rPr>
          <w:rFonts w:ascii="Arial" w:eastAsia="Arial" w:hAnsi="Arial" w:cs="Arial"/>
          <w:b/>
          <w:color w:val="000000"/>
          <w:lang w:val="es-CR" w:eastAsia="es-CR"/>
        </w:rPr>
        <w:t xml:space="preserve"> ACUERDA</w:t>
      </w:r>
      <w:r w:rsidRPr="00102531">
        <w:rPr>
          <w:rFonts w:ascii="Arial" w:eastAsia="Arial" w:hAnsi="Arial" w:cs="Arial"/>
          <w:b/>
          <w:color w:val="000000"/>
          <w:lang w:val="es-CR" w:eastAsia="es-CR"/>
        </w:rPr>
        <w:t>:</w:t>
      </w:r>
    </w:p>
    <w:p w:rsidR="00102531" w:rsidRPr="00102531" w:rsidRDefault="00102531" w:rsidP="00102531">
      <w:pPr>
        <w:pBdr>
          <w:top w:val="nil"/>
          <w:left w:val="nil"/>
          <w:bottom w:val="nil"/>
          <w:right w:val="nil"/>
          <w:between w:val="nil"/>
        </w:pBdr>
        <w:ind w:hanging="283"/>
        <w:jc w:val="both"/>
        <w:rPr>
          <w:rFonts w:ascii="Arial" w:eastAsia="Arial" w:hAnsi="Arial" w:cs="Arial"/>
          <w:b/>
          <w:color w:val="000000"/>
          <w:lang w:val="es-CR" w:eastAsia="es-CR"/>
        </w:rPr>
      </w:pPr>
    </w:p>
    <w:p w:rsidR="00102531" w:rsidRPr="00102531" w:rsidRDefault="00102531" w:rsidP="00102531">
      <w:pPr>
        <w:numPr>
          <w:ilvl w:val="0"/>
          <w:numId w:val="39"/>
        </w:numPr>
        <w:ind w:left="284" w:hanging="568"/>
        <w:jc w:val="both"/>
        <w:rPr>
          <w:rFonts w:ascii="Arial" w:eastAsia="Arial" w:hAnsi="Arial" w:cs="Arial"/>
          <w:sz w:val="20"/>
          <w:szCs w:val="20"/>
          <w:lang w:val="es-CR" w:eastAsia="es-CR"/>
        </w:rPr>
      </w:pPr>
      <w:r w:rsidRPr="00102531">
        <w:rPr>
          <w:rFonts w:ascii="Arial" w:eastAsia="Arial" w:hAnsi="Arial" w:cs="Arial"/>
          <w:lang w:val="es-CR" w:eastAsia="es-CR"/>
        </w:rPr>
        <w:t xml:space="preserve">Modificar el Reglamento de Evaluación del Desempeño Académico del Instituto Tecnológico de Costa Rica, Capítulo 7: Recursos de Revocatoria y Apelación para </w:t>
      </w:r>
      <w:r w:rsidRPr="00102531">
        <w:rPr>
          <w:rFonts w:ascii="Arial" w:eastAsia="Arial" w:hAnsi="Arial" w:cs="Arial"/>
          <w:lang w:val="es-CR" w:eastAsia="es-CR"/>
        </w:rPr>
        <w:lastRenderedPageBreak/>
        <w:t xml:space="preserve">la Evaluación del Superior Jerárquico, Artículo 26 y Normas y Procedimientos de Evaluación Docente, Capítulo 6: Recursos de revocatoria y apelación para la evaluación docente contra la evaluación de los estudiantes, Artículo 19, para que se lea de la siguiente manera: </w:t>
      </w:r>
    </w:p>
    <w:p w:rsidR="00102531" w:rsidRPr="00102531" w:rsidRDefault="00102531" w:rsidP="00102531">
      <w:pPr>
        <w:pBdr>
          <w:top w:val="nil"/>
          <w:left w:val="nil"/>
          <w:bottom w:val="nil"/>
          <w:right w:val="nil"/>
          <w:between w:val="nil"/>
        </w:pBdr>
        <w:ind w:hanging="283"/>
        <w:jc w:val="center"/>
        <w:rPr>
          <w:rFonts w:ascii="Arial" w:eastAsia="Arial" w:hAnsi="Arial" w:cs="Arial"/>
          <w:b/>
          <w:color w:val="000000"/>
          <w:lang w:val="es-CR" w:eastAsia="es-CR"/>
        </w:rPr>
      </w:pPr>
    </w:p>
    <w:p w:rsidR="00102531" w:rsidRPr="00102531" w:rsidRDefault="00102531" w:rsidP="00102531">
      <w:pPr>
        <w:pBdr>
          <w:top w:val="nil"/>
          <w:left w:val="nil"/>
          <w:bottom w:val="nil"/>
          <w:right w:val="nil"/>
          <w:between w:val="nil"/>
        </w:pBdr>
        <w:ind w:hanging="283"/>
        <w:jc w:val="center"/>
        <w:rPr>
          <w:rFonts w:ascii="Arial" w:eastAsia="Arial" w:hAnsi="Arial" w:cs="Arial"/>
          <w:b/>
          <w:smallCaps/>
          <w:color w:val="000000"/>
          <w:lang w:val="es-CR" w:eastAsia="es-CR"/>
        </w:rPr>
      </w:pPr>
      <w:r w:rsidRPr="00102531">
        <w:rPr>
          <w:rFonts w:ascii="Arial" w:eastAsia="Arial" w:hAnsi="Arial" w:cs="Arial"/>
          <w:b/>
          <w:smallCaps/>
          <w:color w:val="000000"/>
          <w:lang w:val="es-CR" w:eastAsia="es-CR"/>
        </w:rPr>
        <w:t xml:space="preserve">REGLAMENTO DE EVALUACIÓN DEL DESEMPEÑO ACADÉMICO </w:t>
      </w:r>
    </w:p>
    <w:p w:rsidR="00102531" w:rsidRPr="00102531" w:rsidRDefault="00102531" w:rsidP="00102531">
      <w:pPr>
        <w:pBdr>
          <w:top w:val="nil"/>
          <w:left w:val="nil"/>
          <w:bottom w:val="nil"/>
          <w:right w:val="nil"/>
          <w:between w:val="nil"/>
        </w:pBdr>
        <w:ind w:hanging="283"/>
        <w:jc w:val="center"/>
        <w:rPr>
          <w:rFonts w:ascii="Arial" w:eastAsia="Arial" w:hAnsi="Arial" w:cs="Arial"/>
          <w:b/>
          <w:smallCaps/>
          <w:color w:val="000000"/>
          <w:lang w:val="es-CR" w:eastAsia="es-CR"/>
        </w:rPr>
      </w:pPr>
      <w:r w:rsidRPr="00102531">
        <w:rPr>
          <w:rFonts w:ascii="Arial" w:eastAsia="Arial" w:hAnsi="Arial" w:cs="Arial"/>
          <w:b/>
          <w:smallCaps/>
          <w:color w:val="000000"/>
          <w:lang w:val="es-CR" w:eastAsia="es-CR"/>
        </w:rPr>
        <w:t>DEL INSTITUTO TECNOLÓGICO DE COSTA RICA</w:t>
      </w:r>
    </w:p>
    <w:p w:rsidR="00102531" w:rsidRPr="00102531" w:rsidRDefault="00102531" w:rsidP="00102531">
      <w:pPr>
        <w:pBdr>
          <w:top w:val="nil"/>
          <w:left w:val="nil"/>
          <w:bottom w:val="nil"/>
          <w:right w:val="nil"/>
          <w:between w:val="nil"/>
        </w:pBdr>
        <w:ind w:hanging="283"/>
        <w:jc w:val="both"/>
        <w:rPr>
          <w:rFonts w:ascii="Arial" w:eastAsia="Arial" w:hAnsi="Arial" w:cs="Arial"/>
          <w:b/>
          <w:color w:val="000000"/>
          <w:lang w:val="es-CR" w:eastAsia="es-CR"/>
        </w:rPr>
      </w:pPr>
    </w:p>
    <w:p w:rsidR="00102531" w:rsidRPr="00102531" w:rsidRDefault="00102531" w:rsidP="00102531">
      <w:pPr>
        <w:pBdr>
          <w:top w:val="nil"/>
          <w:left w:val="nil"/>
          <w:bottom w:val="nil"/>
          <w:right w:val="nil"/>
          <w:between w:val="nil"/>
        </w:pBdr>
        <w:ind w:left="426" w:hanging="283"/>
        <w:jc w:val="both"/>
        <w:rPr>
          <w:rFonts w:ascii="Arial" w:eastAsia="Arial" w:hAnsi="Arial" w:cs="Arial"/>
          <w:b/>
          <w:color w:val="000000"/>
          <w:lang w:val="es-CR" w:eastAsia="es-CR"/>
        </w:rPr>
      </w:pPr>
      <w:r w:rsidRPr="00102531">
        <w:rPr>
          <w:rFonts w:ascii="Arial" w:eastAsia="Arial" w:hAnsi="Arial" w:cs="Arial"/>
          <w:b/>
          <w:color w:val="000000"/>
          <w:lang w:val="es-CR" w:eastAsia="es-CR"/>
        </w:rPr>
        <w:t>CAPÍTULO 7: RECURSOS DE REVOCATORIA Y APELACIÓN PARA LA EVALUACIÓN CONTRA LA EVALUACIÓN DEL SUPERIOR JERÁRQUICO</w:t>
      </w:r>
    </w:p>
    <w:p w:rsidR="00102531" w:rsidRPr="00102531" w:rsidRDefault="00102531" w:rsidP="00102531">
      <w:pPr>
        <w:pBdr>
          <w:top w:val="nil"/>
          <w:left w:val="nil"/>
          <w:bottom w:val="nil"/>
          <w:right w:val="nil"/>
          <w:between w:val="nil"/>
        </w:pBdr>
        <w:ind w:left="426" w:hanging="283"/>
        <w:jc w:val="both"/>
        <w:rPr>
          <w:rFonts w:ascii="Arial" w:eastAsia="Arial" w:hAnsi="Arial" w:cs="Arial"/>
          <w:b/>
          <w:color w:val="000000"/>
          <w:lang w:val="es-CR" w:eastAsia="es-CR"/>
        </w:rPr>
      </w:pPr>
    </w:p>
    <w:p w:rsidR="00102531" w:rsidRPr="00102531" w:rsidRDefault="00102531" w:rsidP="00102531">
      <w:pPr>
        <w:pBdr>
          <w:top w:val="nil"/>
          <w:left w:val="nil"/>
          <w:bottom w:val="nil"/>
          <w:right w:val="nil"/>
          <w:between w:val="nil"/>
        </w:pBdr>
        <w:ind w:left="426" w:hanging="283"/>
        <w:jc w:val="both"/>
        <w:rPr>
          <w:rFonts w:ascii="Arial" w:eastAsia="Arial" w:hAnsi="Arial" w:cs="Arial"/>
          <w:b/>
          <w:color w:val="000000"/>
          <w:lang w:val="es-CR" w:eastAsia="es-CR"/>
        </w:rPr>
      </w:pPr>
      <w:r w:rsidRPr="00102531">
        <w:rPr>
          <w:rFonts w:ascii="Arial" w:eastAsia="Arial" w:hAnsi="Arial" w:cs="Arial"/>
          <w:b/>
          <w:color w:val="000000"/>
          <w:lang w:val="es-CR" w:eastAsia="es-CR"/>
        </w:rPr>
        <w:t>Artículo 26</w:t>
      </w:r>
    </w:p>
    <w:p w:rsidR="00102531" w:rsidRPr="00102531" w:rsidRDefault="00102531" w:rsidP="00102531">
      <w:pPr>
        <w:pBdr>
          <w:top w:val="nil"/>
          <w:left w:val="nil"/>
          <w:bottom w:val="nil"/>
          <w:right w:val="nil"/>
          <w:between w:val="nil"/>
        </w:pBdr>
        <w:ind w:left="426" w:hanging="283"/>
        <w:jc w:val="both"/>
        <w:rPr>
          <w:rFonts w:ascii="Arial" w:eastAsia="Arial" w:hAnsi="Arial" w:cs="Arial"/>
          <w:b/>
          <w:color w:val="000000"/>
          <w:lang w:val="es-CR" w:eastAsia="es-CR"/>
        </w:rPr>
      </w:pPr>
    </w:p>
    <w:p w:rsidR="00102531" w:rsidRPr="00102531" w:rsidRDefault="00102531" w:rsidP="00102531">
      <w:pPr>
        <w:ind w:left="426"/>
        <w:jc w:val="both"/>
        <w:rPr>
          <w:rFonts w:ascii="Arial" w:eastAsia="Arial" w:hAnsi="Arial" w:cs="Arial"/>
          <w:lang w:val="es-CR" w:eastAsia="es-CR"/>
        </w:rPr>
      </w:pPr>
      <w:r w:rsidRPr="00102531">
        <w:rPr>
          <w:rFonts w:ascii="Arial" w:eastAsia="Arial" w:hAnsi="Arial" w:cs="Arial"/>
          <w:lang w:val="es-CR" w:eastAsia="es-CR"/>
        </w:rPr>
        <w:t xml:space="preserve">En caso de una resolución negativa y que no sea satisfactoria para </w:t>
      </w:r>
      <w:proofErr w:type="spellStart"/>
      <w:r w:rsidRPr="00102531">
        <w:rPr>
          <w:rFonts w:ascii="Arial" w:eastAsia="Arial" w:hAnsi="Arial" w:cs="Arial"/>
          <w:lang w:val="es-CR" w:eastAsia="es-CR"/>
        </w:rPr>
        <w:t>el</w:t>
      </w:r>
      <w:proofErr w:type="spellEnd"/>
      <w:r w:rsidRPr="00102531">
        <w:rPr>
          <w:rFonts w:ascii="Arial" w:eastAsia="Arial" w:hAnsi="Arial" w:cs="Arial"/>
          <w:lang w:val="es-CR" w:eastAsia="es-CR"/>
        </w:rPr>
        <w:t xml:space="preserve"> o la docente, este podrá acudir ante el </w:t>
      </w:r>
      <w:r w:rsidRPr="00102531">
        <w:rPr>
          <w:rFonts w:ascii="Arial" w:eastAsia="Arial" w:hAnsi="Arial" w:cs="Arial"/>
          <w:b/>
          <w:lang w:val="es-CR" w:eastAsia="es-CR"/>
        </w:rPr>
        <w:t>Vicerrector respectivo</w:t>
      </w:r>
      <w:r w:rsidRPr="00102531">
        <w:rPr>
          <w:rFonts w:ascii="Arial" w:eastAsia="Arial" w:hAnsi="Arial" w:cs="Arial"/>
          <w:lang w:val="es-CR" w:eastAsia="es-CR"/>
        </w:rPr>
        <w:t>, como segunda instancia resolutoria, dentro de los cinco días hábiles posteriores a recibir la resolución escrita del director, el cual contará con 15 días naturales para resolver la apelación.</w:t>
      </w:r>
    </w:p>
    <w:p w:rsidR="00102531" w:rsidRPr="00102531" w:rsidRDefault="00102531" w:rsidP="00102531">
      <w:pPr>
        <w:rPr>
          <w:rFonts w:ascii="Arial" w:eastAsia="Arial" w:hAnsi="Arial" w:cs="Arial"/>
          <w:b/>
          <w:sz w:val="22"/>
          <w:szCs w:val="22"/>
          <w:lang w:val="es-CR" w:eastAsia="es-CR"/>
        </w:rPr>
      </w:pPr>
    </w:p>
    <w:p w:rsidR="00102531" w:rsidRPr="00102531" w:rsidRDefault="00102531" w:rsidP="00102531">
      <w:pPr>
        <w:pBdr>
          <w:top w:val="nil"/>
          <w:left w:val="nil"/>
          <w:bottom w:val="nil"/>
          <w:right w:val="nil"/>
          <w:between w:val="nil"/>
        </w:pBdr>
        <w:ind w:left="426" w:hanging="283"/>
        <w:jc w:val="both"/>
        <w:rPr>
          <w:rFonts w:ascii="Arial" w:eastAsia="Arial" w:hAnsi="Arial" w:cs="Arial"/>
          <w:b/>
          <w:color w:val="000000"/>
          <w:lang w:val="es-CR" w:eastAsia="es-CR"/>
        </w:rPr>
      </w:pPr>
      <w:r w:rsidRPr="00102531">
        <w:rPr>
          <w:rFonts w:ascii="Arial" w:eastAsia="Arial" w:hAnsi="Arial" w:cs="Arial"/>
          <w:b/>
          <w:color w:val="000000"/>
          <w:lang w:val="es-CR" w:eastAsia="es-CR"/>
        </w:rPr>
        <w:t>NORMAS Y PROCEDIMIENTOS DE EVALUACIÓN DOCENTE</w:t>
      </w:r>
    </w:p>
    <w:p w:rsidR="00102531" w:rsidRPr="00102531" w:rsidRDefault="00102531" w:rsidP="00102531">
      <w:pPr>
        <w:rPr>
          <w:rFonts w:ascii="Arial" w:eastAsia="Arial" w:hAnsi="Arial" w:cs="Arial"/>
          <w:b/>
          <w:sz w:val="22"/>
          <w:szCs w:val="22"/>
          <w:lang w:val="es-CR" w:eastAsia="es-CR"/>
        </w:rPr>
      </w:pPr>
    </w:p>
    <w:p w:rsidR="00102531" w:rsidRPr="00102531" w:rsidRDefault="00102531" w:rsidP="00102531">
      <w:pPr>
        <w:pBdr>
          <w:top w:val="nil"/>
          <w:left w:val="nil"/>
          <w:bottom w:val="nil"/>
          <w:right w:val="nil"/>
          <w:between w:val="nil"/>
        </w:pBdr>
        <w:ind w:left="426" w:hanging="283"/>
        <w:jc w:val="both"/>
        <w:rPr>
          <w:rFonts w:ascii="Arial" w:eastAsia="Arial" w:hAnsi="Arial" w:cs="Arial"/>
          <w:b/>
          <w:color w:val="000000"/>
          <w:lang w:val="es-CR" w:eastAsia="es-CR"/>
        </w:rPr>
      </w:pPr>
      <w:r w:rsidRPr="00102531">
        <w:rPr>
          <w:rFonts w:ascii="Arial" w:eastAsia="Arial" w:hAnsi="Arial" w:cs="Arial"/>
          <w:b/>
          <w:color w:val="000000"/>
          <w:lang w:val="es-CR" w:eastAsia="es-CR"/>
        </w:rPr>
        <w:t>Artículo 19</w:t>
      </w:r>
    </w:p>
    <w:p w:rsidR="00102531" w:rsidRPr="00102531" w:rsidRDefault="00102531" w:rsidP="00102531">
      <w:pPr>
        <w:pBdr>
          <w:top w:val="nil"/>
          <w:left w:val="nil"/>
          <w:bottom w:val="nil"/>
          <w:right w:val="nil"/>
          <w:between w:val="nil"/>
        </w:pBdr>
        <w:ind w:left="426" w:hanging="283"/>
        <w:jc w:val="both"/>
        <w:rPr>
          <w:rFonts w:ascii="Arial" w:eastAsia="Arial" w:hAnsi="Arial" w:cs="Arial"/>
          <w:b/>
          <w:color w:val="000000"/>
          <w:lang w:val="es-CR" w:eastAsia="es-CR"/>
        </w:rPr>
      </w:pPr>
    </w:p>
    <w:p w:rsidR="00102531" w:rsidRPr="00102531" w:rsidRDefault="00102531" w:rsidP="00102531">
      <w:pPr>
        <w:pBdr>
          <w:top w:val="nil"/>
          <w:left w:val="nil"/>
          <w:bottom w:val="nil"/>
          <w:right w:val="nil"/>
          <w:between w:val="nil"/>
        </w:pBdr>
        <w:ind w:left="426"/>
        <w:jc w:val="both"/>
        <w:rPr>
          <w:rFonts w:ascii="Arial" w:eastAsia="Arial" w:hAnsi="Arial" w:cs="Arial"/>
          <w:lang w:val="es-CR" w:eastAsia="es-CR"/>
        </w:rPr>
      </w:pPr>
      <w:r w:rsidRPr="00102531">
        <w:rPr>
          <w:rFonts w:ascii="Arial" w:eastAsia="Arial" w:hAnsi="Arial" w:cs="Arial"/>
          <w:color w:val="000000"/>
          <w:lang w:val="es-CR" w:eastAsia="es-CR"/>
        </w:rPr>
        <w:t xml:space="preserve">En caso de rechazo del recurso de revocatoria ante el Director, el funcionario podrá apelar la evaluación ante el </w:t>
      </w:r>
      <w:r w:rsidRPr="00102531">
        <w:rPr>
          <w:rFonts w:ascii="Arial" w:eastAsia="Arial" w:hAnsi="Arial" w:cs="Arial"/>
          <w:b/>
          <w:color w:val="000000"/>
          <w:lang w:val="es-CR" w:eastAsia="es-CR"/>
        </w:rPr>
        <w:t>Vicerrector respectivo</w:t>
      </w:r>
      <w:r w:rsidRPr="00102531">
        <w:rPr>
          <w:rFonts w:ascii="Arial" w:eastAsia="Arial" w:hAnsi="Arial" w:cs="Arial"/>
          <w:color w:val="000000"/>
          <w:lang w:val="es-CR" w:eastAsia="es-CR"/>
        </w:rPr>
        <w:t>. C</w:t>
      </w:r>
      <w:r w:rsidRPr="00102531">
        <w:rPr>
          <w:rFonts w:ascii="Arial" w:eastAsia="Arial" w:hAnsi="Arial" w:cs="Arial"/>
          <w:lang w:val="es-CR" w:eastAsia="es-CR"/>
        </w:rPr>
        <w:t>ontará con cinco días hábiles para presentarla, a partir de la notificación del rechazo. Para hacerlo deberá cumplir con los mismos requerimientos establecidos en los artículos 123 y 126 de la Ley de Administración Pública.</w:t>
      </w:r>
    </w:p>
    <w:p w:rsidR="000C7F00" w:rsidRPr="00102531" w:rsidRDefault="000C7F00" w:rsidP="007742A1">
      <w:pPr>
        <w:jc w:val="both"/>
        <w:rPr>
          <w:rFonts w:ascii="Arial" w:eastAsia="Cambria" w:hAnsi="Arial" w:cs="Arial"/>
          <w:lang w:val="es-CR" w:eastAsia="en-US"/>
        </w:rPr>
      </w:pPr>
    </w:p>
    <w:p w:rsidR="00215C41" w:rsidRPr="000C7F00" w:rsidRDefault="00BB6A5E" w:rsidP="00B77B04">
      <w:pPr>
        <w:numPr>
          <w:ilvl w:val="0"/>
          <w:numId w:val="39"/>
        </w:numPr>
        <w:ind w:left="284" w:hanging="568"/>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0C7F00" w:rsidRDefault="000C7F00" w:rsidP="000C7F00">
      <w:pPr>
        <w:contextualSpacing/>
        <w:jc w:val="both"/>
        <w:rPr>
          <w:rFonts w:ascii="Arial" w:hAnsi="Arial" w:cs="Arial"/>
          <w:b/>
          <w:lang w:val="es-CR"/>
        </w:rPr>
      </w:pPr>
    </w:p>
    <w:p w:rsidR="00102531" w:rsidRDefault="00102531" w:rsidP="00102531">
      <w:pPr>
        <w:rPr>
          <w:rFonts w:ascii="Arial" w:eastAsia="Arial" w:hAnsi="Arial" w:cs="Arial"/>
          <w:b/>
          <w:sz w:val="22"/>
          <w:szCs w:val="22"/>
          <w:lang w:val="es-CR" w:eastAsia="es-CR"/>
        </w:rPr>
      </w:pPr>
    </w:p>
    <w:p w:rsidR="00102531" w:rsidRDefault="00102531" w:rsidP="00102531">
      <w:pPr>
        <w:rPr>
          <w:rFonts w:ascii="Arial" w:eastAsia="Arial" w:hAnsi="Arial" w:cs="Arial"/>
          <w:b/>
          <w:sz w:val="22"/>
          <w:szCs w:val="22"/>
          <w:lang w:val="es-CR" w:eastAsia="es-CR"/>
        </w:rPr>
      </w:pPr>
      <w:r w:rsidRPr="00102531">
        <w:rPr>
          <w:rFonts w:ascii="Arial" w:eastAsia="Arial" w:hAnsi="Arial" w:cs="Arial"/>
          <w:b/>
          <w:sz w:val="22"/>
          <w:szCs w:val="22"/>
          <w:lang w:val="es-CR" w:eastAsia="es-CR"/>
        </w:rPr>
        <w:t>Palabras Clave:  Modificación-Reglamento- Evaluación-Desempeño</w:t>
      </w:r>
    </w:p>
    <w:p w:rsidR="00B77B04" w:rsidRDefault="00B77B04" w:rsidP="00102531">
      <w:pPr>
        <w:rPr>
          <w:rFonts w:ascii="Arial" w:eastAsia="Arial" w:hAnsi="Arial" w:cs="Arial"/>
          <w:b/>
          <w:sz w:val="22"/>
          <w:szCs w:val="22"/>
          <w:lang w:val="es-CR" w:eastAsia="es-CR"/>
        </w:rPr>
      </w:pPr>
    </w:p>
    <w:p w:rsidR="00B77B04" w:rsidRPr="00102531" w:rsidRDefault="00B77B04" w:rsidP="00102531">
      <w:pPr>
        <w:rPr>
          <w:rFonts w:ascii="Arial" w:eastAsia="Arial" w:hAnsi="Arial" w:cs="Arial"/>
          <w:b/>
          <w:sz w:val="22"/>
          <w:szCs w:val="22"/>
          <w:lang w:val="es-CR" w:eastAsia="es-CR"/>
        </w:rPr>
      </w:pPr>
    </w:p>
    <w:p w:rsidR="00885DF1" w:rsidRPr="00102531" w:rsidRDefault="00885DF1" w:rsidP="00102531">
      <w:pPr>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B77B04"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r w:rsidR="00B77B04" w:rsidRPr="00102531">
        <w:rPr>
          <w:rFonts w:ascii="Arial" w:eastAsia="Arial" w:hAnsi="Arial" w:cs="Arial"/>
          <w:b/>
          <w:color w:val="000000"/>
          <w:sz w:val="16"/>
          <w:szCs w:val="16"/>
          <w:lang w:val="es-CR" w:eastAsia="es-CR"/>
        </w:rPr>
        <w:t>Lic. Ángel Benjamín Campos Chavarría, Profesor de la Escuela de Idiomas y Ciencia Sociales</w:t>
      </w:r>
    </w:p>
    <w:p w:rsidR="00B77B04" w:rsidRDefault="00B77B04" w:rsidP="00F41044">
      <w:pPr>
        <w:jc w:val="both"/>
        <w:rPr>
          <w:rFonts w:ascii="Arial" w:eastAsia="Cambria" w:hAnsi="Arial" w:cs="Arial"/>
          <w:sz w:val="22"/>
          <w:szCs w:val="22"/>
          <w:lang w:val="es-CR" w:eastAsia="en-US"/>
        </w:rPr>
      </w:pP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51" w:rsidRDefault="004A5051">
      <w:r>
        <w:separator/>
      </w:r>
    </w:p>
  </w:endnote>
  <w:endnote w:type="continuationSeparator" w:id="0">
    <w:p w:rsidR="004A5051" w:rsidRDefault="004A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51" w:rsidRDefault="004A5051">
      <w:r>
        <w:separator/>
      </w:r>
    </w:p>
  </w:footnote>
  <w:footnote w:type="continuationSeparator" w:id="0">
    <w:p w:rsidR="004A5051" w:rsidRDefault="004A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AA61D4">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CE015E">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61D4">
      <w:rPr>
        <w:rFonts w:ascii="Arial" w:eastAsia="Cambria" w:hAnsi="Arial" w:cs="Arial"/>
        <w:i/>
        <w:sz w:val="18"/>
        <w:szCs w:val="18"/>
        <w:lang w:val="es-ES_tradnl" w:eastAsia="x-none"/>
      </w:rPr>
      <w:t>23</w:t>
    </w:r>
    <w:r>
      <w:rPr>
        <w:rFonts w:ascii="Arial" w:eastAsia="Cambria" w:hAnsi="Arial" w:cs="Arial"/>
        <w:i/>
        <w:sz w:val="18"/>
        <w:szCs w:val="18"/>
        <w:lang w:val="es-ES_tradnl" w:eastAsia="x-none"/>
      </w:rPr>
      <w:t xml:space="preserve"> de e</w:t>
    </w:r>
    <w:r w:rsidR="00AA61D4">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52F8F">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F1166"/>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3E7F9F"/>
    <w:multiLevelType w:val="hybridMultilevel"/>
    <w:tmpl w:val="9EB64596"/>
    <w:lvl w:ilvl="0" w:tplc="140A0017">
      <w:start w:val="1"/>
      <w:numFmt w:val="lowerLetter"/>
      <w:lvlText w:val="%1)"/>
      <w:lvlJc w:val="left"/>
      <w:pPr>
        <w:ind w:left="1028" w:hanging="360"/>
      </w:pPr>
      <w:rPr>
        <w:rFonts w:hint="default"/>
      </w:rPr>
    </w:lvl>
    <w:lvl w:ilvl="1" w:tplc="140A0019">
      <w:start w:val="1"/>
      <w:numFmt w:val="lowerLetter"/>
      <w:lvlText w:val="%2."/>
      <w:lvlJc w:val="left"/>
      <w:pPr>
        <w:ind w:left="1748" w:hanging="360"/>
      </w:pPr>
    </w:lvl>
    <w:lvl w:ilvl="2" w:tplc="140A001B" w:tentative="1">
      <w:start w:val="1"/>
      <w:numFmt w:val="lowerRoman"/>
      <w:lvlText w:val="%3."/>
      <w:lvlJc w:val="right"/>
      <w:pPr>
        <w:ind w:left="2468" w:hanging="180"/>
      </w:pPr>
    </w:lvl>
    <w:lvl w:ilvl="3" w:tplc="140A000F" w:tentative="1">
      <w:start w:val="1"/>
      <w:numFmt w:val="decimal"/>
      <w:lvlText w:val="%4."/>
      <w:lvlJc w:val="left"/>
      <w:pPr>
        <w:ind w:left="3188" w:hanging="360"/>
      </w:pPr>
    </w:lvl>
    <w:lvl w:ilvl="4" w:tplc="140A0019" w:tentative="1">
      <w:start w:val="1"/>
      <w:numFmt w:val="lowerLetter"/>
      <w:lvlText w:val="%5."/>
      <w:lvlJc w:val="left"/>
      <w:pPr>
        <w:ind w:left="3908" w:hanging="360"/>
      </w:pPr>
    </w:lvl>
    <w:lvl w:ilvl="5" w:tplc="140A001B" w:tentative="1">
      <w:start w:val="1"/>
      <w:numFmt w:val="lowerRoman"/>
      <w:lvlText w:val="%6."/>
      <w:lvlJc w:val="right"/>
      <w:pPr>
        <w:ind w:left="4628" w:hanging="180"/>
      </w:pPr>
    </w:lvl>
    <w:lvl w:ilvl="6" w:tplc="140A000F" w:tentative="1">
      <w:start w:val="1"/>
      <w:numFmt w:val="decimal"/>
      <w:lvlText w:val="%7."/>
      <w:lvlJc w:val="left"/>
      <w:pPr>
        <w:ind w:left="5348" w:hanging="360"/>
      </w:pPr>
    </w:lvl>
    <w:lvl w:ilvl="7" w:tplc="140A0019" w:tentative="1">
      <w:start w:val="1"/>
      <w:numFmt w:val="lowerLetter"/>
      <w:lvlText w:val="%8."/>
      <w:lvlJc w:val="left"/>
      <w:pPr>
        <w:ind w:left="6068" w:hanging="360"/>
      </w:pPr>
    </w:lvl>
    <w:lvl w:ilvl="8" w:tplc="140A001B" w:tentative="1">
      <w:start w:val="1"/>
      <w:numFmt w:val="lowerRoman"/>
      <w:lvlText w:val="%9."/>
      <w:lvlJc w:val="right"/>
      <w:pPr>
        <w:ind w:left="6788" w:hanging="180"/>
      </w:pPr>
    </w:lvl>
  </w:abstractNum>
  <w:abstractNum w:abstractNumId="4" w15:restartNumberingAfterBreak="0">
    <w:nsid w:val="09651F00"/>
    <w:multiLevelType w:val="hybridMultilevel"/>
    <w:tmpl w:val="F6B295F6"/>
    <w:lvl w:ilvl="0" w:tplc="77161DD2">
      <w:start w:val="1"/>
      <w:numFmt w:val="lowerLetter"/>
      <w:lvlText w:val="%1)"/>
      <w:lvlJc w:val="left"/>
      <w:pPr>
        <w:ind w:left="720" w:hanging="360"/>
      </w:pPr>
      <w:rPr>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210288"/>
    <w:multiLevelType w:val="hybridMultilevel"/>
    <w:tmpl w:val="157EC5E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6A5E51"/>
    <w:multiLevelType w:val="hybridMultilevel"/>
    <w:tmpl w:val="3D0AFC72"/>
    <w:lvl w:ilvl="0" w:tplc="41B2D724">
      <w:start w:val="1"/>
      <w:numFmt w:val="lowerLetter"/>
      <w:lvlText w:val="%1)"/>
      <w:lvlJc w:val="left"/>
      <w:pPr>
        <w:ind w:left="862" w:hanging="360"/>
      </w:pPr>
      <w:rPr>
        <w:rFonts w:ascii="CIDFont+F2" w:hAnsi="CIDFont+F2" w:cs="CIDFont+F2" w:hint="default"/>
        <w:b/>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7" w15:restartNumberingAfterBreak="0">
    <w:nsid w:val="108C7015"/>
    <w:multiLevelType w:val="hybridMultilevel"/>
    <w:tmpl w:val="23A01420"/>
    <w:lvl w:ilvl="0" w:tplc="6BB461FE">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5108D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9" w15:restartNumberingAfterBreak="0">
    <w:nsid w:val="152D07A1"/>
    <w:multiLevelType w:val="hybridMultilevel"/>
    <w:tmpl w:val="576EAE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8234E4"/>
    <w:multiLevelType w:val="hybridMultilevel"/>
    <w:tmpl w:val="AEB4B03E"/>
    <w:lvl w:ilvl="0" w:tplc="140A000B">
      <w:start w:val="1"/>
      <w:numFmt w:val="bullet"/>
      <w:lvlText w:val=""/>
      <w:lvlJc w:val="left"/>
      <w:pPr>
        <w:ind w:left="712" w:hanging="360"/>
      </w:pPr>
      <w:rPr>
        <w:rFonts w:ascii="Wingdings" w:hAnsi="Wingdings" w:hint="default"/>
      </w:rPr>
    </w:lvl>
    <w:lvl w:ilvl="1" w:tplc="140A0003" w:tentative="1">
      <w:start w:val="1"/>
      <w:numFmt w:val="bullet"/>
      <w:lvlText w:val="o"/>
      <w:lvlJc w:val="left"/>
      <w:pPr>
        <w:ind w:left="1432" w:hanging="360"/>
      </w:pPr>
      <w:rPr>
        <w:rFonts w:ascii="Courier New" w:hAnsi="Courier New" w:cs="Courier New" w:hint="default"/>
      </w:rPr>
    </w:lvl>
    <w:lvl w:ilvl="2" w:tplc="140A0005" w:tentative="1">
      <w:start w:val="1"/>
      <w:numFmt w:val="bullet"/>
      <w:lvlText w:val=""/>
      <w:lvlJc w:val="left"/>
      <w:pPr>
        <w:ind w:left="2152" w:hanging="360"/>
      </w:pPr>
      <w:rPr>
        <w:rFonts w:ascii="Wingdings" w:hAnsi="Wingdings" w:hint="default"/>
      </w:rPr>
    </w:lvl>
    <w:lvl w:ilvl="3" w:tplc="140A0001" w:tentative="1">
      <w:start w:val="1"/>
      <w:numFmt w:val="bullet"/>
      <w:lvlText w:val=""/>
      <w:lvlJc w:val="left"/>
      <w:pPr>
        <w:ind w:left="2872" w:hanging="360"/>
      </w:pPr>
      <w:rPr>
        <w:rFonts w:ascii="Symbol" w:hAnsi="Symbol" w:hint="default"/>
      </w:rPr>
    </w:lvl>
    <w:lvl w:ilvl="4" w:tplc="140A0003" w:tentative="1">
      <w:start w:val="1"/>
      <w:numFmt w:val="bullet"/>
      <w:lvlText w:val="o"/>
      <w:lvlJc w:val="left"/>
      <w:pPr>
        <w:ind w:left="3592" w:hanging="360"/>
      </w:pPr>
      <w:rPr>
        <w:rFonts w:ascii="Courier New" w:hAnsi="Courier New" w:cs="Courier New" w:hint="default"/>
      </w:rPr>
    </w:lvl>
    <w:lvl w:ilvl="5" w:tplc="140A0005" w:tentative="1">
      <w:start w:val="1"/>
      <w:numFmt w:val="bullet"/>
      <w:lvlText w:val=""/>
      <w:lvlJc w:val="left"/>
      <w:pPr>
        <w:ind w:left="4312" w:hanging="360"/>
      </w:pPr>
      <w:rPr>
        <w:rFonts w:ascii="Wingdings" w:hAnsi="Wingdings" w:hint="default"/>
      </w:rPr>
    </w:lvl>
    <w:lvl w:ilvl="6" w:tplc="140A0001" w:tentative="1">
      <w:start w:val="1"/>
      <w:numFmt w:val="bullet"/>
      <w:lvlText w:val=""/>
      <w:lvlJc w:val="left"/>
      <w:pPr>
        <w:ind w:left="5032" w:hanging="360"/>
      </w:pPr>
      <w:rPr>
        <w:rFonts w:ascii="Symbol" w:hAnsi="Symbol" w:hint="default"/>
      </w:rPr>
    </w:lvl>
    <w:lvl w:ilvl="7" w:tplc="140A0003" w:tentative="1">
      <w:start w:val="1"/>
      <w:numFmt w:val="bullet"/>
      <w:lvlText w:val="o"/>
      <w:lvlJc w:val="left"/>
      <w:pPr>
        <w:ind w:left="5752" w:hanging="360"/>
      </w:pPr>
      <w:rPr>
        <w:rFonts w:ascii="Courier New" w:hAnsi="Courier New" w:cs="Courier New" w:hint="default"/>
      </w:rPr>
    </w:lvl>
    <w:lvl w:ilvl="8" w:tplc="140A0005" w:tentative="1">
      <w:start w:val="1"/>
      <w:numFmt w:val="bullet"/>
      <w:lvlText w:val=""/>
      <w:lvlJc w:val="left"/>
      <w:pPr>
        <w:ind w:left="6472" w:hanging="360"/>
      </w:pPr>
      <w:rPr>
        <w:rFonts w:ascii="Wingdings" w:hAnsi="Wingdings" w:hint="default"/>
      </w:rPr>
    </w:lvl>
  </w:abstractNum>
  <w:abstractNum w:abstractNumId="11" w15:restartNumberingAfterBreak="0">
    <w:nsid w:val="1AB01850"/>
    <w:multiLevelType w:val="hybridMultilevel"/>
    <w:tmpl w:val="FEBCFAA8"/>
    <w:lvl w:ilvl="0" w:tplc="80E8CF22">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2"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0730F72"/>
    <w:multiLevelType w:val="hybridMultilevel"/>
    <w:tmpl w:val="65B424BE"/>
    <w:lvl w:ilvl="0" w:tplc="80E8CF22">
      <w:start w:val="1"/>
      <w:numFmt w:val="lowerLetter"/>
      <w:lvlText w:val="%1)"/>
      <w:lvlJc w:val="left"/>
      <w:pPr>
        <w:ind w:left="1638" w:hanging="360"/>
      </w:pPr>
    </w:lvl>
    <w:lvl w:ilvl="1" w:tplc="140A0019">
      <w:start w:val="1"/>
      <w:numFmt w:val="lowerLetter"/>
      <w:lvlText w:val="%2."/>
      <w:lvlJc w:val="left"/>
      <w:pPr>
        <w:ind w:left="2358" w:hanging="360"/>
      </w:pPr>
    </w:lvl>
    <w:lvl w:ilvl="2" w:tplc="140A001B">
      <w:start w:val="1"/>
      <w:numFmt w:val="lowerRoman"/>
      <w:lvlText w:val="%3."/>
      <w:lvlJc w:val="right"/>
      <w:pPr>
        <w:ind w:left="3078" w:hanging="180"/>
      </w:pPr>
    </w:lvl>
    <w:lvl w:ilvl="3" w:tplc="140A000F">
      <w:start w:val="1"/>
      <w:numFmt w:val="decimal"/>
      <w:lvlText w:val="%4."/>
      <w:lvlJc w:val="left"/>
      <w:pPr>
        <w:ind w:left="3798" w:hanging="360"/>
      </w:pPr>
    </w:lvl>
    <w:lvl w:ilvl="4" w:tplc="140A0019">
      <w:start w:val="1"/>
      <w:numFmt w:val="lowerLetter"/>
      <w:lvlText w:val="%5."/>
      <w:lvlJc w:val="left"/>
      <w:pPr>
        <w:ind w:left="4518" w:hanging="360"/>
      </w:pPr>
    </w:lvl>
    <w:lvl w:ilvl="5" w:tplc="140A001B">
      <w:start w:val="1"/>
      <w:numFmt w:val="lowerRoman"/>
      <w:lvlText w:val="%6."/>
      <w:lvlJc w:val="right"/>
      <w:pPr>
        <w:ind w:left="5238" w:hanging="180"/>
      </w:pPr>
    </w:lvl>
    <w:lvl w:ilvl="6" w:tplc="140A000F">
      <w:start w:val="1"/>
      <w:numFmt w:val="decimal"/>
      <w:lvlText w:val="%7."/>
      <w:lvlJc w:val="left"/>
      <w:pPr>
        <w:ind w:left="5958" w:hanging="360"/>
      </w:pPr>
    </w:lvl>
    <w:lvl w:ilvl="7" w:tplc="140A0019">
      <w:start w:val="1"/>
      <w:numFmt w:val="lowerLetter"/>
      <w:lvlText w:val="%8."/>
      <w:lvlJc w:val="left"/>
      <w:pPr>
        <w:ind w:left="6678" w:hanging="360"/>
      </w:pPr>
    </w:lvl>
    <w:lvl w:ilvl="8" w:tplc="140A001B">
      <w:start w:val="1"/>
      <w:numFmt w:val="lowerRoman"/>
      <w:lvlText w:val="%9."/>
      <w:lvlJc w:val="right"/>
      <w:pPr>
        <w:ind w:left="7398" w:hanging="180"/>
      </w:pPr>
    </w:lvl>
  </w:abstractNum>
  <w:abstractNum w:abstractNumId="14" w15:restartNumberingAfterBreak="0">
    <w:nsid w:val="2698596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EB908A3C"/>
    <w:lvl w:ilvl="0" w:tplc="8036260A">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162F06"/>
    <w:multiLevelType w:val="hybridMultilevel"/>
    <w:tmpl w:val="114CD1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CCA0EA8"/>
    <w:multiLevelType w:val="hybridMultilevel"/>
    <w:tmpl w:val="93522D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FA10167"/>
    <w:multiLevelType w:val="hybridMultilevel"/>
    <w:tmpl w:val="58D41D18"/>
    <w:lvl w:ilvl="0" w:tplc="95BA7F58">
      <w:start w:val="1"/>
      <w:numFmt w:val="lowerLetter"/>
      <w:lvlText w:val="%1."/>
      <w:lvlJc w:val="left"/>
      <w:pPr>
        <w:ind w:left="436" w:hanging="360"/>
      </w:pPr>
      <w:rPr>
        <w:b/>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9" w15:restartNumberingAfterBreak="0">
    <w:nsid w:val="30916520"/>
    <w:multiLevelType w:val="singleLevel"/>
    <w:tmpl w:val="679C691E"/>
    <w:lvl w:ilvl="0">
      <w:start w:val="1"/>
      <w:numFmt w:val="lowerLetter"/>
      <w:lvlText w:val="%1."/>
      <w:lvlJc w:val="left"/>
      <w:pPr>
        <w:tabs>
          <w:tab w:val="num" w:pos="927"/>
        </w:tabs>
        <w:ind w:left="850" w:hanging="283"/>
      </w:pPr>
      <w:rPr>
        <w:rFonts w:cs="Times New Roman" w:hint="default"/>
        <w:b/>
        <w:i w:val="0"/>
        <w:sz w:val="22"/>
      </w:rPr>
    </w:lvl>
  </w:abstractNum>
  <w:abstractNum w:abstractNumId="20" w15:restartNumberingAfterBreak="0">
    <w:nsid w:val="374F234E"/>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21" w15:restartNumberingAfterBreak="0">
    <w:nsid w:val="38763FB8"/>
    <w:multiLevelType w:val="multilevel"/>
    <w:tmpl w:val="73727E80"/>
    <w:lvl w:ilvl="0">
      <w:start w:val="1"/>
      <w:numFmt w:val="decimal"/>
      <w:lvlText w:val="%1."/>
      <w:lvlJc w:val="left"/>
      <w:pPr>
        <w:ind w:left="5747"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DA3C69"/>
    <w:multiLevelType w:val="multilevel"/>
    <w:tmpl w:val="B7389700"/>
    <w:lvl w:ilvl="0">
      <w:start w:val="1"/>
      <w:numFmt w:val="decimal"/>
      <w:lvlText w:val="%1."/>
      <w:lvlJc w:val="left"/>
      <w:pPr>
        <w:ind w:left="5747" w:hanging="360"/>
      </w:pPr>
      <w:rPr>
        <w:rFonts w:ascii="Arial" w:eastAsia="Arial" w:hAnsi="Arial" w:cs="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F410E3"/>
    <w:multiLevelType w:val="multilevel"/>
    <w:tmpl w:val="3000B64C"/>
    <w:lvl w:ilvl="0">
      <w:start w:val="1"/>
      <w:numFmt w:val="lowerLetter"/>
      <w:lvlText w:val="%1."/>
      <w:lvlJc w:val="left"/>
      <w:pPr>
        <w:ind w:left="720" w:hanging="360"/>
      </w:pPr>
      <w:rPr>
        <w:b/>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EEE6AF7"/>
    <w:multiLevelType w:val="hybridMultilevel"/>
    <w:tmpl w:val="C2BE7544"/>
    <w:lvl w:ilvl="0" w:tplc="EDA2E0AA">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0A70792"/>
    <w:multiLevelType w:val="hybridMultilevel"/>
    <w:tmpl w:val="4C64FD8A"/>
    <w:lvl w:ilvl="0" w:tplc="A4CEF37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27"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8" w15:restartNumberingAfterBreak="0">
    <w:nsid w:val="45115B1E"/>
    <w:multiLevelType w:val="hybridMultilevel"/>
    <w:tmpl w:val="8E2CBD9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36A1AFD"/>
    <w:multiLevelType w:val="hybridMultilevel"/>
    <w:tmpl w:val="DF62643E"/>
    <w:lvl w:ilvl="0" w:tplc="040ECC16">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2" w15:restartNumberingAfterBreak="0">
    <w:nsid w:val="6645336B"/>
    <w:multiLevelType w:val="hybridMultilevel"/>
    <w:tmpl w:val="38C8C84A"/>
    <w:lvl w:ilvl="0" w:tplc="7922A2A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7C5BC1"/>
    <w:multiLevelType w:val="hybridMultilevel"/>
    <w:tmpl w:val="4AC27A58"/>
    <w:lvl w:ilvl="0" w:tplc="FEBC10CE">
      <w:start w:val="1"/>
      <w:numFmt w:val="decimal"/>
      <w:lvlText w:val="%1."/>
      <w:lvlJc w:val="left"/>
      <w:pPr>
        <w:tabs>
          <w:tab w:val="num" w:pos="284"/>
        </w:tabs>
        <w:ind w:left="284" w:hanging="284"/>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0345397"/>
    <w:multiLevelType w:val="hybridMultilevel"/>
    <w:tmpl w:val="26841708"/>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1" w15:restartNumberingAfterBreak="0">
    <w:nsid w:val="7D3B2624"/>
    <w:multiLevelType w:val="hybridMultilevel"/>
    <w:tmpl w:val="F6C0AC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39"/>
  </w:num>
  <w:num w:numId="3">
    <w:abstractNumId w:val="40"/>
  </w:num>
  <w:num w:numId="4">
    <w:abstractNumId w:val="0"/>
  </w:num>
  <w:num w:numId="5">
    <w:abstractNumId w:val="38"/>
  </w:num>
  <w:num w:numId="6">
    <w:abstractNumId w:val="3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35"/>
  </w:num>
  <w:num w:numId="11">
    <w:abstractNumId w:val="15"/>
  </w:num>
  <w:num w:numId="12">
    <w:abstractNumId w:val="28"/>
  </w:num>
  <w:num w:numId="13">
    <w:abstractNumId w:val="14"/>
  </w:num>
  <w:num w:numId="14">
    <w:abstractNumId w:val="4"/>
  </w:num>
  <w:num w:numId="15">
    <w:abstractNumId w:val="29"/>
  </w:num>
  <w:num w:numId="16">
    <w:abstractNumId w:val="7"/>
  </w:num>
  <w:num w:numId="17">
    <w:abstractNumId w:val="36"/>
  </w:num>
  <w:num w:numId="18">
    <w:abstractNumId w:val="18"/>
  </w:num>
  <w:num w:numId="19">
    <w:abstractNumId w:val="31"/>
  </w:num>
  <w:num w:numId="20">
    <w:abstractNumId w:val="10"/>
  </w:num>
  <w:num w:numId="21">
    <w:abstractNumId w:val="33"/>
  </w:num>
  <w:num w:numId="22">
    <w:abstractNumId w:val="1"/>
  </w:num>
  <w:num w:numId="23">
    <w:abstractNumId w:val="6"/>
  </w:num>
  <w:num w:numId="24">
    <w:abstractNumId w:val="19"/>
  </w:num>
  <w:num w:numId="25">
    <w:abstractNumId w:val="22"/>
  </w:num>
  <w:num w:numId="26">
    <w:abstractNumId w:val="12"/>
  </w:num>
  <w:num w:numId="27">
    <w:abstractNumId w:val="3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6"/>
  </w:num>
  <w:num w:numId="32">
    <w:abstractNumId w:val="13"/>
  </w:num>
  <w:num w:numId="33">
    <w:abstractNumId w:val="16"/>
  </w:num>
  <w:num w:numId="34">
    <w:abstractNumId w:val="3"/>
  </w:num>
  <w:num w:numId="35">
    <w:abstractNumId w:val="41"/>
  </w:num>
  <w:num w:numId="36">
    <w:abstractNumId w:val="25"/>
  </w:num>
  <w:num w:numId="37">
    <w:abstractNumId w:val="23"/>
  </w:num>
  <w:num w:numId="38">
    <w:abstractNumId w:val="21"/>
  </w:num>
  <w:num w:numId="39">
    <w:abstractNumId w:val="24"/>
  </w:num>
  <w:num w:numId="40">
    <w:abstractNumId w:val="5"/>
  </w:num>
  <w:num w:numId="41">
    <w:abstractNumId w:val="17"/>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E47F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08C42-1121-4A80-83D5-9643ED4D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6</Pages>
  <Words>2294</Words>
  <Characters>12619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98</cp:revision>
  <cp:lastPrinted>2019-01-23T20:09:00Z</cp:lastPrinted>
  <dcterms:created xsi:type="dcterms:W3CDTF">2018-05-02T21:37:00Z</dcterms:created>
  <dcterms:modified xsi:type="dcterms:W3CDTF">2019-01-23T20:11:00Z</dcterms:modified>
</cp:coreProperties>
</file>