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00F21">
        <w:rPr>
          <w:rFonts w:ascii="Arial" w:hAnsi="Arial" w:cs="Arial"/>
          <w:b/>
          <w:bCs/>
          <w:iCs/>
          <w:sz w:val="26"/>
          <w:szCs w:val="22"/>
          <w:lang w:val="es-CR"/>
        </w:rPr>
        <w:t>151</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0C7F00" w:rsidRDefault="00AA61D4"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sidR="00171957">
              <w:rPr>
                <w:rFonts w:ascii="Arial" w:eastAsia="Cambria" w:hAnsi="Arial" w:cs="Arial"/>
                <w:sz w:val="22"/>
                <w:szCs w:val="22"/>
                <w:lang w:val="es-ES_tradnl" w:eastAsia="en-US"/>
              </w:rPr>
              <w:t xml:space="preserve"> </w:t>
            </w:r>
          </w:p>
          <w:p w:rsidR="00A91D17" w:rsidRDefault="008D5D01" w:rsidP="00C70F02">
            <w:pPr>
              <w:jc w:val="both"/>
              <w:rPr>
                <w:rFonts w:ascii="Arial" w:eastAsia="Calibri" w:hAnsi="Arial" w:cs="Arial"/>
                <w:color w:val="000000"/>
                <w:sz w:val="22"/>
                <w:szCs w:val="22"/>
                <w:lang w:val="es-CR" w:eastAsia="es-CR"/>
              </w:rPr>
            </w:pPr>
            <w:r w:rsidRPr="00700F21">
              <w:rPr>
                <w:rFonts w:ascii="Arial" w:eastAsia="Calibri" w:hAnsi="Arial" w:cs="Arial"/>
                <w:color w:val="000000"/>
                <w:sz w:val="22"/>
                <w:szCs w:val="22"/>
                <w:lang w:val="es-CR" w:eastAsia="es-CR"/>
              </w:rPr>
              <w:t>Dr. Alexander Berrocal J</w:t>
            </w:r>
            <w:r w:rsidRPr="008D5D01">
              <w:rPr>
                <w:rFonts w:ascii="Arial" w:eastAsia="Calibri" w:hAnsi="Arial" w:cs="Arial"/>
                <w:color w:val="000000"/>
                <w:sz w:val="22"/>
                <w:szCs w:val="22"/>
                <w:lang w:val="es-CR" w:eastAsia="es-CR"/>
              </w:rPr>
              <w:t>iménez</w:t>
            </w:r>
            <w:r w:rsidRPr="00700F21">
              <w:rPr>
                <w:rFonts w:ascii="Arial" w:eastAsia="Calibri" w:hAnsi="Arial" w:cs="Arial"/>
                <w:color w:val="000000"/>
                <w:sz w:val="22"/>
                <w:szCs w:val="22"/>
                <w:lang w:val="es-CR" w:eastAsia="es-CR"/>
              </w:rPr>
              <w:t>, Presidente Consejo de Investigación y Extensión</w:t>
            </w:r>
          </w:p>
          <w:p w:rsidR="00917157" w:rsidRPr="008D5D01" w:rsidRDefault="00917157" w:rsidP="00C70F02">
            <w:pPr>
              <w:jc w:val="both"/>
              <w:rPr>
                <w:rFonts w:ascii="Arial" w:eastAsia="Calibri" w:hAnsi="Arial" w:cs="Arial"/>
                <w:color w:val="000000"/>
                <w:sz w:val="22"/>
                <w:szCs w:val="22"/>
                <w:lang w:val="es-CR" w:eastAsia="es-CR"/>
              </w:rPr>
            </w:pPr>
            <w:r>
              <w:rPr>
                <w:rFonts w:ascii="Arial" w:eastAsia="Calibri" w:hAnsi="Arial" w:cs="Arial"/>
                <w:color w:val="000000"/>
                <w:sz w:val="22"/>
                <w:szCs w:val="22"/>
                <w:lang w:val="es-CR" w:eastAsia="es-CR"/>
              </w:rPr>
              <w:t>Dr. Alexander Berrocal Jiménez, Vicerrector de Investigación y Extensión</w:t>
            </w:r>
          </w:p>
          <w:p w:rsidR="008D5D01" w:rsidRPr="00917157" w:rsidRDefault="00917157" w:rsidP="00C70F02">
            <w:pPr>
              <w:jc w:val="both"/>
              <w:rPr>
                <w:rFonts w:ascii="Arial" w:eastAsia="Calibri" w:hAnsi="Arial" w:cs="Arial"/>
                <w:color w:val="000000"/>
                <w:sz w:val="22"/>
                <w:szCs w:val="22"/>
                <w:lang w:val="es-CR" w:eastAsia="es-CR"/>
              </w:rPr>
            </w:pPr>
            <w:r w:rsidRPr="00700F21">
              <w:rPr>
                <w:rFonts w:ascii="Arial" w:hAnsi="Arial" w:cs="Arial"/>
                <w:sz w:val="22"/>
                <w:szCs w:val="22"/>
              </w:rPr>
              <w:t>Ing. Andrés Robles Ramírez, Director Dirección de Proyectos</w:t>
            </w:r>
          </w:p>
          <w:p w:rsidR="008D5D01" w:rsidRPr="00F548D2" w:rsidRDefault="008D5D01" w:rsidP="00C70F02">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AA61D4"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8D7E9D" w:rsidRPr="008E0D8C">
              <w:rPr>
                <w:rFonts w:ascii="Arial" w:eastAsia="Cambria" w:hAnsi="Arial" w:cs="Arial"/>
                <w:sz w:val="22"/>
                <w:szCs w:val="22"/>
                <w:lang w:val="es-ES_tradnl" w:eastAsia="en-US"/>
              </w:rPr>
              <w:t xml:space="preserve">, </w:t>
            </w:r>
            <w:r w:rsidR="00CF4A51">
              <w:rPr>
                <w:rFonts w:ascii="Arial" w:eastAsia="Cambria" w:hAnsi="Arial" w:cs="Arial"/>
                <w:sz w:val="22"/>
                <w:szCs w:val="22"/>
                <w:lang w:val="es-ES_tradnl" w:eastAsia="en-US"/>
              </w:rPr>
              <w:t>Presidente</w:t>
            </w:r>
            <w:r w:rsidR="00D66ACE">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C70F0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06</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marzo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C70F02">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10</w:t>
            </w:r>
            <w:r w:rsidR="00C70F02">
              <w:rPr>
                <w:rFonts w:ascii="Arial" w:eastAsia="Calibri" w:hAnsi="Arial" w:cs="Arial"/>
                <w:b/>
                <w:sz w:val="22"/>
                <w:szCs w:val="22"/>
              </w:rPr>
              <w:t>9</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C70F02">
              <w:rPr>
                <w:rFonts w:ascii="Arial" w:eastAsia="Calibri" w:hAnsi="Arial" w:cs="Arial"/>
                <w:b/>
                <w:sz w:val="22"/>
                <w:szCs w:val="22"/>
              </w:rPr>
              <w:t>10</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C70F02">
              <w:rPr>
                <w:rFonts w:ascii="Arial" w:eastAsia="Calibri" w:hAnsi="Arial" w:cs="Arial"/>
                <w:b/>
                <w:sz w:val="22"/>
                <w:szCs w:val="22"/>
              </w:rPr>
              <w:t xml:space="preserve">06 de marzo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C70F02" w:rsidRPr="00C70F02">
              <w:rPr>
                <w:rFonts w:ascii="Arial" w:hAnsi="Arial" w:cs="Arial"/>
                <w:b/>
                <w:sz w:val="22"/>
                <w:szCs w:val="22"/>
              </w:rPr>
              <w:t>Creación del Programa de Investigación en Materiales Avanzados y Aplicaciones (PIMAA) y Eliminación del Programa de Investigación en Nanotecnología, adscritos a la Vicerrectoría de Investigación y Extensión</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C90F7F" w:rsidRDefault="00C90F7F" w:rsidP="007742A1">
      <w:pPr>
        <w:jc w:val="both"/>
        <w:rPr>
          <w:rFonts w:ascii="Arial" w:eastAsia="Cambria" w:hAnsi="Arial" w:cs="Arial"/>
          <w:lang w:val="es-ES_tradnl" w:eastAsia="en-US"/>
        </w:rPr>
      </w:pPr>
    </w:p>
    <w:p w:rsidR="00700F21" w:rsidRPr="00700F21" w:rsidRDefault="00700F21" w:rsidP="00700F21">
      <w:pPr>
        <w:pBdr>
          <w:top w:val="nil"/>
          <w:left w:val="nil"/>
          <w:bottom w:val="nil"/>
          <w:right w:val="nil"/>
          <w:between w:val="nil"/>
        </w:pBdr>
        <w:spacing w:after="160" w:line="259" w:lineRule="auto"/>
        <w:ind w:left="1440" w:hanging="1440"/>
        <w:jc w:val="both"/>
        <w:rPr>
          <w:rFonts w:ascii="Arial" w:eastAsia="Calibri" w:hAnsi="Arial" w:cs="Arial"/>
          <w:b/>
          <w:caps/>
          <w:color w:val="000000"/>
          <w:sz w:val="22"/>
          <w:szCs w:val="22"/>
          <w:lang w:val="es-CR" w:eastAsia="es-CR"/>
        </w:rPr>
      </w:pPr>
      <w:r w:rsidRPr="00700F21">
        <w:rPr>
          <w:rFonts w:ascii="Arial" w:eastAsia="Calibri" w:hAnsi="Arial" w:cs="Arial"/>
          <w:b/>
          <w:caps/>
          <w:color w:val="000000"/>
          <w:sz w:val="22"/>
          <w:szCs w:val="22"/>
          <w:lang w:val="es-CR" w:eastAsia="es-CR"/>
        </w:rPr>
        <w:t xml:space="preserve">RESULTando que: </w:t>
      </w:r>
    </w:p>
    <w:p w:rsidR="00700F21" w:rsidRPr="00700F21" w:rsidRDefault="00700F21" w:rsidP="00700F21">
      <w:pPr>
        <w:numPr>
          <w:ilvl w:val="0"/>
          <w:numId w:val="17"/>
        </w:numPr>
        <w:pBdr>
          <w:top w:val="nil"/>
          <w:left w:val="nil"/>
          <w:bottom w:val="nil"/>
          <w:right w:val="nil"/>
          <w:between w:val="nil"/>
        </w:pBdr>
        <w:spacing w:after="160" w:line="259" w:lineRule="auto"/>
        <w:ind w:left="425" w:right="284" w:hanging="425"/>
        <w:jc w:val="both"/>
        <w:rPr>
          <w:rFonts w:ascii="Arial" w:hAnsi="Arial" w:cs="Arial"/>
        </w:rPr>
      </w:pPr>
      <w:r w:rsidRPr="00700F21">
        <w:rPr>
          <w:rFonts w:ascii="Arial" w:hAnsi="Arial" w:cs="Arial"/>
        </w:rPr>
        <w:t>El Estatuto Orgánico del ITCR, establece:</w:t>
      </w:r>
    </w:p>
    <w:p w:rsidR="00700F21" w:rsidRPr="00700F21" w:rsidRDefault="00700F21" w:rsidP="00700F21">
      <w:pPr>
        <w:ind w:left="720" w:right="430"/>
        <w:jc w:val="both"/>
        <w:rPr>
          <w:rFonts w:ascii="Arial" w:hAnsi="Arial" w:cs="Arial"/>
          <w:b/>
          <w:i/>
          <w:sz w:val="22"/>
          <w:szCs w:val="22"/>
          <w:lang w:val="es-ES_tradnl"/>
        </w:rPr>
      </w:pPr>
      <w:r w:rsidRPr="00700F21">
        <w:rPr>
          <w:rFonts w:ascii="Arial" w:hAnsi="Arial" w:cs="Arial"/>
          <w:b/>
          <w:i/>
          <w:sz w:val="20"/>
          <w:szCs w:val="20"/>
          <w:lang w:val="es-ES_tradnl"/>
        </w:rPr>
        <w:t>“</w:t>
      </w:r>
      <w:r w:rsidRPr="00700F21">
        <w:rPr>
          <w:rFonts w:ascii="Arial" w:hAnsi="Arial" w:cs="Arial"/>
          <w:b/>
          <w:i/>
          <w:sz w:val="22"/>
          <w:szCs w:val="22"/>
          <w:lang w:val="es-ES_tradnl"/>
        </w:rPr>
        <w:t xml:space="preserve">ARTÍCULO 18 </w:t>
      </w:r>
    </w:p>
    <w:p w:rsidR="00700F21" w:rsidRPr="00700F21" w:rsidRDefault="00700F21" w:rsidP="00700F21">
      <w:pPr>
        <w:ind w:left="720" w:right="430"/>
        <w:jc w:val="both"/>
        <w:rPr>
          <w:rFonts w:ascii="Arial" w:hAnsi="Arial" w:cs="Arial"/>
          <w:i/>
          <w:sz w:val="22"/>
          <w:szCs w:val="22"/>
          <w:lang w:val="es-ES_tradnl"/>
        </w:rPr>
      </w:pPr>
      <w:r w:rsidRPr="00700F21">
        <w:rPr>
          <w:rFonts w:ascii="Arial" w:hAnsi="Arial" w:cs="Arial"/>
          <w:i/>
          <w:sz w:val="22"/>
          <w:szCs w:val="22"/>
          <w:lang w:val="es-ES_tradnl"/>
        </w:rPr>
        <w:t xml:space="preserve">Son funciones del Consejo Institucional: </w:t>
      </w:r>
    </w:p>
    <w:p w:rsidR="00700F21" w:rsidRPr="00700F21" w:rsidRDefault="00700F21" w:rsidP="00700F21">
      <w:pPr>
        <w:ind w:left="720" w:right="430"/>
        <w:jc w:val="both"/>
        <w:rPr>
          <w:rFonts w:ascii="Arial" w:hAnsi="Arial" w:cs="Arial"/>
          <w:i/>
          <w:sz w:val="22"/>
          <w:szCs w:val="22"/>
          <w:lang w:val="es-ES_tradnl"/>
        </w:rPr>
      </w:pPr>
      <w:r w:rsidRPr="00700F21">
        <w:rPr>
          <w:rFonts w:ascii="Arial" w:hAnsi="Arial" w:cs="Arial"/>
          <w:i/>
          <w:sz w:val="22"/>
          <w:szCs w:val="22"/>
          <w:lang w:val="es-ES_tradnl"/>
        </w:rPr>
        <w:t>…</w:t>
      </w:r>
    </w:p>
    <w:p w:rsidR="00700F21" w:rsidRPr="00700F21" w:rsidRDefault="00700F21" w:rsidP="00700F21">
      <w:pPr>
        <w:numPr>
          <w:ilvl w:val="0"/>
          <w:numId w:val="16"/>
        </w:numPr>
        <w:pBdr>
          <w:top w:val="nil"/>
          <w:left w:val="nil"/>
          <w:bottom w:val="nil"/>
          <w:right w:val="nil"/>
          <w:between w:val="nil"/>
        </w:pBdr>
        <w:ind w:left="1134" w:right="430" w:hanging="425"/>
        <w:jc w:val="both"/>
        <w:rPr>
          <w:rFonts w:ascii="Arial" w:hAnsi="Arial" w:cs="Arial"/>
          <w:i/>
          <w:sz w:val="22"/>
          <w:szCs w:val="22"/>
          <w:lang w:val="es-ES_tradnl"/>
        </w:rPr>
      </w:pPr>
      <w:r w:rsidRPr="00700F21">
        <w:rPr>
          <w:rFonts w:ascii="Arial" w:hAnsi="Arial" w:cs="Arial"/>
          <w:i/>
          <w:sz w:val="22"/>
          <w:szCs w:val="22"/>
          <w:lang w:val="es-ES_tradnl"/>
        </w:rPr>
        <w:t>Decidir, previa consulta al Consejo de Vicerrectoría respectivo, sobre la creación, modificación, traslado, o eliminación de carreras y programas del Instituto</w:t>
      </w:r>
    </w:p>
    <w:p w:rsidR="00700F21" w:rsidRDefault="00700F21" w:rsidP="00700F21">
      <w:pPr>
        <w:ind w:left="720" w:right="430"/>
        <w:jc w:val="both"/>
        <w:rPr>
          <w:rFonts w:ascii="Arial" w:hAnsi="Arial" w:cs="Arial"/>
          <w:i/>
          <w:sz w:val="22"/>
          <w:szCs w:val="22"/>
          <w:lang w:val="es-ES_tradnl"/>
        </w:rPr>
      </w:pPr>
      <w:r w:rsidRPr="00700F21">
        <w:rPr>
          <w:rFonts w:ascii="Arial" w:hAnsi="Arial" w:cs="Arial"/>
          <w:i/>
          <w:sz w:val="22"/>
          <w:szCs w:val="22"/>
          <w:lang w:val="es-ES_tradnl"/>
        </w:rPr>
        <w:t>…</w:t>
      </w:r>
    </w:p>
    <w:p w:rsidR="00700F21" w:rsidRPr="00700F21" w:rsidRDefault="00700F21" w:rsidP="00700F21">
      <w:pPr>
        <w:ind w:left="720" w:right="430"/>
        <w:jc w:val="both"/>
        <w:rPr>
          <w:rFonts w:ascii="Arial" w:hAnsi="Arial" w:cs="Arial"/>
          <w:i/>
          <w:sz w:val="22"/>
          <w:szCs w:val="22"/>
          <w:lang w:val="es-ES_tradnl"/>
        </w:rPr>
      </w:pPr>
    </w:p>
    <w:p w:rsidR="00700F21" w:rsidRPr="00700F21" w:rsidRDefault="00700F21" w:rsidP="00700F21">
      <w:pPr>
        <w:numPr>
          <w:ilvl w:val="0"/>
          <w:numId w:val="17"/>
        </w:numPr>
        <w:pBdr>
          <w:top w:val="nil"/>
          <w:left w:val="nil"/>
          <w:bottom w:val="nil"/>
          <w:right w:val="nil"/>
          <w:between w:val="nil"/>
        </w:pBdr>
        <w:ind w:right="284"/>
        <w:contextualSpacing/>
        <w:jc w:val="both"/>
        <w:rPr>
          <w:rFonts w:ascii="Arial" w:eastAsia="Calibri" w:hAnsi="Arial" w:cs="Arial"/>
          <w:color w:val="000000"/>
          <w:lang w:val="es-CR" w:eastAsia="es-CR"/>
        </w:rPr>
      </w:pPr>
      <w:r w:rsidRPr="00700F21">
        <w:rPr>
          <w:rFonts w:ascii="Arial" w:eastAsia="Calibri" w:hAnsi="Arial" w:cs="Arial"/>
          <w:color w:val="000000"/>
          <w:lang w:val="es-CR" w:eastAsia="es-CR"/>
        </w:rPr>
        <w:t xml:space="preserve">La Secretaría del Consejo Institucional recibió el oficio VIE-695-2018, con fecha de recibido 03 de agosto del 2018, suscrito por el Dr. Alexander Berrocal J., Presidente Consejo de Investigación y Extensión, Vicerrectoría de Investigación y Extensión, dirigido al Dr. Julio Calvo Alvarado, Presidente del Consejo Institucional, en el cual transcribe el siguiente acuerdo tomado por el Consejo de Investigación y Extensión de la Sesión Ordinaria No. 10-2018, artículo 13, del 20 de julio de 2018 “Creación del Programa de Investigación en Materiales Avanzados y Aplicaciones”. </w:t>
      </w:r>
    </w:p>
    <w:p w:rsidR="00700F21" w:rsidRPr="00700F21" w:rsidRDefault="00700F21" w:rsidP="00700F21">
      <w:pPr>
        <w:pBdr>
          <w:top w:val="nil"/>
          <w:left w:val="nil"/>
          <w:bottom w:val="nil"/>
          <w:right w:val="nil"/>
          <w:between w:val="nil"/>
        </w:pBdr>
        <w:ind w:left="360" w:right="284"/>
        <w:contextualSpacing/>
        <w:jc w:val="both"/>
        <w:rPr>
          <w:rFonts w:ascii="Arial" w:eastAsia="Calibri" w:hAnsi="Arial" w:cs="Arial"/>
          <w:color w:val="000000"/>
          <w:lang w:val="es-CR" w:eastAsia="es-CR"/>
        </w:rPr>
      </w:pPr>
    </w:p>
    <w:p w:rsidR="00700F21" w:rsidRPr="00700F21" w:rsidRDefault="00700F21" w:rsidP="00700F21">
      <w:pPr>
        <w:ind w:left="709" w:right="900"/>
        <w:jc w:val="both"/>
        <w:rPr>
          <w:rFonts w:ascii="Arial" w:eastAsia="Calibri" w:hAnsi="Arial" w:cs="Arial"/>
          <w:b/>
          <w:i/>
          <w:sz w:val="22"/>
          <w:szCs w:val="22"/>
          <w:lang w:val="es-CR" w:eastAsia="en-US"/>
        </w:rPr>
      </w:pPr>
      <w:r w:rsidRPr="00700F21">
        <w:rPr>
          <w:rFonts w:ascii="Arial" w:eastAsia="Calibri" w:hAnsi="Arial" w:cs="Arial"/>
          <w:b/>
          <w:i/>
          <w:sz w:val="22"/>
          <w:szCs w:val="22"/>
          <w:lang w:val="es-CR" w:eastAsia="en-US"/>
        </w:rPr>
        <w:t>“CONSIDERANDO QUE:</w:t>
      </w:r>
    </w:p>
    <w:p w:rsidR="00700F21" w:rsidRPr="00700F21" w:rsidRDefault="00700F21" w:rsidP="00700F21">
      <w:pPr>
        <w:pBdr>
          <w:top w:val="nil"/>
          <w:left w:val="nil"/>
          <w:bottom w:val="nil"/>
          <w:right w:val="nil"/>
          <w:between w:val="nil"/>
        </w:pBdr>
        <w:spacing w:line="259" w:lineRule="auto"/>
        <w:rPr>
          <w:rFonts w:ascii="Calibri" w:eastAsia="Calibri" w:hAnsi="Calibri" w:cs="Calibri"/>
          <w:color w:val="000000"/>
          <w:sz w:val="22"/>
          <w:szCs w:val="22"/>
          <w:lang w:val="es-ES_tradnl"/>
        </w:rPr>
      </w:pPr>
    </w:p>
    <w:p w:rsidR="00700F21" w:rsidRPr="00700F21" w:rsidRDefault="00700F21" w:rsidP="00917157">
      <w:pPr>
        <w:numPr>
          <w:ilvl w:val="0"/>
          <w:numId w:val="22"/>
        </w:numPr>
        <w:pBdr>
          <w:top w:val="nil"/>
          <w:left w:val="nil"/>
          <w:bottom w:val="nil"/>
          <w:right w:val="nil"/>
          <w:between w:val="nil"/>
        </w:pBdr>
        <w:spacing w:after="160" w:line="259" w:lineRule="auto"/>
        <w:ind w:right="474"/>
        <w:jc w:val="both"/>
        <w:rPr>
          <w:rFonts w:ascii="Arial" w:hAnsi="Arial" w:cs="Arial"/>
          <w:i/>
          <w:sz w:val="22"/>
          <w:lang w:val="es-CR" w:eastAsia="es-CR"/>
        </w:rPr>
      </w:pPr>
      <w:r w:rsidRPr="00700F21">
        <w:rPr>
          <w:rFonts w:ascii="Arial" w:hAnsi="Arial" w:cs="Arial"/>
          <w:i/>
          <w:sz w:val="22"/>
          <w:lang w:val="es-CR" w:eastAsia="es-CR"/>
        </w:rPr>
        <w:t xml:space="preserve">El establece el Estatuto Orgánico, Artículo 42, incisos b y c, son funciones específicas del Consejo de Investigación y Extensión a saber: </w:t>
      </w:r>
    </w:p>
    <w:p w:rsidR="00700F21" w:rsidRPr="00700F21" w:rsidRDefault="00700F21" w:rsidP="00700F21">
      <w:pPr>
        <w:numPr>
          <w:ilvl w:val="0"/>
          <w:numId w:val="26"/>
        </w:numPr>
        <w:pBdr>
          <w:top w:val="nil"/>
          <w:left w:val="nil"/>
          <w:bottom w:val="nil"/>
          <w:right w:val="nil"/>
          <w:between w:val="nil"/>
        </w:pBdr>
        <w:spacing w:after="160" w:line="259" w:lineRule="auto"/>
        <w:ind w:left="1080"/>
        <w:jc w:val="both"/>
        <w:rPr>
          <w:rFonts w:ascii="Arial" w:eastAsia="Calibri" w:hAnsi="Arial" w:cs="Arial"/>
          <w:bCs/>
          <w:i/>
          <w:color w:val="000000"/>
          <w:sz w:val="22"/>
          <w:szCs w:val="22"/>
          <w:lang w:val="es-CR" w:eastAsia="es-CR"/>
        </w:rPr>
      </w:pPr>
      <w:r w:rsidRPr="00700F21">
        <w:rPr>
          <w:rFonts w:ascii="Arial" w:eastAsia="Calibri" w:hAnsi="Arial" w:cs="Arial"/>
          <w:bCs/>
          <w:i/>
          <w:color w:val="000000"/>
          <w:sz w:val="22"/>
          <w:szCs w:val="22"/>
          <w:lang w:val="es-CR" w:eastAsia="es-CR"/>
        </w:rPr>
        <w:t>Establecer las normas para la aprobación, elaboración, ejecución y evaluación de los programas de investigación y extensión y para la prestación de servicios.</w:t>
      </w:r>
    </w:p>
    <w:p w:rsidR="00700F21" w:rsidRPr="00700F21" w:rsidRDefault="00700F21" w:rsidP="00700F21">
      <w:pPr>
        <w:pBdr>
          <w:top w:val="nil"/>
          <w:left w:val="nil"/>
          <w:bottom w:val="nil"/>
          <w:right w:val="nil"/>
          <w:between w:val="nil"/>
        </w:pBdr>
        <w:spacing w:after="160" w:line="259" w:lineRule="auto"/>
        <w:ind w:left="720"/>
        <w:jc w:val="both"/>
        <w:rPr>
          <w:rFonts w:ascii="Arial" w:eastAsia="Calibri" w:hAnsi="Arial" w:cs="Arial"/>
          <w:bCs/>
          <w:i/>
          <w:color w:val="000000"/>
          <w:sz w:val="22"/>
          <w:szCs w:val="22"/>
          <w:lang w:val="es-CR" w:eastAsia="es-CR"/>
        </w:rPr>
      </w:pPr>
    </w:p>
    <w:p w:rsidR="00700F21" w:rsidRPr="00700F21" w:rsidRDefault="00700F21" w:rsidP="00700F21">
      <w:pPr>
        <w:numPr>
          <w:ilvl w:val="0"/>
          <w:numId w:val="26"/>
        </w:numPr>
        <w:pBdr>
          <w:top w:val="nil"/>
          <w:left w:val="nil"/>
          <w:bottom w:val="nil"/>
          <w:right w:val="nil"/>
          <w:between w:val="nil"/>
        </w:pBdr>
        <w:spacing w:after="160" w:line="259" w:lineRule="auto"/>
        <w:ind w:left="1080"/>
        <w:jc w:val="both"/>
        <w:rPr>
          <w:rFonts w:ascii="Arial" w:eastAsia="Calibri" w:hAnsi="Arial" w:cs="Arial"/>
          <w:bCs/>
          <w:i/>
          <w:color w:val="000000"/>
          <w:sz w:val="22"/>
          <w:szCs w:val="22"/>
          <w:lang w:val="es-CR" w:eastAsia="es-CR"/>
        </w:rPr>
      </w:pPr>
      <w:r w:rsidRPr="00700F21">
        <w:rPr>
          <w:rFonts w:ascii="Arial" w:eastAsia="Calibri" w:hAnsi="Arial" w:cs="Arial"/>
          <w:bCs/>
          <w:i/>
          <w:color w:val="000000"/>
          <w:sz w:val="22"/>
          <w:szCs w:val="22"/>
          <w:lang w:val="es-CR" w:eastAsia="es-CR"/>
        </w:rPr>
        <w:lastRenderedPageBreak/>
        <w:t>Recomendar al Consejo Institucional la ubicación de los programas de investigación y extensión.</w:t>
      </w:r>
    </w:p>
    <w:p w:rsidR="00700F21" w:rsidRPr="00700F21" w:rsidRDefault="00700F21" w:rsidP="00700F21">
      <w:pPr>
        <w:pBdr>
          <w:top w:val="nil"/>
          <w:left w:val="nil"/>
          <w:bottom w:val="nil"/>
          <w:right w:val="nil"/>
          <w:between w:val="nil"/>
        </w:pBdr>
        <w:spacing w:after="160" w:line="259" w:lineRule="auto"/>
        <w:ind w:left="720"/>
        <w:jc w:val="both"/>
        <w:rPr>
          <w:rFonts w:ascii="Arial" w:eastAsia="Calibri" w:hAnsi="Arial" w:cs="Arial"/>
          <w:bCs/>
          <w:i/>
          <w:color w:val="000000"/>
          <w:sz w:val="22"/>
          <w:szCs w:val="22"/>
          <w:lang w:val="es-CR" w:eastAsia="es-CR"/>
        </w:rPr>
      </w:pPr>
      <w:r w:rsidRPr="00700F21">
        <w:rPr>
          <w:rFonts w:ascii="Arial" w:eastAsia="Calibri" w:hAnsi="Arial" w:cs="Arial"/>
          <w:bCs/>
          <w:i/>
          <w:color w:val="000000"/>
          <w:sz w:val="22"/>
          <w:szCs w:val="22"/>
          <w:lang w:val="es-CR" w:eastAsia="es-CR"/>
        </w:rPr>
        <w:t>…</w:t>
      </w:r>
    </w:p>
    <w:p w:rsidR="00700F21" w:rsidRPr="00700F21" w:rsidRDefault="00700F21" w:rsidP="00700F21">
      <w:pPr>
        <w:numPr>
          <w:ilvl w:val="0"/>
          <w:numId w:val="22"/>
        </w:numPr>
        <w:pBdr>
          <w:top w:val="nil"/>
          <w:left w:val="nil"/>
          <w:bottom w:val="nil"/>
          <w:right w:val="nil"/>
          <w:between w:val="nil"/>
        </w:pBdr>
        <w:spacing w:after="160" w:line="259" w:lineRule="auto"/>
        <w:ind w:right="474"/>
        <w:jc w:val="both"/>
        <w:rPr>
          <w:rFonts w:ascii="Arial" w:hAnsi="Arial" w:cs="Arial"/>
          <w:bCs/>
          <w:lang w:eastAsia="es-CR"/>
        </w:rPr>
      </w:pPr>
      <w:r w:rsidRPr="00700F21">
        <w:rPr>
          <w:rFonts w:ascii="Arial" w:hAnsi="Arial" w:cs="Arial"/>
          <w:i/>
          <w:sz w:val="22"/>
          <w:lang w:val="es-CR" w:eastAsia="es-CR"/>
        </w:rPr>
        <w:t>Corresponde al Consejo de Investigación y Extensión, aplicar la Normativa para la aprobación, elaboración, ejecución y evaluación de los Programas</w:t>
      </w:r>
      <w:r w:rsidRPr="00700F21">
        <w:rPr>
          <w:rFonts w:ascii="Arial" w:hAnsi="Arial" w:cs="Arial"/>
          <w:bCs/>
          <w:lang w:eastAsia="es-CR"/>
        </w:rPr>
        <w:t xml:space="preserve"> </w:t>
      </w:r>
      <w:r w:rsidRPr="00700F21">
        <w:rPr>
          <w:rFonts w:ascii="Arial" w:hAnsi="Arial" w:cs="Arial"/>
          <w:i/>
          <w:sz w:val="22"/>
          <w:lang w:val="es-CR" w:eastAsia="es-CR"/>
        </w:rPr>
        <w:t>Investigación y Extensión, así como asesorar al Vicerrector de VIE; para el desarrollo coordinado de los Programas, la asignación de fondos y tiempos de los coordinadores (as). Así mismo, corresponde por tanto a este la evaluación y seguimiento de los Programas, para lo cual se han establecido 10 parámetros.</w:t>
      </w:r>
    </w:p>
    <w:p w:rsidR="00700F21" w:rsidRPr="00700F21" w:rsidRDefault="00700F21" w:rsidP="008D5D01">
      <w:pPr>
        <w:numPr>
          <w:ilvl w:val="0"/>
          <w:numId w:val="22"/>
        </w:numPr>
        <w:pBdr>
          <w:top w:val="nil"/>
          <w:left w:val="nil"/>
          <w:bottom w:val="nil"/>
          <w:right w:val="nil"/>
          <w:between w:val="nil"/>
        </w:pBdr>
        <w:spacing w:after="160" w:line="259" w:lineRule="auto"/>
        <w:ind w:right="474"/>
        <w:jc w:val="both"/>
        <w:rPr>
          <w:rFonts w:ascii="Arial" w:hAnsi="Arial" w:cs="Arial"/>
          <w:i/>
          <w:sz w:val="22"/>
          <w:lang w:val="es-CR" w:eastAsia="es-CR"/>
        </w:rPr>
      </w:pPr>
      <w:r w:rsidRPr="00700F21">
        <w:rPr>
          <w:rFonts w:ascii="Arial" w:hAnsi="Arial" w:cs="Arial"/>
          <w:i/>
          <w:sz w:val="22"/>
          <w:lang w:val="es-CR" w:eastAsia="es-CR"/>
        </w:rPr>
        <w:t>En lo concerniente a la forma de organización del Programa Investigación y Extensión, es función del grupo de investigación o extensión, nombrar al Coordinador(a) en el seno del grupo interdisciplinario.  Este nombramiento será anual con posibilidad de reelección.</w:t>
      </w:r>
    </w:p>
    <w:p w:rsidR="00700F21" w:rsidRPr="00700F21" w:rsidRDefault="00700F21" w:rsidP="00700F21">
      <w:pPr>
        <w:numPr>
          <w:ilvl w:val="0"/>
          <w:numId w:val="22"/>
        </w:numPr>
        <w:pBdr>
          <w:top w:val="nil"/>
          <w:left w:val="nil"/>
          <w:bottom w:val="nil"/>
          <w:right w:val="nil"/>
          <w:between w:val="nil"/>
        </w:pBdr>
        <w:spacing w:after="160" w:line="259" w:lineRule="auto"/>
        <w:ind w:right="474"/>
        <w:jc w:val="both"/>
        <w:rPr>
          <w:rFonts w:ascii="Arial" w:hAnsi="Arial" w:cs="Arial"/>
          <w:i/>
          <w:sz w:val="22"/>
          <w:lang w:val="es-CR" w:eastAsia="es-CR"/>
        </w:rPr>
      </w:pPr>
      <w:r w:rsidRPr="00700F21">
        <w:rPr>
          <w:rFonts w:ascii="Arial" w:hAnsi="Arial" w:cs="Arial"/>
          <w:i/>
          <w:sz w:val="22"/>
          <w:lang w:val="es-CR" w:eastAsia="es-CR"/>
        </w:rPr>
        <w:t xml:space="preserve">Mediante Oficio CIM-132-2018, del 09 de marzo de 2018, el Dr. Jorge Cubero </w:t>
      </w:r>
      <w:proofErr w:type="spellStart"/>
      <w:r w:rsidRPr="00700F21">
        <w:rPr>
          <w:rFonts w:ascii="Arial" w:hAnsi="Arial" w:cs="Arial"/>
          <w:i/>
          <w:sz w:val="22"/>
          <w:lang w:val="es-CR" w:eastAsia="es-CR"/>
        </w:rPr>
        <w:t>Sesin</w:t>
      </w:r>
      <w:proofErr w:type="spellEnd"/>
      <w:r w:rsidRPr="00700F21">
        <w:rPr>
          <w:rFonts w:ascii="Arial" w:hAnsi="Arial" w:cs="Arial"/>
          <w:i/>
          <w:sz w:val="22"/>
          <w:lang w:val="es-CR" w:eastAsia="es-CR"/>
        </w:rPr>
        <w:t>, Profesor de la Escuela de Ciencia en Ingeniería de los Materiales presenta formalmente la solicitud para la creación e inscripción del Programa de Investigación en Materiales Avanzados y Aplicaciones (PIMAA), dicha solicitud cuanta con el Aval del Consejo de Escuela según acuerdo N° 30-2017, celebrado el 13 de noviembre del 2017.</w:t>
      </w:r>
    </w:p>
    <w:p w:rsidR="00700F21" w:rsidRPr="00700F21" w:rsidRDefault="00700F21" w:rsidP="00700F21">
      <w:pPr>
        <w:ind w:left="720" w:right="474"/>
        <w:jc w:val="both"/>
        <w:rPr>
          <w:rFonts w:ascii="Arial" w:hAnsi="Arial" w:cs="Arial"/>
          <w:i/>
          <w:sz w:val="22"/>
          <w:lang w:val="es-CR" w:eastAsia="es-CR"/>
        </w:rPr>
      </w:pPr>
      <w:r w:rsidRPr="00700F21">
        <w:rPr>
          <w:rFonts w:ascii="Arial" w:hAnsi="Arial" w:cs="Arial"/>
          <w:i/>
          <w:sz w:val="22"/>
          <w:lang w:val="es-CR" w:eastAsia="es-CR"/>
        </w:rPr>
        <w:t>Adicionalmente se cuenta con el aval de los Consejos de las diferentes Escuelas interesadas en formar parte de este programa, las cuales se presentan en el siguiente cuadro:</w:t>
      </w:r>
    </w:p>
    <w:p w:rsidR="00700F21" w:rsidRPr="00700F21" w:rsidRDefault="00700F21" w:rsidP="00700F21">
      <w:pPr>
        <w:ind w:left="720" w:right="474"/>
        <w:jc w:val="both"/>
        <w:rPr>
          <w:rFonts w:ascii="Arial" w:hAnsi="Arial" w:cs="Arial"/>
          <w:i/>
          <w:sz w:val="22"/>
          <w:lang w:val="es-CR" w:eastAsia="es-CR"/>
        </w:rPr>
      </w:pPr>
    </w:p>
    <w:tbl>
      <w:tblPr>
        <w:tblW w:w="7774" w:type="dxa"/>
        <w:tblInd w:w="585" w:type="dxa"/>
        <w:tblCellMar>
          <w:left w:w="70" w:type="dxa"/>
          <w:right w:w="70" w:type="dxa"/>
        </w:tblCellMar>
        <w:tblLook w:val="04A0" w:firstRow="1" w:lastRow="0" w:firstColumn="1" w:lastColumn="0" w:noHBand="0" w:noVBand="1"/>
      </w:tblPr>
      <w:tblGrid>
        <w:gridCol w:w="2665"/>
        <w:gridCol w:w="1275"/>
        <w:gridCol w:w="999"/>
        <w:gridCol w:w="2835"/>
      </w:tblGrid>
      <w:tr w:rsidR="00700F21" w:rsidRPr="00700F21" w:rsidTr="00B77C01">
        <w:trPr>
          <w:trHeight w:val="300"/>
        </w:trPr>
        <w:tc>
          <w:tcPr>
            <w:tcW w:w="2665" w:type="dxa"/>
            <w:tcBorders>
              <w:top w:val="single" w:sz="4" w:space="0" w:color="auto"/>
              <w:left w:val="single" w:sz="4" w:space="0" w:color="auto"/>
              <w:bottom w:val="single" w:sz="4" w:space="0" w:color="auto"/>
              <w:right w:val="single" w:sz="4" w:space="0" w:color="auto"/>
            </w:tcBorders>
            <w:shd w:val="clear" w:color="000000" w:fill="D0CECE"/>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bCs/>
                <w:i/>
                <w:color w:val="000000"/>
                <w:sz w:val="20"/>
                <w:szCs w:val="22"/>
                <w:lang w:val="es-CR" w:eastAsia="es-CR"/>
              </w:rPr>
            </w:pPr>
            <w:r w:rsidRPr="00700F21">
              <w:rPr>
                <w:rFonts w:ascii="Arial" w:hAnsi="Arial" w:cs="Arial"/>
                <w:bCs/>
                <w:i/>
                <w:color w:val="000000"/>
                <w:sz w:val="20"/>
                <w:szCs w:val="22"/>
                <w:lang w:val="es-CR" w:eastAsia="es-CR"/>
              </w:rPr>
              <w:t>Escuela</w:t>
            </w:r>
          </w:p>
        </w:tc>
        <w:tc>
          <w:tcPr>
            <w:tcW w:w="1275" w:type="dxa"/>
            <w:tcBorders>
              <w:top w:val="single" w:sz="4" w:space="0" w:color="auto"/>
              <w:left w:val="nil"/>
              <w:bottom w:val="single" w:sz="4" w:space="0" w:color="auto"/>
              <w:right w:val="single" w:sz="4" w:space="0" w:color="auto"/>
            </w:tcBorders>
            <w:shd w:val="clear" w:color="000000" w:fill="D0CECE"/>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bCs/>
                <w:i/>
                <w:color w:val="000000"/>
                <w:sz w:val="20"/>
                <w:szCs w:val="22"/>
                <w:lang w:val="es-CR" w:eastAsia="es-CR"/>
              </w:rPr>
            </w:pPr>
            <w:r w:rsidRPr="00700F21">
              <w:rPr>
                <w:rFonts w:ascii="Arial" w:hAnsi="Arial" w:cs="Arial"/>
                <w:bCs/>
                <w:i/>
                <w:color w:val="000000"/>
                <w:sz w:val="20"/>
                <w:szCs w:val="22"/>
                <w:lang w:val="es-CR" w:eastAsia="es-CR"/>
              </w:rPr>
              <w:t>Sesión</w:t>
            </w:r>
          </w:p>
        </w:tc>
        <w:tc>
          <w:tcPr>
            <w:tcW w:w="999" w:type="dxa"/>
            <w:tcBorders>
              <w:top w:val="single" w:sz="4" w:space="0" w:color="auto"/>
              <w:left w:val="nil"/>
              <w:bottom w:val="single" w:sz="4" w:space="0" w:color="auto"/>
              <w:right w:val="single" w:sz="4" w:space="0" w:color="auto"/>
            </w:tcBorders>
            <w:shd w:val="clear" w:color="000000" w:fill="D0CECE"/>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bCs/>
                <w:i/>
                <w:color w:val="000000"/>
                <w:sz w:val="20"/>
                <w:szCs w:val="22"/>
                <w:lang w:val="es-CR" w:eastAsia="es-CR"/>
              </w:rPr>
            </w:pPr>
            <w:r w:rsidRPr="00700F21">
              <w:rPr>
                <w:rFonts w:ascii="Arial" w:hAnsi="Arial" w:cs="Arial"/>
                <w:bCs/>
                <w:i/>
                <w:color w:val="000000"/>
                <w:sz w:val="20"/>
                <w:szCs w:val="22"/>
                <w:lang w:val="es-CR" w:eastAsia="es-CR"/>
              </w:rPr>
              <w:t>Artículo</w:t>
            </w:r>
          </w:p>
        </w:tc>
        <w:tc>
          <w:tcPr>
            <w:tcW w:w="2835" w:type="dxa"/>
            <w:tcBorders>
              <w:top w:val="single" w:sz="4" w:space="0" w:color="auto"/>
              <w:left w:val="nil"/>
              <w:bottom w:val="single" w:sz="4" w:space="0" w:color="auto"/>
              <w:right w:val="single" w:sz="4" w:space="0" w:color="auto"/>
            </w:tcBorders>
            <w:shd w:val="clear" w:color="000000" w:fill="D0CECE"/>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bCs/>
                <w:i/>
                <w:color w:val="000000"/>
                <w:sz w:val="20"/>
                <w:szCs w:val="22"/>
                <w:lang w:val="es-CR" w:eastAsia="es-CR"/>
              </w:rPr>
            </w:pPr>
            <w:r w:rsidRPr="00700F21">
              <w:rPr>
                <w:rFonts w:ascii="Arial" w:hAnsi="Arial" w:cs="Arial"/>
                <w:bCs/>
                <w:i/>
                <w:color w:val="000000"/>
                <w:sz w:val="20"/>
                <w:szCs w:val="22"/>
                <w:lang w:val="es-CR" w:eastAsia="es-CR"/>
              </w:rPr>
              <w:t>Fecha</w:t>
            </w:r>
          </w:p>
        </w:tc>
      </w:tr>
      <w:tr w:rsidR="00700F21" w:rsidRPr="00700F21" w:rsidTr="00B77C01">
        <w:trPr>
          <w:trHeight w:val="300"/>
        </w:trPr>
        <w:tc>
          <w:tcPr>
            <w:tcW w:w="2665" w:type="dxa"/>
            <w:tcBorders>
              <w:top w:val="nil"/>
              <w:left w:val="single" w:sz="4" w:space="0" w:color="auto"/>
              <w:bottom w:val="single" w:sz="4" w:space="0" w:color="auto"/>
              <w:right w:val="single" w:sz="4" w:space="0" w:color="auto"/>
            </w:tcBorders>
            <w:shd w:val="clear" w:color="auto" w:fill="auto"/>
            <w:vAlign w:val="bottom"/>
            <w:hideMark/>
          </w:tcPr>
          <w:p w:rsidR="00700F21" w:rsidRPr="00700F21" w:rsidRDefault="00700F21" w:rsidP="00700F21">
            <w:pPr>
              <w:pBdr>
                <w:top w:val="nil"/>
                <w:left w:val="nil"/>
                <w:bottom w:val="nil"/>
                <w:right w:val="nil"/>
                <w:between w:val="nil"/>
              </w:pBdr>
              <w:spacing w:after="160" w:line="259" w:lineRule="auto"/>
              <w:rPr>
                <w:rFonts w:ascii="Arial" w:hAnsi="Arial" w:cs="Arial"/>
                <w:i/>
                <w:color w:val="000000"/>
                <w:sz w:val="20"/>
                <w:szCs w:val="22"/>
                <w:lang w:val="es-CR" w:eastAsia="es-CR"/>
              </w:rPr>
            </w:pPr>
            <w:r w:rsidRPr="00700F21">
              <w:rPr>
                <w:rFonts w:ascii="Arial" w:hAnsi="Arial" w:cs="Arial"/>
                <w:i/>
                <w:color w:val="000000"/>
                <w:sz w:val="20"/>
                <w:szCs w:val="22"/>
                <w:lang w:val="es-CR" w:eastAsia="es-CR"/>
              </w:rPr>
              <w:t>Ingeniería en Construcción</w:t>
            </w:r>
          </w:p>
        </w:tc>
        <w:tc>
          <w:tcPr>
            <w:tcW w:w="1275" w:type="dxa"/>
            <w:tcBorders>
              <w:top w:val="nil"/>
              <w:left w:val="nil"/>
              <w:bottom w:val="single" w:sz="4" w:space="0" w:color="auto"/>
              <w:right w:val="single" w:sz="4" w:space="0" w:color="auto"/>
            </w:tcBorders>
            <w:shd w:val="clear" w:color="auto" w:fill="auto"/>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23-2017</w:t>
            </w:r>
          </w:p>
        </w:tc>
        <w:tc>
          <w:tcPr>
            <w:tcW w:w="999" w:type="dxa"/>
            <w:tcBorders>
              <w:top w:val="nil"/>
              <w:left w:val="nil"/>
              <w:bottom w:val="single" w:sz="4" w:space="0" w:color="auto"/>
              <w:right w:val="single" w:sz="4" w:space="0" w:color="auto"/>
            </w:tcBorders>
            <w:shd w:val="clear" w:color="auto" w:fill="auto"/>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6</w:t>
            </w:r>
          </w:p>
        </w:tc>
        <w:tc>
          <w:tcPr>
            <w:tcW w:w="2835" w:type="dxa"/>
            <w:tcBorders>
              <w:top w:val="nil"/>
              <w:left w:val="nil"/>
              <w:bottom w:val="single" w:sz="4" w:space="0" w:color="auto"/>
              <w:right w:val="single" w:sz="4" w:space="0" w:color="auto"/>
            </w:tcBorders>
            <w:shd w:val="clear" w:color="auto" w:fill="auto"/>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11 de diciembre de 2017</w:t>
            </w:r>
          </w:p>
        </w:tc>
      </w:tr>
      <w:tr w:rsidR="00700F21" w:rsidRPr="00700F21" w:rsidTr="00B77C01">
        <w:trPr>
          <w:trHeight w:val="300"/>
        </w:trPr>
        <w:tc>
          <w:tcPr>
            <w:tcW w:w="2665" w:type="dxa"/>
            <w:tcBorders>
              <w:top w:val="nil"/>
              <w:left w:val="single" w:sz="4" w:space="0" w:color="auto"/>
              <w:bottom w:val="single" w:sz="4" w:space="0" w:color="auto"/>
              <w:right w:val="single" w:sz="4" w:space="0" w:color="auto"/>
            </w:tcBorders>
            <w:shd w:val="clear" w:color="auto" w:fill="auto"/>
            <w:vAlign w:val="bottom"/>
            <w:hideMark/>
          </w:tcPr>
          <w:p w:rsidR="00700F21" w:rsidRPr="00700F21" w:rsidRDefault="00700F21" w:rsidP="00700F21">
            <w:pPr>
              <w:pBdr>
                <w:top w:val="nil"/>
                <w:left w:val="nil"/>
                <w:bottom w:val="nil"/>
                <w:right w:val="nil"/>
                <w:between w:val="nil"/>
              </w:pBdr>
              <w:spacing w:after="160" w:line="259" w:lineRule="auto"/>
              <w:rPr>
                <w:rFonts w:ascii="Arial" w:hAnsi="Arial" w:cs="Arial"/>
                <w:i/>
                <w:color w:val="000000"/>
                <w:sz w:val="20"/>
                <w:szCs w:val="22"/>
                <w:lang w:val="es-CR" w:eastAsia="es-CR"/>
              </w:rPr>
            </w:pPr>
            <w:r w:rsidRPr="00700F21">
              <w:rPr>
                <w:rFonts w:ascii="Arial" w:hAnsi="Arial" w:cs="Arial"/>
                <w:i/>
                <w:color w:val="000000"/>
                <w:sz w:val="20"/>
                <w:szCs w:val="22"/>
                <w:lang w:val="es-CR" w:eastAsia="es-CR"/>
              </w:rPr>
              <w:t>Diseño Industrial</w:t>
            </w:r>
          </w:p>
        </w:tc>
        <w:tc>
          <w:tcPr>
            <w:tcW w:w="1275" w:type="dxa"/>
            <w:tcBorders>
              <w:top w:val="nil"/>
              <w:left w:val="nil"/>
              <w:bottom w:val="single" w:sz="4" w:space="0" w:color="auto"/>
              <w:right w:val="single" w:sz="4" w:space="0" w:color="auto"/>
            </w:tcBorders>
            <w:shd w:val="clear" w:color="auto" w:fill="auto"/>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15-2017</w:t>
            </w:r>
          </w:p>
        </w:tc>
        <w:tc>
          <w:tcPr>
            <w:tcW w:w="999" w:type="dxa"/>
            <w:tcBorders>
              <w:top w:val="nil"/>
              <w:left w:val="nil"/>
              <w:bottom w:val="single" w:sz="4" w:space="0" w:color="auto"/>
              <w:right w:val="single" w:sz="4" w:space="0" w:color="auto"/>
            </w:tcBorders>
            <w:shd w:val="clear" w:color="auto" w:fill="auto"/>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2</w:t>
            </w:r>
          </w:p>
        </w:tc>
        <w:tc>
          <w:tcPr>
            <w:tcW w:w="2835" w:type="dxa"/>
            <w:tcBorders>
              <w:top w:val="nil"/>
              <w:left w:val="nil"/>
              <w:bottom w:val="single" w:sz="4" w:space="0" w:color="auto"/>
              <w:right w:val="single" w:sz="4" w:space="0" w:color="auto"/>
            </w:tcBorders>
            <w:shd w:val="clear" w:color="auto" w:fill="auto"/>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6 de noviembre de 2017</w:t>
            </w:r>
          </w:p>
        </w:tc>
      </w:tr>
      <w:tr w:rsidR="00700F21" w:rsidRPr="00700F21" w:rsidTr="00B77C01">
        <w:trPr>
          <w:trHeight w:val="300"/>
        </w:trPr>
        <w:tc>
          <w:tcPr>
            <w:tcW w:w="2665" w:type="dxa"/>
            <w:tcBorders>
              <w:top w:val="nil"/>
              <w:left w:val="single" w:sz="4" w:space="0" w:color="auto"/>
              <w:bottom w:val="single" w:sz="4" w:space="0" w:color="auto"/>
              <w:right w:val="single" w:sz="4" w:space="0" w:color="auto"/>
            </w:tcBorders>
            <w:shd w:val="clear" w:color="auto" w:fill="auto"/>
            <w:vAlign w:val="bottom"/>
            <w:hideMark/>
          </w:tcPr>
          <w:p w:rsidR="00700F21" w:rsidRPr="00700F21" w:rsidRDefault="00700F21" w:rsidP="00700F21">
            <w:pPr>
              <w:pBdr>
                <w:top w:val="nil"/>
                <w:left w:val="nil"/>
                <w:bottom w:val="nil"/>
                <w:right w:val="nil"/>
                <w:between w:val="nil"/>
              </w:pBdr>
              <w:spacing w:after="160" w:line="259" w:lineRule="auto"/>
              <w:rPr>
                <w:rFonts w:ascii="Arial" w:hAnsi="Arial" w:cs="Arial"/>
                <w:i/>
                <w:color w:val="000000"/>
                <w:sz w:val="20"/>
                <w:szCs w:val="22"/>
                <w:lang w:val="es-CR" w:eastAsia="es-CR"/>
              </w:rPr>
            </w:pPr>
            <w:r w:rsidRPr="00700F21">
              <w:rPr>
                <w:rFonts w:ascii="Arial" w:hAnsi="Arial" w:cs="Arial"/>
                <w:i/>
                <w:color w:val="000000"/>
                <w:sz w:val="20"/>
                <w:szCs w:val="22"/>
                <w:lang w:val="es-CR" w:eastAsia="es-CR"/>
              </w:rPr>
              <w:t>Biología</w:t>
            </w:r>
          </w:p>
        </w:tc>
        <w:tc>
          <w:tcPr>
            <w:tcW w:w="1275" w:type="dxa"/>
            <w:tcBorders>
              <w:top w:val="nil"/>
              <w:left w:val="nil"/>
              <w:bottom w:val="single" w:sz="4" w:space="0" w:color="auto"/>
              <w:right w:val="single" w:sz="4" w:space="0" w:color="auto"/>
            </w:tcBorders>
            <w:shd w:val="clear" w:color="auto" w:fill="auto"/>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24-2017</w:t>
            </w:r>
          </w:p>
        </w:tc>
        <w:tc>
          <w:tcPr>
            <w:tcW w:w="999" w:type="dxa"/>
            <w:tcBorders>
              <w:top w:val="nil"/>
              <w:left w:val="nil"/>
              <w:bottom w:val="single" w:sz="4" w:space="0" w:color="auto"/>
              <w:right w:val="single" w:sz="4" w:space="0" w:color="auto"/>
            </w:tcBorders>
            <w:shd w:val="clear" w:color="auto" w:fill="auto"/>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12</w:t>
            </w:r>
          </w:p>
        </w:tc>
        <w:tc>
          <w:tcPr>
            <w:tcW w:w="2835" w:type="dxa"/>
            <w:tcBorders>
              <w:top w:val="nil"/>
              <w:left w:val="nil"/>
              <w:bottom w:val="single" w:sz="4" w:space="0" w:color="auto"/>
              <w:right w:val="single" w:sz="4" w:space="0" w:color="auto"/>
            </w:tcBorders>
            <w:shd w:val="clear" w:color="auto" w:fill="auto"/>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20 de noviembre de 2017</w:t>
            </w:r>
          </w:p>
        </w:tc>
      </w:tr>
      <w:tr w:rsidR="00700F21" w:rsidRPr="00700F21" w:rsidTr="00B77C01">
        <w:trPr>
          <w:trHeight w:val="300"/>
        </w:trPr>
        <w:tc>
          <w:tcPr>
            <w:tcW w:w="2665" w:type="dxa"/>
            <w:tcBorders>
              <w:top w:val="nil"/>
              <w:left w:val="single" w:sz="4" w:space="0" w:color="auto"/>
              <w:bottom w:val="single" w:sz="4" w:space="0" w:color="auto"/>
              <w:right w:val="single" w:sz="4" w:space="0" w:color="auto"/>
            </w:tcBorders>
            <w:shd w:val="clear" w:color="auto" w:fill="auto"/>
            <w:vAlign w:val="bottom"/>
            <w:hideMark/>
          </w:tcPr>
          <w:p w:rsidR="00700F21" w:rsidRPr="00700F21" w:rsidRDefault="00700F21" w:rsidP="00700F21">
            <w:pPr>
              <w:pBdr>
                <w:top w:val="nil"/>
                <w:left w:val="nil"/>
                <w:bottom w:val="nil"/>
                <w:right w:val="nil"/>
                <w:between w:val="nil"/>
              </w:pBdr>
              <w:spacing w:after="160" w:line="259" w:lineRule="auto"/>
              <w:rPr>
                <w:rFonts w:ascii="Arial" w:hAnsi="Arial" w:cs="Arial"/>
                <w:i/>
                <w:color w:val="000000"/>
                <w:sz w:val="20"/>
                <w:szCs w:val="22"/>
                <w:lang w:val="es-CR" w:eastAsia="es-CR"/>
              </w:rPr>
            </w:pPr>
            <w:r w:rsidRPr="00700F21">
              <w:rPr>
                <w:rFonts w:ascii="Arial" w:hAnsi="Arial" w:cs="Arial"/>
                <w:i/>
                <w:color w:val="000000"/>
                <w:sz w:val="20"/>
                <w:szCs w:val="22"/>
                <w:lang w:val="es-CR" w:eastAsia="es-CR"/>
              </w:rPr>
              <w:t>Ingeniería en Producción Industrial</w:t>
            </w:r>
          </w:p>
        </w:tc>
        <w:tc>
          <w:tcPr>
            <w:tcW w:w="1275" w:type="dxa"/>
            <w:tcBorders>
              <w:top w:val="nil"/>
              <w:left w:val="nil"/>
              <w:bottom w:val="single" w:sz="4" w:space="0" w:color="auto"/>
              <w:right w:val="single" w:sz="4" w:space="0" w:color="auto"/>
            </w:tcBorders>
            <w:shd w:val="clear" w:color="auto" w:fill="auto"/>
            <w:noWrap/>
            <w:vAlign w:val="center"/>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20-2017</w:t>
            </w:r>
          </w:p>
        </w:tc>
        <w:tc>
          <w:tcPr>
            <w:tcW w:w="999" w:type="dxa"/>
            <w:tcBorders>
              <w:top w:val="nil"/>
              <w:left w:val="nil"/>
              <w:bottom w:val="single" w:sz="4" w:space="0" w:color="auto"/>
              <w:right w:val="single" w:sz="4" w:space="0" w:color="auto"/>
            </w:tcBorders>
            <w:shd w:val="clear" w:color="auto" w:fill="auto"/>
            <w:noWrap/>
            <w:vAlign w:val="center"/>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14</w:t>
            </w:r>
          </w:p>
        </w:tc>
        <w:tc>
          <w:tcPr>
            <w:tcW w:w="2835" w:type="dxa"/>
            <w:tcBorders>
              <w:top w:val="nil"/>
              <w:left w:val="nil"/>
              <w:bottom w:val="single" w:sz="4" w:space="0" w:color="auto"/>
              <w:right w:val="single" w:sz="4" w:space="0" w:color="auto"/>
            </w:tcBorders>
            <w:shd w:val="clear" w:color="auto" w:fill="auto"/>
            <w:noWrap/>
            <w:vAlign w:val="center"/>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6 de noviembre de 2017</w:t>
            </w:r>
          </w:p>
        </w:tc>
      </w:tr>
      <w:tr w:rsidR="00700F21" w:rsidRPr="00700F21" w:rsidTr="00B77C01">
        <w:trPr>
          <w:trHeight w:val="300"/>
        </w:trPr>
        <w:tc>
          <w:tcPr>
            <w:tcW w:w="2665" w:type="dxa"/>
            <w:tcBorders>
              <w:top w:val="nil"/>
              <w:left w:val="single" w:sz="4" w:space="0" w:color="auto"/>
              <w:bottom w:val="single" w:sz="4" w:space="0" w:color="auto"/>
              <w:right w:val="single" w:sz="4" w:space="0" w:color="auto"/>
            </w:tcBorders>
            <w:shd w:val="clear" w:color="auto" w:fill="auto"/>
            <w:vAlign w:val="bottom"/>
            <w:hideMark/>
          </w:tcPr>
          <w:p w:rsidR="00700F21" w:rsidRPr="00700F21" w:rsidRDefault="00700F21" w:rsidP="00700F21">
            <w:pPr>
              <w:pBdr>
                <w:top w:val="nil"/>
                <w:left w:val="nil"/>
                <w:bottom w:val="nil"/>
                <w:right w:val="nil"/>
                <w:between w:val="nil"/>
              </w:pBdr>
              <w:spacing w:after="160" w:line="259" w:lineRule="auto"/>
              <w:rPr>
                <w:rFonts w:ascii="Arial" w:hAnsi="Arial" w:cs="Arial"/>
                <w:i/>
                <w:color w:val="000000"/>
                <w:sz w:val="20"/>
                <w:szCs w:val="22"/>
                <w:lang w:val="es-CR" w:eastAsia="es-CR"/>
              </w:rPr>
            </w:pPr>
            <w:r w:rsidRPr="00700F21">
              <w:rPr>
                <w:rFonts w:ascii="Arial" w:hAnsi="Arial" w:cs="Arial"/>
                <w:i/>
                <w:color w:val="000000"/>
                <w:sz w:val="20"/>
                <w:szCs w:val="22"/>
                <w:lang w:val="es-CR" w:eastAsia="es-CR"/>
              </w:rPr>
              <w:t>Química</w:t>
            </w:r>
          </w:p>
        </w:tc>
        <w:tc>
          <w:tcPr>
            <w:tcW w:w="1275" w:type="dxa"/>
            <w:tcBorders>
              <w:top w:val="nil"/>
              <w:left w:val="nil"/>
              <w:bottom w:val="single" w:sz="4" w:space="0" w:color="auto"/>
              <w:right w:val="single" w:sz="4" w:space="0" w:color="auto"/>
            </w:tcBorders>
            <w:shd w:val="clear" w:color="auto" w:fill="auto"/>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37-2017</w:t>
            </w:r>
          </w:p>
        </w:tc>
        <w:tc>
          <w:tcPr>
            <w:tcW w:w="999" w:type="dxa"/>
            <w:tcBorders>
              <w:top w:val="nil"/>
              <w:left w:val="nil"/>
              <w:bottom w:val="single" w:sz="4" w:space="0" w:color="auto"/>
              <w:right w:val="single" w:sz="4" w:space="0" w:color="auto"/>
            </w:tcBorders>
            <w:shd w:val="clear" w:color="auto" w:fill="auto"/>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3.5</w:t>
            </w:r>
          </w:p>
        </w:tc>
        <w:tc>
          <w:tcPr>
            <w:tcW w:w="2835" w:type="dxa"/>
            <w:tcBorders>
              <w:top w:val="nil"/>
              <w:left w:val="nil"/>
              <w:bottom w:val="single" w:sz="4" w:space="0" w:color="auto"/>
              <w:right w:val="single" w:sz="4" w:space="0" w:color="auto"/>
            </w:tcBorders>
            <w:shd w:val="clear" w:color="auto" w:fill="auto"/>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27 de noviembre de 2017</w:t>
            </w:r>
          </w:p>
        </w:tc>
      </w:tr>
      <w:tr w:rsidR="00700F21" w:rsidRPr="00700F21" w:rsidTr="00B77C01">
        <w:trPr>
          <w:trHeight w:val="300"/>
        </w:trPr>
        <w:tc>
          <w:tcPr>
            <w:tcW w:w="2665" w:type="dxa"/>
            <w:tcBorders>
              <w:top w:val="nil"/>
              <w:left w:val="single" w:sz="4" w:space="0" w:color="auto"/>
              <w:bottom w:val="single" w:sz="4" w:space="0" w:color="auto"/>
              <w:right w:val="single" w:sz="4" w:space="0" w:color="auto"/>
            </w:tcBorders>
            <w:shd w:val="clear" w:color="auto" w:fill="auto"/>
            <w:vAlign w:val="bottom"/>
            <w:hideMark/>
          </w:tcPr>
          <w:p w:rsidR="00700F21" w:rsidRPr="00700F21" w:rsidRDefault="00700F21" w:rsidP="00700F21">
            <w:pPr>
              <w:pBdr>
                <w:top w:val="nil"/>
                <w:left w:val="nil"/>
                <w:bottom w:val="nil"/>
                <w:right w:val="nil"/>
                <w:between w:val="nil"/>
              </w:pBdr>
              <w:spacing w:after="160" w:line="259" w:lineRule="auto"/>
              <w:rPr>
                <w:rFonts w:ascii="Arial" w:hAnsi="Arial" w:cs="Arial"/>
                <w:i/>
                <w:color w:val="000000"/>
                <w:sz w:val="20"/>
                <w:szCs w:val="22"/>
                <w:lang w:val="es-CR" w:eastAsia="es-CR"/>
              </w:rPr>
            </w:pPr>
            <w:r w:rsidRPr="00700F21">
              <w:rPr>
                <w:rFonts w:ascii="Arial" w:hAnsi="Arial" w:cs="Arial"/>
                <w:i/>
                <w:color w:val="000000"/>
                <w:sz w:val="20"/>
                <w:szCs w:val="22"/>
                <w:lang w:val="es-CR" w:eastAsia="es-CR"/>
              </w:rPr>
              <w:t>Física</w:t>
            </w:r>
          </w:p>
        </w:tc>
        <w:tc>
          <w:tcPr>
            <w:tcW w:w="1275" w:type="dxa"/>
            <w:tcBorders>
              <w:top w:val="nil"/>
              <w:left w:val="nil"/>
              <w:bottom w:val="single" w:sz="4" w:space="0" w:color="auto"/>
              <w:right w:val="single" w:sz="4" w:space="0" w:color="auto"/>
            </w:tcBorders>
            <w:shd w:val="clear" w:color="auto" w:fill="auto"/>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29-2017</w:t>
            </w:r>
          </w:p>
        </w:tc>
        <w:tc>
          <w:tcPr>
            <w:tcW w:w="999" w:type="dxa"/>
            <w:tcBorders>
              <w:top w:val="nil"/>
              <w:left w:val="nil"/>
              <w:bottom w:val="single" w:sz="4" w:space="0" w:color="auto"/>
              <w:right w:val="single" w:sz="4" w:space="0" w:color="auto"/>
            </w:tcBorders>
            <w:shd w:val="clear" w:color="auto" w:fill="auto"/>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3</w:t>
            </w:r>
          </w:p>
        </w:tc>
        <w:tc>
          <w:tcPr>
            <w:tcW w:w="2835" w:type="dxa"/>
            <w:tcBorders>
              <w:top w:val="nil"/>
              <w:left w:val="nil"/>
              <w:bottom w:val="single" w:sz="4" w:space="0" w:color="auto"/>
              <w:right w:val="single" w:sz="4" w:space="0" w:color="auto"/>
            </w:tcBorders>
            <w:shd w:val="clear" w:color="auto" w:fill="auto"/>
            <w:noWrap/>
            <w:vAlign w:val="bottom"/>
            <w:hideMark/>
          </w:tcPr>
          <w:p w:rsidR="00700F21" w:rsidRPr="00700F21" w:rsidRDefault="00700F21" w:rsidP="00700F21">
            <w:pPr>
              <w:pBdr>
                <w:top w:val="nil"/>
                <w:left w:val="nil"/>
                <w:bottom w:val="nil"/>
                <w:right w:val="nil"/>
                <w:between w:val="nil"/>
              </w:pBdr>
              <w:spacing w:after="160" w:line="259" w:lineRule="auto"/>
              <w:jc w:val="center"/>
              <w:rPr>
                <w:rFonts w:ascii="Arial" w:hAnsi="Arial" w:cs="Arial"/>
                <w:i/>
                <w:color w:val="000000"/>
                <w:sz w:val="20"/>
                <w:szCs w:val="22"/>
                <w:lang w:val="es-CR" w:eastAsia="es-CR"/>
              </w:rPr>
            </w:pPr>
            <w:r w:rsidRPr="00700F21">
              <w:rPr>
                <w:rFonts w:ascii="Arial" w:hAnsi="Arial" w:cs="Arial"/>
                <w:i/>
                <w:color w:val="000000"/>
                <w:sz w:val="20"/>
                <w:szCs w:val="22"/>
                <w:lang w:val="es-CR" w:eastAsia="es-CR"/>
              </w:rPr>
              <w:t>6 de noviembre de 2017</w:t>
            </w:r>
          </w:p>
        </w:tc>
      </w:tr>
    </w:tbl>
    <w:p w:rsidR="00700F21" w:rsidRPr="00700F21" w:rsidRDefault="00700F21" w:rsidP="008D5D01">
      <w:pPr>
        <w:pBdr>
          <w:top w:val="nil"/>
          <w:left w:val="nil"/>
          <w:bottom w:val="nil"/>
          <w:right w:val="nil"/>
          <w:between w:val="nil"/>
        </w:pBdr>
        <w:spacing w:after="160" w:line="259" w:lineRule="auto"/>
        <w:jc w:val="both"/>
        <w:rPr>
          <w:rFonts w:ascii="Arial" w:eastAsia="Calibri" w:hAnsi="Arial" w:cs="Arial"/>
          <w:color w:val="000000"/>
          <w:sz w:val="22"/>
          <w:szCs w:val="22"/>
          <w:lang w:val="es-CR" w:eastAsia="es-CR"/>
        </w:rPr>
      </w:pPr>
    </w:p>
    <w:p w:rsidR="00700F21" w:rsidRPr="00700F21" w:rsidRDefault="00700F21" w:rsidP="008D5D01">
      <w:pPr>
        <w:numPr>
          <w:ilvl w:val="0"/>
          <w:numId w:val="22"/>
        </w:numPr>
        <w:pBdr>
          <w:top w:val="nil"/>
          <w:left w:val="nil"/>
          <w:bottom w:val="nil"/>
          <w:right w:val="nil"/>
          <w:between w:val="nil"/>
        </w:pBdr>
        <w:spacing w:after="160" w:line="259" w:lineRule="auto"/>
        <w:ind w:right="474"/>
        <w:jc w:val="both"/>
        <w:rPr>
          <w:rFonts w:ascii="Arial" w:hAnsi="Arial" w:cs="Arial"/>
          <w:i/>
          <w:sz w:val="22"/>
          <w:lang w:val="es-CR" w:eastAsia="es-CR"/>
        </w:rPr>
      </w:pPr>
      <w:r w:rsidRPr="00700F21">
        <w:rPr>
          <w:rFonts w:ascii="Arial" w:hAnsi="Arial" w:cs="Arial"/>
          <w:i/>
          <w:sz w:val="22"/>
          <w:lang w:val="es-CR" w:eastAsia="es-CR"/>
        </w:rPr>
        <w:t>El Consejo de Investigación y Extensión en la Sesión Ordinaria No. 02-2009, Artículo 18, del 16 de febrero del 2009, aprobó las “Normas para la Gestión de Programas de Investigación y Extensión en el Instituto Tecnológico de Costa Rica”.</w:t>
      </w:r>
    </w:p>
    <w:p w:rsidR="00700F21" w:rsidRPr="00700F21" w:rsidRDefault="00700F21" w:rsidP="00700F21">
      <w:pPr>
        <w:numPr>
          <w:ilvl w:val="0"/>
          <w:numId w:val="22"/>
        </w:numPr>
        <w:pBdr>
          <w:top w:val="nil"/>
          <w:left w:val="nil"/>
          <w:bottom w:val="nil"/>
          <w:right w:val="nil"/>
          <w:between w:val="nil"/>
        </w:pBdr>
        <w:spacing w:after="160" w:line="259" w:lineRule="auto"/>
        <w:ind w:right="474"/>
        <w:jc w:val="both"/>
        <w:rPr>
          <w:rFonts w:ascii="Arial" w:hAnsi="Arial" w:cs="Arial"/>
          <w:i/>
          <w:sz w:val="22"/>
          <w:lang w:val="es-CR" w:eastAsia="es-CR"/>
        </w:rPr>
      </w:pPr>
      <w:r w:rsidRPr="00700F21">
        <w:rPr>
          <w:rFonts w:ascii="Arial" w:hAnsi="Arial" w:cs="Arial"/>
          <w:i/>
          <w:sz w:val="22"/>
          <w:lang w:val="es-CR" w:eastAsia="es-CR"/>
        </w:rPr>
        <w:t xml:space="preserve">Obedeciendo a lo estipulado en la Normativa para la Gestión de Programas de Investigación y Extensión, el grupo proponente ha seleccionado al Dr. Jorge Cubero </w:t>
      </w:r>
      <w:proofErr w:type="spellStart"/>
      <w:r w:rsidRPr="00700F21">
        <w:rPr>
          <w:rFonts w:ascii="Arial" w:hAnsi="Arial" w:cs="Arial"/>
          <w:i/>
          <w:sz w:val="22"/>
          <w:lang w:val="es-CR" w:eastAsia="es-CR"/>
        </w:rPr>
        <w:t>Sesín</w:t>
      </w:r>
      <w:proofErr w:type="spellEnd"/>
      <w:r w:rsidRPr="00700F21">
        <w:rPr>
          <w:rFonts w:ascii="Arial" w:hAnsi="Arial" w:cs="Arial"/>
          <w:i/>
          <w:sz w:val="22"/>
          <w:lang w:val="es-CR" w:eastAsia="es-CR"/>
        </w:rPr>
        <w:t xml:space="preserve"> como Coordinador del Programa, el cual cumple con los requisitos para desempeñar el cargo, al ser un profesor categoría Profesor Adjunto, con experiencia en el desarrollo de proyectos de investigación.</w:t>
      </w:r>
    </w:p>
    <w:p w:rsidR="00700F21" w:rsidRPr="00700F21" w:rsidRDefault="00700F21" w:rsidP="00700F21">
      <w:pPr>
        <w:ind w:right="474"/>
        <w:jc w:val="both"/>
        <w:rPr>
          <w:rFonts w:ascii="Arial" w:hAnsi="Arial" w:cs="Arial"/>
          <w:i/>
          <w:sz w:val="22"/>
          <w:lang w:val="es-CR" w:eastAsia="es-CR"/>
        </w:rPr>
      </w:pPr>
    </w:p>
    <w:p w:rsidR="00700F21" w:rsidRPr="00700F21" w:rsidRDefault="00700F21" w:rsidP="00700F21">
      <w:pPr>
        <w:numPr>
          <w:ilvl w:val="0"/>
          <w:numId w:val="22"/>
        </w:numPr>
        <w:pBdr>
          <w:top w:val="nil"/>
          <w:left w:val="nil"/>
          <w:bottom w:val="nil"/>
          <w:right w:val="nil"/>
          <w:between w:val="nil"/>
        </w:pBdr>
        <w:spacing w:after="160" w:line="259" w:lineRule="auto"/>
        <w:ind w:right="474"/>
        <w:jc w:val="both"/>
        <w:rPr>
          <w:rFonts w:ascii="Arial" w:hAnsi="Arial" w:cs="Arial"/>
          <w:i/>
          <w:sz w:val="22"/>
          <w:lang w:val="es-CR" w:eastAsia="es-CR"/>
        </w:rPr>
      </w:pPr>
      <w:r w:rsidRPr="00700F21">
        <w:rPr>
          <w:rFonts w:ascii="Arial" w:hAnsi="Arial" w:cs="Arial"/>
          <w:i/>
          <w:sz w:val="22"/>
          <w:lang w:val="es-CR" w:eastAsia="es-CR"/>
        </w:rPr>
        <w:lastRenderedPageBreak/>
        <w:t>La temática considerada por el programa propuesto, efectivamente podría contribuir activamente a la mayoría de los Ejes de Conocimiento Estratégicos de la Institución, establecido por el AIR según mandato del III Congreso Institucional, a saber; Agua, Alimentos, Energía, Hábitat, Industria y Salud, siendo su Objetivo General el “Desarrollar acciones concretas que contribuyan al posicionamiento del ITCR como un referente en investigación en materiales avanzados y aplicaciones para el desarrollo social y económico del país, basado en la innovación y sostenibilidad ambiental”.</w:t>
      </w:r>
    </w:p>
    <w:p w:rsidR="00700F21" w:rsidRPr="00700F21" w:rsidRDefault="00700F21" w:rsidP="00700F21">
      <w:pPr>
        <w:numPr>
          <w:ilvl w:val="0"/>
          <w:numId w:val="22"/>
        </w:numPr>
        <w:pBdr>
          <w:top w:val="nil"/>
          <w:left w:val="nil"/>
          <w:bottom w:val="nil"/>
          <w:right w:val="nil"/>
          <w:between w:val="nil"/>
        </w:pBdr>
        <w:spacing w:after="160" w:line="259" w:lineRule="auto"/>
        <w:ind w:right="474"/>
        <w:jc w:val="both"/>
        <w:rPr>
          <w:rFonts w:ascii="Arial" w:hAnsi="Arial" w:cs="Arial"/>
          <w:lang w:val="es-CR" w:eastAsia="es-CR"/>
        </w:rPr>
      </w:pPr>
      <w:r w:rsidRPr="00700F21">
        <w:rPr>
          <w:rFonts w:ascii="Arial" w:hAnsi="Arial" w:cs="Arial"/>
          <w:i/>
          <w:sz w:val="22"/>
          <w:lang w:val="es-CR" w:eastAsia="es-CR"/>
        </w:rPr>
        <w:t>La normativa de programas, establece entre sus objetivos específicos “promover la integración de los estudios multidisciplinarios en las áreas de desarrollo científico y tecnológico pertinentes, para la solución de problemas de interés nacional e internacional”, y que el PIMAA pretende mediante un desarrollo adecuadamente estructurado, favorecer la comunicación, organización y asociación entre los diferentes sectores académicos de la Institución, para la búsqueda de soluciones concretas e integrales, mediante el desarrollo y aplicación de nuevos materiales y combinaciones de estas. Además, ser un punto de convergencia de la investigación en materiales, tanto a lo interno como a lo externo de la institución.</w:t>
      </w:r>
    </w:p>
    <w:p w:rsidR="00700F21" w:rsidRPr="00700F21" w:rsidRDefault="00700F21" w:rsidP="00700F21">
      <w:pPr>
        <w:numPr>
          <w:ilvl w:val="0"/>
          <w:numId w:val="22"/>
        </w:numPr>
        <w:pBdr>
          <w:top w:val="nil"/>
          <w:left w:val="nil"/>
          <w:bottom w:val="nil"/>
          <w:right w:val="nil"/>
          <w:between w:val="nil"/>
        </w:pBdr>
        <w:spacing w:after="160" w:line="259" w:lineRule="auto"/>
        <w:ind w:right="474"/>
        <w:jc w:val="both"/>
        <w:rPr>
          <w:rFonts w:ascii="Arial" w:hAnsi="Arial" w:cs="Arial"/>
          <w:i/>
          <w:sz w:val="22"/>
          <w:lang w:val="es-CR" w:eastAsia="es-CR"/>
        </w:rPr>
      </w:pPr>
      <w:r w:rsidRPr="00700F21">
        <w:rPr>
          <w:rFonts w:ascii="Arial" w:hAnsi="Arial" w:cs="Arial"/>
          <w:bCs/>
          <w:i/>
          <w:sz w:val="22"/>
          <w:lang w:eastAsia="es-CR"/>
        </w:rPr>
        <w:t>Asimismo</w:t>
      </w:r>
      <w:r w:rsidRPr="00700F21">
        <w:rPr>
          <w:rFonts w:ascii="Arial" w:hAnsi="Arial" w:cs="Arial"/>
          <w:i/>
          <w:sz w:val="22"/>
          <w:lang w:val="es-CR" w:eastAsia="es-CR"/>
        </w:rPr>
        <w:t>, la normativa de programas establece entre sus objetivos específicos el aumentar la participación de profesores en la integración del conocimiento científico y tecnológico, objetivo que se verá reflejado mediante este programa al involucrar la participación de investigadores de las Escuelas de: Ciencia e Ingeniería de los Materiales, Química, Física, Biología, Producción Industrial, Diseño Industrial, Forestal y Construcción. En su mayoría Doctores, todos con trayectoria en los temas de investigación relacionados al programa.</w:t>
      </w:r>
    </w:p>
    <w:p w:rsidR="00700F21" w:rsidRPr="00700F21" w:rsidRDefault="00700F21" w:rsidP="00700F21">
      <w:pPr>
        <w:numPr>
          <w:ilvl w:val="0"/>
          <w:numId w:val="22"/>
        </w:numPr>
        <w:pBdr>
          <w:top w:val="nil"/>
          <w:left w:val="nil"/>
          <w:bottom w:val="nil"/>
          <w:right w:val="nil"/>
          <w:between w:val="nil"/>
        </w:pBdr>
        <w:spacing w:after="160" w:line="259" w:lineRule="auto"/>
        <w:ind w:right="474"/>
        <w:jc w:val="both"/>
        <w:rPr>
          <w:rFonts w:ascii="Arial" w:hAnsi="Arial" w:cs="Arial"/>
          <w:i/>
          <w:sz w:val="22"/>
          <w:lang w:val="es-CR" w:eastAsia="es-CR"/>
        </w:rPr>
      </w:pPr>
      <w:r w:rsidRPr="00700F21">
        <w:rPr>
          <w:rFonts w:ascii="Arial" w:hAnsi="Arial" w:cs="Arial"/>
          <w:bCs/>
          <w:i/>
          <w:sz w:val="22"/>
          <w:lang w:eastAsia="es-CR"/>
        </w:rPr>
        <w:t>La propuesta de creación responde a las necesidades e interés institucional,</w:t>
      </w:r>
      <w:r w:rsidRPr="00700F21">
        <w:rPr>
          <w:rFonts w:ascii="Arial" w:hAnsi="Arial" w:cs="Arial"/>
          <w:i/>
          <w:sz w:val="22"/>
          <w:lang w:val="es-CR" w:eastAsia="es-CR"/>
        </w:rPr>
        <w:t xml:space="preserve"> respuesta de trabajo propuesto por el PIMAA, muestra una madurez en la idea y organización del centro y facilita el trabajo mismo del centro y sus grupos de investigación. Asimismo, los investigadores que formarán parte del programa han mostrado capacidad en la consecución de fondos externos para financiar sus investigaciones. </w:t>
      </w:r>
    </w:p>
    <w:p w:rsidR="00700F21" w:rsidRPr="00700F21" w:rsidRDefault="00700F21" w:rsidP="00700F21">
      <w:pPr>
        <w:numPr>
          <w:ilvl w:val="0"/>
          <w:numId w:val="22"/>
        </w:numPr>
        <w:pBdr>
          <w:top w:val="nil"/>
          <w:left w:val="nil"/>
          <w:bottom w:val="nil"/>
          <w:right w:val="nil"/>
          <w:between w:val="nil"/>
        </w:pBdr>
        <w:spacing w:after="160" w:line="259" w:lineRule="auto"/>
        <w:ind w:right="474"/>
        <w:jc w:val="both"/>
        <w:rPr>
          <w:rFonts w:ascii="Arial" w:hAnsi="Arial" w:cs="Arial"/>
          <w:bCs/>
          <w:i/>
          <w:sz w:val="22"/>
          <w:lang w:eastAsia="es-CR"/>
        </w:rPr>
      </w:pPr>
      <w:r w:rsidRPr="00700F21">
        <w:rPr>
          <w:rFonts w:ascii="Arial" w:hAnsi="Arial" w:cs="Arial"/>
          <w:bCs/>
          <w:i/>
          <w:sz w:val="22"/>
          <w:lang w:eastAsia="es-CR"/>
        </w:rPr>
        <w:t>Se posee la infraestructura apropiada y capacidad humana para garantizar y facilitar el éxito en las labores de la investigación que se realizará en el marco de este programa.</w:t>
      </w:r>
    </w:p>
    <w:p w:rsidR="00700F21" w:rsidRPr="00700F21" w:rsidRDefault="00700F21" w:rsidP="008D5D01">
      <w:pPr>
        <w:numPr>
          <w:ilvl w:val="0"/>
          <w:numId w:val="22"/>
        </w:numPr>
        <w:pBdr>
          <w:top w:val="nil"/>
          <w:left w:val="nil"/>
          <w:bottom w:val="nil"/>
          <w:right w:val="nil"/>
          <w:between w:val="nil"/>
        </w:pBdr>
        <w:spacing w:after="160" w:line="259" w:lineRule="auto"/>
        <w:ind w:right="474"/>
        <w:jc w:val="both"/>
        <w:rPr>
          <w:rFonts w:ascii="Arial" w:hAnsi="Arial" w:cs="Arial"/>
          <w:bCs/>
          <w:i/>
          <w:sz w:val="22"/>
          <w:lang w:eastAsia="es-CR"/>
        </w:rPr>
      </w:pPr>
      <w:r w:rsidRPr="00700F21">
        <w:rPr>
          <w:rFonts w:ascii="Arial" w:hAnsi="Arial" w:cs="Arial"/>
          <w:bCs/>
          <w:i/>
          <w:sz w:val="22"/>
          <w:lang w:eastAsia="es-CR"/>
        </w:rPr>
        <w:t>Junto al Oficio CIM-132-2018, se adjunta el documento Programa de Investigación en Materiales Avanzados y Aplicaciones (PIMAA), el cual incluye los aspectos solicitados en la Normativa para la Gestión de Programas de Investigación y Extensión del ITCR, a saber:</w:t>
      </w:r>
    </w:p>
    <w:p w:rsidR="00700F21" w:rsidRPr="00700F21" w:rsidRDefault="00700F21" w:rsidP="00700F21">
      <w:pPr>
        <w:numPr>
          <w:ilvl w:val="1"/>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Nombre del Programa</w:t>
      </w:r>
    </w:p>
    <w:p w:rsidR="00700F21" w:rsidRPr="00700F21" w:rsidRDefault="00700F21" w:rsidP="00700F21">
      <w:pPr>
        <w:numPr>
          <w:ilvl w:val="1"/>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Escuela Proponente</w:t>
      </w:r>
    </w:p>
    <w:p w:rsidR="00700F21" w:rsidRPr="00700F21" w:rsidRDefault="00700F21" w:rsidP="00700F21">
      <w:pPr>
        <w:numPr>
          <w:ilvl w:val="1"/>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Coordinación Administrativa</w:t>
      </w:r>
    </w:p>
    <w:p w:rsidR="00700F21" w:rsidRPr="00700F21" w:rsidRDefault="00700F21" w:rsidP="00700F21">
      <w:pPr>
        <w:numPr>
          <w:ilvl w:val="1"/>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Periodo de ejecución</w:t>
      </w:r>
    </w:p>
    <w:p w:rsidR="00700F21" w:rsidRPr="00700F21" w:rsidRDefault="00700F21" w:rsidP="00700F21">
      <w:pPr>
        <w:numPr>
          <w:ilvl w:val="1"/>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Disciplinas del Programa</w:t>
      </w:r>
    </w:p>
    <w:p w:rsidR="00700F21" w:rsidRPr="00700F21" w:rsidRDefault="00700F21" w:rsidP="00700F21">
      <w:pPr>
        <w:numPr>
          <w:ilvl w:val="1"/>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Participantes- Nombres y grados académicos.</w:t>
      </w:r>
    </w:p>
    <w:p w:rsidR="00700F21" w:rsidRPr="00700F21" w:rsidRDefault="00700F21" w:rsidP="00700F21">
      <w:pPr>
        <w:numPr>
          <w:ilvl w:val="1"/>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Justificación</w:t>
      </w:r>
    </w:p>
    <w:p w:rsidR="00700F21" w:rsidRPr="00700F21" w:rsidRDefault="00700F21" w:rsidP="00700F21">
      <w:pPr>
        <w:numPr>
          <w:ilvl w:val="1"/>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Estado del Arte</w:t>
      </w:r>
    </w:p>
    <w:p w:rsidR="00700F21" w:rsidRPr="00700F21" w:rsidRDefault="00700F21" w:rsidP="00700F21">
      <w:pPr>
        <w:numPr>
          <w:ilvl w:val="1"/>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lastRenderedPageBreak/>
        <w:t>Lista de Proyectos y actividades</w:t>
      </w:r>
    </w:p>
    <w:p w:rsidR="00700F21" w:rsidRPr="00700F21" w:rsidRDefault="00700F21" w:rsidP="00700F21">
      <w:pPr>
        <w:numPr>
          <w:ilvl w:val="1"/>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Planteamiento del problema</w:t>
      </w:r>
    </w:p>
    <w:p w:rsidR="00700F21" w:rsidRPr="00700F21" w:rsidRDefault="00700F21" w:rsidP="00700F21">
      <w:pPr>
        <w:numPr>
          <w:ilvl w:val="1"/>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Relevancia Académica</w:t>
      </w:r>
    </w:p>
    <w:p w:rsidR="00700F21" w:rsidRPr="00700F21" w:rsidRDefault="00700F21" w:rsidP="00700F21">
      <w:pPr>
        <w:numPr>
          <w:ilvl w:val="1"/>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Objetivos</w:t>
      </w:r>
    </w:p>
    <w:p w:rsidR="00700F21" w:rsidRPr="00700F21" w:rsidRDefault="00700F21" w:rsidP="00700F21">
      <w:pPr>
        <w:numPr>
          <w:ilvl w:val="1"/>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Plan general de Actividades y Plan específico de actividades del primer año</w:t>
      </w:r>
    </w:p>
    <w:p w:rsidR="00700F21" w:rsidRPr="00700F21" w:rsidRDefault="00700F21" w:rsidP="00700F21">
      <w:pPr>
        <w:numPr>
          <w:ilvl w:val="1"/>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Relación con otras entidades</w:t>
      </w:r>
    </w:p>
    <w:p w:rsidR="00700F21" w:rsidRPr="00700F21" w:rsidRDefault="00700F21" w:rsidP="00700F21">
      <w:pPr>
        <w:numPr>
          <w:ilvl w:val="1"/>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Recursos disponibles</w:t>
      </w:r>
    </w:p>
    <w:p w:rsidR="00700F21" w:rsidRPr="00700F21" w:rsidRDefault="00700F21" w:rsidP="00700F21">
      <w:pPr>
        <w:numPr>
          <w:ilvl w:val="2"/>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 xml:space="preserve">Físicos </w:t>
      </w:r>
    </w:p>
    <w:p w:rsidR="00700F21" w:rsidRPr="00700F21" w:rsidRDefault="00700F21" w:rsidP="00700F21">
      <w:pPr>
        <w:numPr>
          <w:ilvl w:val="2"/>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Operación</w:t>
      </w:r>
    </w:p>
    <w:p w:rsidR="00700F21" w:rsidRPr="00700F21" w:rsidRDefault="00700F21" w:rsidP="00700F21">
      <w:pPr>
        <w:numPr>
          <w:ilvl w:val="1"/>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Referencias bibliográficas</w:t>
      </w:r>
    </w:p>
    <w:p w:rsidR="00700F21" w:rsidRPr="00700F21" w:rsidRDefault="00700F21" w:rsidP="00700F21">
      <w:pPr>
        <w:numPr>
          <w:ilvl w:val="1"/>
          <w:numId w:val="25"/>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Anexos</w:t>
      </w:r>
    </w:p>
    <w:p w:rsidR="00700F21" w:rsidRPr="00700F21" w:rsidRDefault="00700F21" w:rsidP="00700F21">
      <w:pPr>
        <w:pBdr>
          <w:top w:val="nil"/>
          <w:left w:val="nil"/>
          <w:bottom w:val="nil"/>
          <w:right w:val="nil"/>
          <w:between w:val="nil"/>
        </w:pBdr>
        <w:spacing w:after="160" w:line="259" w:lineRule="auto"/>
        <w:ind w:left="720"/>
        <w:jc w:val="both"/>
        <w:rPr>
          <w:rFonts w:ascii="Arial" w:eastAsia="Calibri" w:hAnsi="Arial" w:cs="Arial"/>
          <w:i/>
          <w:color w:val="000000"/>
          <w:sz w:val="22"/>
          <w:szCs w:val="22"/>
          <w:highlight w:val="yellow"/>
          <w:lang w:val="es-CR" w:eastAsia="es-CR"/>
        </w:rPr>
      </w:pPr>
      <w:r w:rsidRPr="00700F21">
        <w:rPr>
          <w:rFonts w:ascii="Arial" w:eastAsia="Calibri" w:hAnsi="Arial" w:cs="Arial"/>
          <w:i/>
          <w:color w:val="000000"/>
          <w:sz w:val="22"/>
          <w:szCs w:val="22"/>
          <w:lang w:val="es-CR" w:eastAsia="es-CR"/>
        </w:rPr>
        <w:t>Adicionalmente se incluye un Plan para la sostenibilidad del Programa.</w:t>
      </w:r>
    </w:p>
    <w:p w:rsidR="00700F21" w:rsidRPr="00700F21" w:rsidRDefault="00700F21" w:rsidP="00700F21">
      <w:pPr>
        <w:numPr>
          <w:ilvl w:val="0"/>
          <w:numId w:val="22"/>
        </w:numPr>
        <w:pBdr>
          <w:top w:val="nil"/>
          <w:left w:val="nil"/>
          <w:bottom w:val="nil"/>
          <w:right w:val="nil"/>
          <w:between w:val="nil"/>
        </w:pBdr>
        <w:spacing w:after="160" w:line="259" w:lineRule="auto"/>
        <w:ind w:right="474"/>
        <w:jc w:val="both"/>
        <w:rPr>
          <w:rFonts w:ascii="Arial" w:hAnsi="Arial" w:cs="Arial"/>
          <w:bCs/>
          <w:i/>
          <w:sz w:val="22"/>
          <w:lang w:eastAsia="es-CR"/>
        </w:rPr>
      </w:pPr>
      <w:r w:rsidRPr="00700F21">
        <w:rPr>
          <w:rFonts w:ascii="Arial" w:hAnsi="Arial" w:cs="Arial"/>
          <w:bCs/>
          <w:i/>
          <w:sz w:val="22"/>
          <w:lang w:eastAsia="es-CR"/>
        </w:rPr>
        <w:t>El Programa cuenta con el apoyo del Centro Nacional de Alta Tecnología, según consta en Oficio CNCA-OF-006-2018 y de la Coalición Costarricense de Iniciativas de Desarrollo (CINDE).</w:t>
      </w:r>
    </w:p>
    <w:p w:rsidR="00700F21" w:rsidRPr="00700F21" w:rsidRDefault="00700F21" w:rsidP="008D5D01">
      <w:pPr>
        <w:ind w:left="709" w:right="474"/>
        <w:rPr>
          <w:rFonts w:ascii="Arial" w:eastAsia="Calibri" w:hAnsi="Arial" w:cs="Arial"/>
          <w:b/>
          <w:i/>
          <w:color w:val="000000"/>
          <w:sz w:val="22"/>
          <w:szCs w:val="22"/>
          <w:lang w:val="es-CR" w:eastAsia="es-CR"/>
        </w:rPr>
      </w:pPr>
      <w:r w:rsidRPr="00700F21">
        <w:rPr>
          <w:rFonts w:ascii="Arial" w:eastAsia="Calibri" w:hAnsi="Arial" w:cs="Arial"/>
          <w:b/>
          <w:i/>
          <w:color w:val="000000"/>
          <w:sz w:val="22"/>
          <w:szCs w:val="22"/>
          <w:lang w:val="es-CR" w:eastAsia="es-CR"/>
        </w:rPr>
        <w:t>SE ACUERDA</w:t>
      </w:r>
      <w:r w:rsidR="008D5D01">
        <w:rPr>
          <w:rFonts w:ascii="Arial" w:eastAsia="Calibri" w:hAnsi="Arial" w:cs="Arial"/>
          <w:b/>
          <w:i/>
          <w:color w:val="000000"/>
          <w:sz w:val="22"/>
          <w:szCs w:val="22"/>
          <w:lang w:val="es-CR" w:eastAsia="es-CR"/>
        </w:rPr>
        <w:t>:</w:t>
      </w:r>
    </w:p>
    <w:p w:rsidR="00700F21" w:rsidRPr="00700F21" w:rsidRDefault="00700F21" w:rsidP="00700F21">
      <w:pPr>
        <w:numPr>
          <w:ilvl w:val="0"/>
          <w:numId w:val="19"/>
        </w:numPr>
        <w:pBdr>
          <w:top w:val="nil"/>
          <w:left w:val="nil"/>
          <w:bottom w:val="nil"/>
          <w:right w:val="nil"/>
          <w:between w:val="nil"/>
        </w:pBdr>
        <w:spacing w:after="160" w:line="259" w:lineRule="auto"/>
        <w:ind w:left="993" w:right="474" w:hanging="284"/>
        <w:contextualSpacing/>
        <w:jc w:val="both"/>
        <w:rPr>
          <w:rFonts w:ascii="Arial" w:eastAsia="Calibri" w:hAnsi="Arial" w:cs="Arial"/>
          <w:bCs/>
          <w:i/>
          <w:color w:val="000000"/>
          <w:sz w:val="22"/>
          <w:szCs w:val="22"/>
          <w:lang w:val="es-CR" w:eastAsia="es-CR"/>
        </w:rPr>
      </w:pPr>
      <w:r w:rsidRPr="00700F21">
        <w:rPr>
          <w:rFonts w:ascii="Arial" w:eastAsia="Calibri" w:hAnsi="Arial" w:cs="Arial"/>
          <w:bCs/>
          <w:i/>
          <w:color w:val="000000"/>
          <w:sz w:val="22"/>
          <w:szCs w:val="22"/>
          <w:lang w:val="es-CR" w:eastAsia="es-CR"/>
        </w:rPr>
        <w:t>Avalar la creación del Programa de Investigación en Materiales Avanzados y Aplicaciones (PIMAA).</w:t>
      </w:r>
    </w:p>
    <w:p w:rsidR="00700F21" w:rsidRPr="00700F21" w:rsidRDefault="00700F21" w:rsidP="00700F21">
      <w:pPr>
        <w:ind w:left="993" w:right="474"/>
        <w:contextualSpacing/>
        <w:jc w:val="both"/>
        <w:rPr>
          <w:rFonts w:ascii="Arial" w:eastAsia="Calibri" w:hAnsi="Arial" w:cs="Arial"/>
          <w:bCs/>
          <w:i/>
          <w:color w:val="000000"/>
          <w:sz w:val="22"/>
          <w:szCs w:val="22"/>
          <w:lang w:val="es-CR" w:eastAsia="es-CR"/>
        </w:rPr>
      </w:pPr>
    </w:p>
    <w:p w:rsidR="00700F21" w:rsidRDefault="00700F21" w:rsidP="00700F21">
      <w:pPr>
        <w:numPr>
          <w:ilvl w:val="0"/>
          <w:numId w:val="19"/>
        </w:numPr>
        <w:pBdr>
          <w:top w:val="nil"/>
          <w:left w:val="nil"/>
          <w:bottom w:val="nil"/>
          <w:right w:val="nil"/>
          <w:between w:val="nil"/>
        </w:pBdr>
        <w:spacing w:after="160" w:line="259" w:lineRule="auto"/>
        <w:ind w:left="993" w:right="474" w:hanging="284"/>
        <w:contextualSpacing/>
        <w:jc w:val="both"/>
        <w:rPr>
          <w:rFonts w:ascii="Arial" w:eastAsia="Calibri" w:hAnsi="Arial" w:cs="Arial"/>
          <w:b/>
          <w:i/>
          <w:color w:val="000000"/>
          <w:sz w:val="20"/>
          <w:szCs w:val="22"/>
          <w:lang w:val="es-CR" w:eastAsia="es-CR"/>
        </w:rPr>
      </w:pPr>
      <w:r w:rsidRPr="00700F21">
        <w:rPr>
          <w:rFonts w:ascii="Arial" w:eastAsia="Calibri" w:hAnsi="Arial" w:cs="Arial"/>
          <w:bCs/>
          <w:i/>
          <w:color w:val="000000"/>
          <w:sz w:val="22"/>
          <w:szCs w:val="22"/>
          <w:lang w:val="es-CR" w:eastAsia="es-CR"/>
        </w:rPr>
        <w:t xml:space="preserve">Solicitar al Consejo Institucional, la creación del Programa de Investigación en Materiales Avanzados y Aplicaciones (PIMAA), por una duración de tres años a partir de su creación. </w:t>
      </w:r>
    </w:p>
    <w:p w:rsidR="008D5D01" w:rsidRPr="00700F21" w:rsidRDefault="008D5D01" w:rsidP="008D5D01">
      <w:pPr>
        <w:pBdr>
          <w:top w:val="nil"/>
          <w:left w:val="nil"/>
          <w:bottom w:val="nil"/>
          <w:right w:val="nil"/>
          <w:between w:val="nil"/>
        </w:pBdr>
        <w:spacing w:after="160" w:line="259" w:lineRule="auto"/>
        <w:ind w:right="474"/>
        <w:contextualSpacing/>
        <w:jc w:val="both"/>
        <w:rPr>
          <w:rFonts w:ascii="Arial" w:eastAsia="Calibri" w:hAnsi="Arial" w:cs="Arial"/>
          <w:b/>
          <w:i/>
          <w:color w:val="000000"/>
          <w:sz w:val="20"/>
          <w:szCs w:val="22"/>
          <w:lang w:val="es-CR" w:eastAsia="es-CR"/>
        </w:rPr>
      </w:pPr>
    </w:p>
    <w:p w:rsidR="00700F21" w:rsidRPr="00700F21" w:rsidRDefault="00700F21" w:rsidP="008D5D01">
      <w:pPr>
        <w:ind w:left="426" w:right="474" w:firstLine="283"/>
        <w:jc w:val="both"/>
        <w:rPr>
          <w:rFonts w:ascii="Arial" w:eastAsia="Calibri" w:hAnsi="Arial" w:cs="Arial"/>
          <w:b/>
          <w:i/>
          <w:color w:val="000000"/>
          <w:sz w:val="20"/>
          <w:szCs w:val="22"/>
          <w:lang w:val="es-CR" w:eastAsia="es-CR"/>
        </w:rPr>
      </w:pPr>
      <w:r w:rsidRPr="00700F21">
        <w:rPr>
          <w:rFonts w:ascii="Arial" w:eastAsia="Calibri" w:hAnsi="Arial" w:cs="Arial"/>
          <w:b/>
          <w:i/>
          <w:color w:val="000000"/>
          <w:sz w:val="20"/>
          <w:szCs w:val="22"/>
          <w:lang w:val="es-CR" w:eastAsia="es-CR"/>
        </w:rPr>
        <w:t>ACUERDO FIRME.”</w:t>
      </w:r>
    </w:p>
    <w:p w:rsidR="00700F21" w:rsidRPr="00700F21" w:rsidRDefault="00700F21" w:rsidP="00700F21">
      <w:pPr>
        <w:ind w:right="474"/>
        <w:jc w:val="both"/>
        <w:rPr>
          <w:rFonts w:ascii="Arial" w:eastAsia="Calibri" w:hAnsi="Arial" w:cs="Arial"/>
          <w:b/>
          <w:color w:val="000000"/>
          <w:sz w:val="20"/>
          <w:szCs w:val="22"/>
          <w:lang w:val="es-CR" w:eastAsia="es-CR"/>
        </w:rPr>
      </w:pPr>
    </w:p>
    <w:p w:rsidR="00700F21" w:rsidRPr="00700F21" w:rsidRDefault="00700F21" w:rsidP="00700F21">
      <w:pPr>
        <w:numPr>
          <w:ilvl w:val="0"/>
          <w:numId w:val="17"/>
        </w:numPr>
        <w:pBdr>
          <w:top w:val="nil"/>
          <w:left w:val="nil"/>
          <w:bottom w:val="nil"/>
          <w:right w:val="nil"/>
          <w:between w:val="nil"/>
        </w:pBdr>
        <w:spacing w:after="160" w:line="259" w:lineRule="auto"/>
        <w:contextualSpacing/>
        <w:jc w:val="both"/>
        <w:rPr>
          <w:rFonts w:ascii="Arial" w:hAnsi="Arial" w:cs="Arial"/>
        </w:rPr>
      </w:pPr>
      <w:r w:rsidRPr="00700F21">
        <w:rPr>
          <w:rFonts w:ascii="Arial" w:eastAsia="Calibri" w:hAnsi="Arial" w:cs="Arial"/>
          <w:color w:val="000000"/>
          <w:lang w:val="es-CR" w:eastAsia="es-CR"/>
        </w:rPr>
        <w:t>El Consejo Institucional en la Sesión Ordinaria No. 2757, artículo 11, del 22 de marzo de 2012, acordó la creación del Programa</w:t>
      </w:r>
      <w:r w:rsidRPr="00700F21">
        <w:rPr>
          <w:rFonts w:ascii="Arial" w:hAnsi="Arial" w:cs="Arial"/>
        </w:rPr>
        <w:t xml:space="preserve"> de Investigación en Nanotecnología, adscrito a la Vicerrectoría de Investigación y Extensión. </w:t>
      </w:r>
    </w:p>
    <w:p w:rsidR="00700F21" w:rsidRPr="00700F21" w:rsidRDefault="00700F21" w:rsidP="00700F21">
      <w:pPr>
        <w:ind w:right="474"/>
        <w:jc w:val="both"/>
        <w:rPr>
          <w:rFonts w:ascii="Arial" w:eastAsia="Calibri" w:hAnsi="Arial" w:cs="Arial"/>
          <w:b/>
          <w:color w:val="000000"/>
          <w:sz w:val="20"/>
          <w:szCs w:val="22"/>
          <w:lang w:val="es-CR" w:eastAsia="es-CR"/>
        </w:rPr>
      </w:pPr>
    </w:p>
    <w:p w:rsidR="00700F21" w:rsidRPr="00700F21" w:rsidRDefault="00700F21" w:rsidP="00700F21">
      <w:pPr>
        <w:numPr>
          <w:ilvl w:val="0"/>
          <w:numId w:val="17"/>
        </w:numPr>
        <w:pBdr>
          <w:top w:val="nil"/>
          <w:left w:val="nil"/>
          <w:bottom w:val="nil"/>
          <w:right w:val="nil"/>
          <w:between w:val="nil"/>
        </w:pBdr>
        <w:spacing w:after="160" w:line="259" w:lineRule="auto"/>
        <w:ind w:right="284"/>
        <w:contextualSpacing/>
        <w:jc w:val="both"/>
        <w:rPr>
          <w:rFonts w:ascii="Arial" w:eastAsia="Calibri" w:hAnsi="Arial" w:cs="Arial"/>
          <w:color w:val="000000"/>
          <w:lang w:val="es-CR" w:eastAsia="es-CR"/>
        </w:rPr>
      </w:pPr>
      <w:r w:rsidRPr="00700F21">
        <w:rPr>
          <w:rFonts w:ascii="Arial" w:eastAsia="Calibri" w:hAnsi="Arial" w:cs="Arial"/>
          <w:color w:val="000000"/>
          <w:lang w:val="es-CR" w:eastAsia="es-CR"/>
        </w:rPr>
        <w:t xml:space="preserve">La Secretaría del Consejo Institucional recibió el oficio VIE-694-2018, con fecha de recibido 31 de julio del 2018, suscrito por el Dr. Alexander Berrocal J., Presidente Consejo de Investigación y Extensión, Vicerrectoría de Investigación y Extensión, dirigido al Dr. Julio Calvo Alvarado, Presidente del Consejo Institucional, en el cual transcribe el siguiente acuerdo tomado por el Consejo de Investigación y Extensión de la Sesión Ordinaria No. 10-2018, artículo 12, del 20 de julio de 2018 “Cierre del Programa de investigación en Nanotecnología”. </w:t>
      </w:r>
    </w:p>
    <w:p w:rsidR="00700F21" w:rsidRPr="00700F21" w:rsidRDefault="00700F21" w:rsidP="00700F21">
      <w:pPr>
        <w:ind w:right="474"/>
        <w:jc w:val="both"/>
        <w:rPr>
          <w:rFonts w:ascii="Arial" w:eastAsia="Calibri" w:hAnsi="Arial" w:cs="Arial"/>
          <w:b/>
          <w:color w:val="000000"/>
          <w:sz w:val="20"/>
          <w:szCs w:val="22"/>
          <w:lang w:val="es-CR" w:eastAsia="es-CR"/>
        </w:rPr>
      </w:pPr>
    </w:p>
    <w:p w:rsidR="00700F21" w:rsidRPr="00700F21" w:rsidRDefault="00700F21" w:rsidP="00700F21">
      <w:pPr>
        <w:ind w:left="709" w:right="900"/>
        <w:jc w:val="both"/>
        <w:rPr>
          <w:rFonts w:ascii="Arial" w:eastAsia="Calibri" w:hAnsi="Arial" w:cs="Arial"/>
          <w:b/>
          <w:i/>
          <w:sz w:val="22"/>
          <w:szCs w:val="22"/>
          <w:lang w:val="es-CR" w:eastAsia="en-US"/>
        </w:rPr>
      </w:pPr>
      <w:r w:rsidRPr="00700F21">
        <w:rPr>
          <w:rFonts w:ascii="Arial" w:eastAsia="Calibri" w:hAnsi="Arial" w:cs="Arial"/>
          <w:b/>
          <w:i/>
          <w:sz w:val="22"/>
          <w:szCs w:val="22"/>
          <w:lang w:val="es-CR" w:eastAsia="en-US"/>
        </w:rPr>
        <w:t>“CONSIDERANDO QUE:</w:t>
      </w:r>
    </w:p>
    <w:p w:rsidR="00700F21" w:rsidRPr="00700F21" w:rsidRDefault="00700F21" w:rsidP="00700F21">
      <w:pPr>
        <w:numPr>
          <w:ilvl w:val="0"/>
          <w:numId w:val="27"/>
        </w:numPr>
        <w:pBdr>
          <w:top w:val="nil"/>
          <w:left w:val="nil"/>
          <w:bottom w:val="nil"/>
          <w:right w:val="nil"/>
          <w:between w:val="nil"/>
        </w:pBdr>
        <w:spacing w:after="160" w:line="259" w:lineRule="auto"/>
        <w:ind w:right="474"/>
        <w:jc w:val="both"/>
        <w:rPr>
          <w:rFonts w:ascii="Arial" w:hAnsi="Arial" w:cs="Arial"/>
          <w:i/>
          <w:sz w:val="22"/>
          <w:lang w:val="es-CR" w:eastAsia="es-CR"/>
        </w:rPr>
      </w:pPr>
      <w:r w:rsidRPr="00700F21">
        <w:rPr>
          <w:rFonts w:ascii="Arial" w:hAnsi="Arial" w:cs="Arial"/>
          <w:i/>
          <w:sz w:val="22"/>
          <w:lang w:val="es-CR" w:eastAsia="es-CR"/>
        </w:rPr>
        <w:t>El Consejo de Investigación y Extensión en la Sesión ordinaria No. 05-2012, Artículo 9A, del 5 de marzo, 2012, recomienda al Consejo Institucional la formalización del “Programa de Investigación en Nanotecnología”, a fin de que quedara adscrito a la Vicerrectoría de Investigación y Extensión (VIE) del Instituto Tecnológico de Costa Rica, a partir del 01 de enero del 2012, en cumplimiento de lo establecido en el Artículo 42, inciso b y c, del Estatuto Orgánico.</w:t>
      </w:r>
    </w:p>
    <w:p w:rsidR="00700F21" w:rsidRPr="00700F21" w:rsidRDefault="00700F21" w:rsidP="00700F21">
      <w:pPr>
        <w:ind w:left="1134" w:right="474"/>
        <w:jc w:val="both"/>
        <w:rPr>
          <w:rFonts w:ascii="Arial" w:hAnsi="Arial" w:cs="Arial"/>
          <w:i/>
          <w:sz w:val="22"/>
          <w:szCs w:val="22"/>
          <w:lang w:val="es-CR" w:eastAsia="es-CR"/>
        </w:rPr>
      </w:pPr>
    </w:p>
    <w:p w:rsidR="00700F21" w:rsidRPr="00700F21" w:rsidRDefault="00700F21" w:rsidP="00700F21">
      <w:pPr>
        <w:numPr>
          <w:ilvl w:val="0"/>
          <w:numId w:val="27"/>
        </w:numPr>
        <w:pBdr>
          <w:top w:val="nil"/>
          <w:left w:val="nil"/>
          <w:bottom w:val="nil"/>
          <w:right w:val="nil"/>
          <w:between w:val="nil"/>
        </w:pBdr>
        <w:spacing w:after="160" w:line="259" w:lineRule="auto"/>
        <w:ind w:right="474"/>
        <w:jc w:val="both"/>
        <w:rPr>
          <w:rFonts w:ascii="Arial" w:hAnsi="Arial" w:cs="Arial"/>
          <w:i/>
          <w:sz w:val="20"/>
          <w:szCs w:val="22"/>
          <w:lang w:val="es-CR" w:eastAsia="es-CR"/>
        </w:rPr>
      </w:pPr>
      <w:r w:rsidRPr="00700F21">
        <w:rPr>
          <w:rFonts w:ascii="Arial" w:hAnsi="Arial" w:cs="Arial"/>
          <w:i/>
          <w:sz w:val="22"/>
          <w:lang w:val="es-CR" w:eastAsia="es-CR"/>
        </w:rPr>
        <w:lastRenderedPageBreak/>
        <w:t xml:space="preserve">En Sesión Ordinaria No. 2757, artículo 11, del 22 de marzo del 2012, el Consejo Institucional acordó la creación del Programa de Investigación en Nanotecnología, adscrito a la VIE. (Gaceta No. 331).   </w:t>
      </w:r>
    </w:p>
    <w:p w:rsidR="00700F21" w:rsidRPr="00700F21" w:rsidRDefault="00700F21" w:rsidP="00700F21">
      <w:pPr>
        <w:numPr>
          <w:ilvl w:val="0"/>
          <w:numId w:val="27"/>
        </w:numPr>
        <w:pBdr>
          <w:top w:val="nil"/>
          <w:left w:val="nil"/>
          <w:bottom w:val="nil"/>
          <w:right w:val="nil"/>
          <w:between w:val="nil"/>
        </w:pBdr>
        <w:spacing w:after="160" w:line="259" w:lineRule="auto"/>
        <w:ind w:right="474"/>
        <w:jc w:val="both"/>
        <w:rPr>
          <w:rFonts w:ascii="Arial" w:hAnsi="Arial" w:cs="Arial"/>
          <w:i/>
          <w:sz w:val="22"/>
          <w:lang w:val="es-CR" w:eastAsia="es-CR"/>
        </w:rPr>
      </w:pPr>
      <w:r w:rsidRPr="00700F21">
        <w:rPr>
          <w:rFonts w:ascii="Arial" w:hAnsi="Arial" w:cs="Arial"/>
          <w:i/>
          <w:sz w:val="22"/>
          <w:lang w:val="es-CR" w:eastAsia="es-CR"/>
        </w:rPr>
        <w:t>Por la naturaleza misma del programa, la institución invirtió en equipo tecnológico, para el trabajo de laboratorio del programa, posteriormente, este laboratorio fue denominado “Laboratorio Institucional de Nanotecnología”.</w:t>
      </w:r>
    </w:p>
    <w:p w:rsidR="00700F21" w:rsidRPr="00700F21" w:rsidRDefault="00700F21" w:rsidP="00700F21">
      <w:pPr>
        <w:numPr>
          <w:ilvl w:val="0"/>
          <w:numId w:val="27"/>
        </w:numPr>
        <w:pBdr>
          <w:top w:val="nil"/>
          <w:left w:val="nil"/>
          <w:bottom w:val="nil"/>
          <w:right w:val="nil"/>
          <w:between w:val="nil"/>
        </w:pBdr>
        <w:spacing w:after="160" w:line="259" w:lineRule="auto"/>
        <w:ind w:right="474"/>
        <w:jc w:val="both"/>
        <w:rPr>
          <w:rFonts w:ascii="Arial" w:hAnsi="Arial" w:cs="Arial"/>
          <w:i/>
          <w:sz w:val="22"/>
          <w:szCs w:val="22"/>
          <w:lang w:val="es-CR" w:eastAsia="es-CR"/>
        </w:rPr>
      </w:pPr>
      <w:r w:rsidRPr="00700F21">
        <w:rPr>
          <w:rFonts w:ascii="Arial" w:hAnsi="Arial" w:cs="Arial"/>
          <w:i/>
          <w:sz w:val="22"/>
          <w:szCs w:val="22"/>
          <w:lang w:val="es-CR" w:eastAsia="es-CR"/>
        </w:rPr>
        <w:t>El Programa de Investigación en Nanotecnología estuvo desarrollando la investigación y apoyando la docencia durante un periodo de tres años a partir de su creación por el Consejo Institucional.</w:t>
      </w:r>
    </w:p>
    <w:p w:rsidR="00700F21" w:rsidRPr="00700F21" w:rsidRDefault="00700F21" w:rsidP="00700F21">
      <w:pPr>
        <w:numPr>
          <w:ilvl w:val="0"/>
          <w:numId w:val="27"/>
        </w:numPr>
        <w:pBdr>
          <w:top w:val="nil"/>
          <w:left w:val="nil"/>
          <w:bottom w:val="nil"/>
          <w:right w:val="nil"/>
          <w:between w:val="nil"/>
        </w:pBdr>
        <w:spacing w:after="160" w:line="259" w:lineRule="auto"/>
        <w:ind w:right="474"/>
        <w:jc w:val="both"/>
        <w:rPr>
          <w:rFonts w:ascii="Arial" w:hAnsi="Arial" w:cs="Arial"/>
          <w:i/>
          <w:sz w:val="22"/>
          <w:szCs w:val="22"/>
          <w:lang w:val="es-CR" w:eastAsia="es-CR"/>
        </w:rPr>
      </w:pPr>
      <w:r w:rsidRPr="00700F21">
        <w:rPr>
          <w:rFonts w:ascii="Arial" w:hAnsi="Arial" w:cs="Arial"/>
          <w:i/>
          <w:sz w:val="22"/>
          <w:szCs w:val="22"/>
          <w:lang w:val="es-CR" w:eastAsia="es-CR"/>
        </w:rPr>
        <w:t>Con el objetivo de verificar el cumplimiento de políticas institucionales en relación con actividades específicas de investigación, como aporte al cumplimiento de la misión institucional”, se abre un proceso de auditoría al programa anteriormente citado durante el año 2015.</w:t>
      </w:r>
    </w:p>
    <w:p w:rsidR="00700F21" w:rsidRPr="00700F21" w:rsidRDefault="00700F21" w:rsidP="00700F21">
      <w:pPr>
        <w:numPr>
          <w:ilvl w:val="0"/>
          <w:numId w:val="27"/>
        </w:numPr>
        <w:pBdr>
          <w:top w:val="nil"/>
          <w:left w:val="nil"/>
          <w:bottom w:val="nil"/>
          <w:right w:val="nil"/>
          <w:between w:val="nil"/>
        </w:pBdr>
        <w:spacing w:after="160" w:line="259" w:lineRule="auto"/>
        <w:ind w:right="474"/>
        <w:jc w:val="both"/>
        <w:rPr>
          <w:rFonts w:ascii="Arial" w:hAnsi="Arial" w:cs="Arial"/>
          <w:i/>
          <w:sz w:val="22"/>
          <w:szCs w:val="22"/>
          <w:lang w:val="es-CR" w:eastAsia="es-CR"/>
        </w:rPr>
      </w:pPr>
      <w:r w:rsidRPr="00700F21">
        <w:rPr>
          <w:rFonts w:ascii="Arial" w:hAnsi="Arial" w:cs="Arial"/>
          <w:i/>
          <w:sz w:val="22"/>
          <w:szCs w:val="22"/>
          <w:lang w:val="es-CR" w:eastAsia="es-CR"/>
        </w:rPr>
        <w:t>Mediante oficio AUDI-342-2015, el Lic. Isidro Álvarez Salazar, Auditor Interno, remite el Informe AUDI-F-007-2015 “Evaluación sobre la gestión de la investigación, efectuada al Programa de Nanotecnología y al Laboratorio Institucional de Nanotecnología”.</w:t>
      </w:r>
    </w:p>
    <w:p w:rsidR="00700F21" w:rsidRPr="00700F21" w:rsidRDefault="00700F21" w:rsidP="008D5D01">
      <w:pPr>
        <w:numPr>
          <w:ilvl w:val="0"/>
          <w:numId w:val="27"/>
        </w:numPr>
        <w:pBdr>
          <w:top w:val="nil"/>
          <w:left w:val="nil"/>
          <w:bottom w:val="nil"/>
          <w:right w:val="nil"/>
          <w:between w:val="nil"/>
        </w:pBdr>
        <w:spacing w:after="160" w:line="259" w:lineRule="auto"/>
        <w:ind w:right="474"/>
        <w:jc w:val="both"/>
        <w:rPr>
          <w:rFonts w:ascii="Arial" w:hAnsi="Arial" w:cs="Arial"/>
          <w:i/>
          <w:sz w:val="22"/>
          <w:szCs w:val="22"/>
          <w:lang w:val="es-CR" w:eastAsia="es-CR"/>
        </w:rPr>
      </w:pPr>
      <w:r w:rsidRPr="00700F21">
        <w:rPr>
          <w:rFonts w:ascii="Arial" w:hAnsi="Arial" w:cs="Arial"/>
          <w:i/>
          <w:sz w:val="22"/>
          <w:szCs w:val="22"/>
          <w:lang w:val="es-CR" w:eastAsia="es-CR"/>
        </w:rPr>
        <w:t>Para el caso en específico que nos ocupa, se extrae, literalmente de este informe lo siguiente:</w:t>
      </w:r>
    </w:p>
    <w:p w:rsidR="00700F21" w:rsidRPr="00700F21" w:rsidRDefault="00700F21" w:rsidP="00700F21">
      <w:pPr>
        <w:numPr>
          <w:ilvl w:val="0"/>
          <w:numId w:val="21"/>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El Programa de Nanotecnología fue coordinado al inicio y hasta finalizar el año 2012 por la Dra. Paola Vega Castillo y durante el 2013 y hasta el 25 de febrero del 2014 por la Dra. Virginia Montero Campos, quienes al finalizar su gestión presentaron informes de labores.</w:t>
      </w:r>
    </w:p>
    <w:p w:rsidR="00700F21" w:rsidRPr="00700F21" w:rsidRDefault="00700F21" w:rsidP="00700F21">
      <w:pPr>
        <w:pBdr>
          <w:top w:val="nil"/>
          <w:left w:val="nil"/>
          <w:bottom w:val="nil"/>
          <w:right w:val="nil"/>
          <w:between w:val="nil"/>
        </w:pBdr>
        <w:spacing w:after="160" w:line="259" w:lineRule="auto"/>
        <w:ind w:left="720"/>
        <w:contextualSpacing/>
        <w:jc w:val="both"/>
        <w:rPr>
          <w:rFonts w:ascii="Arial" w:eastAsia="Calibri" w:hAnsi="Arial" w:cs="Arial"/>
          <w:i/>
          <w:color w:val="000000"/>
          <w:sz w:val="22"/>
          <w:szCs w:val="22"/>
          <w:lang w:val="es-CR" w:eastAsia="es-CR"/>
        </w:rPr>
      </w:pPr>
    </w:p>
    <w:p w:rsidR="00700F21" w:rsidRPr="00700F21" w:rsidRDefault="00700F21" w:rsidP="00700F21">
      <w:pPr>
        <w:numPr>
          <w:ilvl w:val="0"/>
          <w:numId w:val="21"/>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Según indicó la Vicerrectoría de Investigación, en el 2014, por decisión de los Directores (as) de las escuelas vinculadas con el Programa y el Laboratorio, el Programa “quedó en stand-</w:t>
      </w:r>
      <w:proofErr w:type="spellStart"/>
      <w:r w:rsidRPr="00700F21">
        <w:rPr>
          <w:rFonts w:ascii="Arial" w:eastAsia="Calibri" w:hAnsi="Arial" w:cs="Arial"/>
          <w:i/>
          <w:color w:val="000000"/>
          <w:sz w:val="22"/>
          <w:szCs w:val="22"/>
          <w:lang w:val="es-CR" w:eastAsia="es-CR"/>
        </w:rPr>
        <w:t>by</w:t>
      </w:r>
      <w:proofErr w:type="spellEnd"/>
      <w:r w:rsidRPr="00700F21">
        <w:rPr>
          <w:rFonts w:ascii="Arial" w:eastAsia="Calibri" w:hAnsi="Arial" w:cs="Arial"/>
          <w:i/>
          <w:color w:val="000000"/>
          <w:sz w:val="22"/>
          <w:szCs w:val="22"/>
          <w:lang w:val="es-CR" w:eastAsia="es-CR"/>
        </w:rPr>
        <w:t>, a la espera de una propuesta que plantearía la creación de un nuevo centro. Por tanto, durante el 2014 y 2015 el Programa de Nanotecnología no contó con un coordinador oficialmente nombrado”.</w:t>
      </w:r>
    </w:p>
    <w:p w:rsidR="00700F21" w:rsidRPr="00700F21" w:rsidRDefault="00700F21" w:rsidP="00700F21">
      <w:pPr>
        <w:pBdr>
          <w:top w:val="nil"/>
          <w:left w:val="nil"/>
          <w:bottom w:val="nil"/>
          <w:right w:val="nil"/>
          <w:between w:val="nil"/>
        </w:pBdr>
        <w:spacing w:after="160" w:line="259" w:lineRule="auto"/>
        <w:ind w:left="720"/>
        <w:contextualSpacing/>
        <w:jc w:val="both"/>
        <w:rPr>
          <w:rFonts w:ascii="Arial" w:eastAsia="Calibri" w:hAnsi="Arial" w:cs="Arial"/>
          <w:i/>
          <w:color w:val="000000"/>
          <w:sz w:val="22"/>
          <w:szCs w:val="22"/>
          <w:lang w:val="es-CR" w:eastAsia="es-CR"/>
        </w:rPr>
      </w:pPr>
    </w:p>
    <w:p w:rsidR="00700F21" w:rsidRDefault="00700F21" w:rsidP="00700F21">
      <w:pPr>
        <w:numPr>
          <w:ilvl w:val="0"/>
          <w:numId w:val="21"/>
        </w:num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Se conoce que, durante los años 2013 y 2014, el Vicerrector de Investigación y Extensión, en conjunto con los Directores de las Escuelas de Biología, Ingeniería Electrónica, Ciencia e Ingeniería de los Materiales, Química, y Física, conformaron una Comisión para tratar de resolver “los problemas identificados entorno(sic) al funcionamiento del Laboratorio de Nanotecnología, y respecto al uso del equipo de microscopia electrónica ahí instalado”, mediante la elaboración de una propuesta de un centro de investigación, que se ha denominado como Centro de Aplicaciones de Alta Tecnología. Dicha comisión elaboró una propuesta que según se indica en documentos oficiales está en un 90% finalizada y que ese informe será considerado como insumo para la toma de decisiones relacionada con la situación.</w:t>
      </w:r>
    </w:p>
    <w:p w:rsidR="008D5D01" w:rsidRPr="00700F21" w:rsidRDefault="008D5D01" w:rsidP="008D5D01">
      <w:pPr>
        <w:pBdr>
          <w:top w:val="nil"/>
          <w:left w:val="nil"/>
          <w:bottom w:val="nil"/>
          <w:right w:val="nil"/>
          <w:between w:val="nil"/>
        </w:pBdr>
        <w:spacing w:after="160" w:line="259" w:lineRule="auto"/>
        <w:contextualSpacing/>
        <w:jc w:val="both"/>
        <w:rPr>
          <w:rFonts w:ascii="Arial" w:eastAsia="Calibri" w:hAnsi="Arial" w:cs="Arial"/>
          <w:i/>
          <w:color w:val="000000"/>
          <w:sz w:val="22"/>
          <w:szCs w:val="22"/>
          <w:lang w:val="es-CR" w:eastAsia="es-CR"/>
        </w:rPr>
      </w:pPr>
    </w:p>
    <w:p w:rsidR="00700F21" w:rsidRPr="00700F21" w:rsidRDefault="00700F21" w:rsidP="008D5D01">
      <w:pPr>
        <w:numPr>
          <w:ilvl w:val="0"/>
          <w:numId w:val="27"/>
        </w:numPr>
        <w:pBdr>
          <w:top w:val="nil"/>
          <w:left w:val="nil"/>
          <w:bottom w:val="nil"/>
          <w:right w:val="nil"/>
          <w:between w:val="nil"/>
        </w:pBdr>
        <w:spacing w:after="160" w:line="259" w:lineRule="auto"/>
        <w:ind w:right="474"/>
        <w:jc w:val="both"/>
        <w:rPr>
          <w:rFonts w:ascii="Arial" w:hAnsi="Arial" w:cs="Arial"/>
          <w:i/>
          <w:sz w:val="22"/>
          <w:szCs w:val="22"/>
          <w:lang w:val="es-CR" w:eastAsia="es-CR"/>
        </w:rPr>
      </w:pPr>
      <w:r w:rsidRPr="00700F21">
        <w:rPr>
          <w:rFonts w:ascii="Arial" w:hAnsi="Arial" w:cs="Arial"/>
          <w:i/>
          <w:sz w:val="22"/>
          <w:szCs w:val="22"/>
          <w:lang w:val="es-CR" w:eastAsia="es-CR"/>
        </w:rPr>
        <w:t>Luego de un vasto análisis, la Auditoria Interna concluye:</w:t>
      </w:r>
    </w:p>
    <w:p w:rsidR="00700F21" w:rsidRPr="00700F21" w:rsidRDefault="00700F21" w:rsidP="00700F21">
      <w:pPr>
        <w:pBdr>
          <w:top w:val="nil"/>
          <w:left w:val="nil"/>
          <w:bottom w:val="nil"/>
          <w:right w:val="nil"/>
          <w:between w:val="nil"/>
        </w:pBdr>
        <w:spacing w:after="160" w:line="259" w:lineRule="auto"/>
        <w:ind w:left="720" w:right="567"/>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3.1. Ni en el Programa ni en el Laboratorio se encontraron indicadores que permitieran analizar la eficiencia o la economía alcanzada, situación que se considera a todas luces inconveniente si se toma en consideración la magnitud de los recursos invertidos para tal fin.</w:t>
      </w:r>
    </w:p>
    <w:p w:rsidR="00700F21" w:rsidRPr="00700F21" w:rsidRDefault="00700F21" w:rsidP="00700F21">
      <w:pPr>
        <w:pBdr>
          <w:top w:val="nil"/>
          <w:left w:val="nil"/>
          <w:bottom w:val="nil"/>
          <w:right w:val="nil"/>
          <w:between w:val="nil"/>
        </w:pBdr>
        <w:spacing w:after="160" w:line="259" w:lineRule="auto"/>
        <w:ind w:left="720" w:right="567"/>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lastRenderedPageBreak/>
        <w:t>3.2. En cuanto a la eficacia, puede decirse que el Programa no ha logrado consolidarse ni en la investigación, ni en docencia y no hay claridad en los logros en lo que se refiere a venta de servicios.</w:t>
      </w:r>
    </w:p>
    <w:p w:rsidR="00700F21" w:rsidRPr="00700F21" w:rsidRDefault="00700F21" w:rsidP="00700F21">
      <w:pPr>
        <w:pBdr>
          <w:top w:val="nil"/>
          <w:left w:val="nil"/>
          <w:bottom w:val="nil"/>
          <w:right w:val="nil"/>
          <w:between w:val="nil"/>
        </w:pBdr>
        <w:spacing w:after="160" w:line="259" w:lineRule="auto"/>
        <w:ind w:left="720" w:right="567"/>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3.3. …</w:t>
      </w:r>
    </w:p>
    <w:p w:rsidR="00700F21" w:rsidRPr="00700F21" w:rsidRDefault="00700F21" w:rsidP="00700F21">
      <w:pPr>
        <w:pBdr>
          <w:top w:val="nil"/>
          <w:left w:val="nil"/>
          <w:bottom w:val="nil"/>
          <w:right w:val="nil"/>
          <w:between w:val="nil"/>
        </w:pBdr>
        <w:spacing w:after="160" w:line="259" w:lineRule="auto"/>
        <w:ind w:left="720" w:right="567"/>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3.3. La toma de decisiones referente a situaciones conflictivas o que no propiciaban el orden y buen funcionamiento del Programa y/o el Laboratorio fue insuficiente o no estuvo bien direccionada para solucionarlas.</w:t>
      </w:r>
    </w:p>
    <w:p w:rsidR="00700F21" w:rsidRPr="00700F21" w:rsidRDefault="00700F21" w:rsidP="008D5D01">
      <w:pPr>
        <w:numPr>
          <w:ilvl w:val="0"/>
          <w:numId w:val="27"/>
        </w:numPr>
        <w:pBdr>
          <w:top w:val="nil"/>
          <w:left w:val="nil"/>
          <w:bottom w:val="nil"/>
          <w:right w:val="nil"/>
          <w:between w:val="nil"/>
        </w:pBdr>
        <w:spacing w:after="160" w:line="259" w:lineRule="auto"/>
        <w:ind w:right="474"/>
        <w:jc w:val="both"/>
        <w:rPr>
          <w:rFonts w:ascii="Arial" w:hAnsi="Arial" w:cs="Arial"/>
          <w:i/>
          <w:sz w:val="22"/>
          <w:szCs w:val="22"/>
          <w:lang w:val="es-CR" w:eastAsia="es-CR"/>
        </w:rPr>
      </w:pPr>
      <w:r w:rsidRPr="00700F21">
        <w:rPr>
          <w:rFonts w:ascii="Arial" w:hAnsi="Arial" w:cs="Arial"/>
          <w:i/>
          <w:sz w:val="22"/>
          <w:szCs w:val="22"/>
          <w:lang w:val="es-CR" w:eastAsia="es-CR"/>
        </w:rPr>
        <w:t xml:space="preserve">La Auditoría Interna, por considerase la instancia con competencia para ordenar su implementación y supervisar su cumplimiento, gira las siguientes recomendaciones a la </w:t>
      </w:r>
      <w:r w:rsidRPr="00700F21">
        <w:rPr>
          <w:rFonts w:ascii="Arial" w:hAnsi="Arial" w:cs="Arial"/>
          <w:bCs/>
          <w:i/>
          <w:sz w:val="22"/>
          <w:szCs w:val="22"/>
          <w:lang w:val="es-CR" w:eastAsia="es-CR"/>
        </w:rPr>
        <w:t>Vicerrectora de la Vicerrectoría de Investigación y Extensión</w:t>
      </w:r>
      <w:r w:rsidRPr="00700F21">
        <w:rPr>
          <w:rFonts w:ascii="Arial" w:hAnsi="Arial" w:cs="Arial"/>
          <w:i/>
          <w:sz w:val="22"/>
          <w:szCs w:val="22"/>
          <w:lang w:val="es-CR" w:eastAsia="es-CR"/>
        </w:rPr>
        <w:t>:</w:t>
      </w:r>
    </w:p>
    <w:p w:rsidR="00700F21" w:rsidRPr="00700F21" w:rsidRDefault="00700F21" w:rsidP="00700F21">
      <w:pPr>
        <w:pBdr>
          <w:top w:val="nil"/>
          <w:left w:val="nil"/>
          <w:bottom w:val="nil"/>
          <w:right w:val="nil"/>
          <w:between w:val="nil"/>
        </w:pBdr>
        <w:spacing w:after="160" w:line="259" w:lineRule="auto"/>
        <w:ind w:left="720" w:right="567"/>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4.1 Definir a la brevedad posible, el futuro del Programa de Nanotecnología, de conformidad con buenas prácticas y procurando crear los instrumentos necesarios para facilitar la evaluación en relación con la eficiencia de este. (Ver puntos 2.1.1, 2.1.2, 2.1.3, 2.2.4, 2.3.1 y 2.3.2)</w:t>
      </w:r>
    </w:p>
    <w:p w:rsidR="00700F21" w:rsidRPr="00700F21" w:rsidRDefault="00700F21" w:rsidP="00700F21">
      <w:pPr>
        <w:pBdr>
          <w:top w:val="nil"/>
          <w:left w:val="nil"/>
          <w:bottom w:val="nil"/>
          <w:right w:val="nil"/>
          <w:between w:val="nil"/>
        </w:pBdr>
        <w:spacing w:after="160" w:line="259" w:lineRule="auto"/>
        <w:ind w:left="720" w:right="567"/>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4.2. Definir la estructura administrativa que más convenga para garantizar que el Laboratorio, con la infraestructura y equipos que posee, sea asumido como componente indispensable del Programa, al servicio de investigadores de múltiples escuelas, con el propósito de garantizar el cumplimiento de los objetivos inicialmente propuestos. (Ver puntos 2.1.1 y 2.3.1)</w:t>
      </w:r>
    </w:p>
    <w:p w:rsidR="00700F21" w:rsidRPr="00700F21" w:rsidRDefault="00700F21" w:rsidP="008D5D01">
      <w:pPr>
        <w:numPr>
          <w:ilvl w:val="0"/>
          <w:numId w:val="27"/>
        </w:numPr>
        <w:pBdr>
          <w:top w:val="nil"/>
          <w:left w:val="nil"/>
          <w:bottom w:val="nil"/>
          <w:right w:val="nil"/>
          <w:between w:val="nil"/>
        </w:pBdr>
        <w:spacing w:after="160" w:line="259" w:lineRule="auto"/>
        <w:ind w:right="474"/>
        <w:jc w:val="both"/>
        <w:rPr>
          <w:rFonts w:ascii="Arial" w:hAnsi="Arial" w:cs="Arial"/>
          <w:i/>
          <w:sz w:val="22"/>
          <w:szCs w:val="22"/>
          <w:lang w:val="es-CR" w:eastAsia="es-CR"/>
        </w:rPr>
      </w:pPr>
      <w:r w:rsidRPr="00700F21">
        <w:rPr>
          <w:rFonts w:ascii="Arial" w:hAnsi="Arial" w:cs="Arial"/>
          <w:i/>
          <w:sz w:val="22"/>
          <w:szCs w:val="22"/>
          <w:lang w:val="es-CR" w:eastAsia="es-CR"/>
        </w:rPr>
        <w:t>Mediante oficio VIE-018-16, la Dr.-Ing. Paola Vega Castillo, emite respuesta al oficio AUDI-342-2015, correspondiente al Informe F-007-2015: “Evaluación sobre la gestión de la investigación, efectuada al Programa de Nanotecnología y al Laboratorio Institucional de Nanotecnología”, Adjunta la definición de las acciones a tomar por parte de la VIE para garantizar la operación del Laboratorio Institucional de Nanotecnología para atender las labores docentes y de investigación.  En este entendido, se realizó un traslado de los activos ubicados en el espacio físico de la Escuela de Electrónica y se decide renombrar el Laboratorio Institucional de Nanotecnología como “Laboratorio Institucional de Microscopía”, buscando abarcar un rango mayor de actividades de investigación y docencia, dada la diversidad de tópicos de investigación que históricamente se tuvo en el laboratorio.  Esta acción es autorizada por el Consejo de Rectoría, en su sesión No. 29-2016, artículo 5, según oficio R-851-2016.</w:t>
      </w:r>
    </w:p>
    <w:p w:rsidR="00700F21" w:rsidRPr="00700F21" w:rsidRDefault="00700F21" w:rsidP="00700F21">
      <w:pPr>
        <w:numPr>
          <w:ilvl w:val="0"/>
          <w:numId w:val="27"/>
        </w:numPr>
        <w:pBdr>
          <w:top w:val="nil"/>
          <w:left w:val="nil"/>
          <w:bottom w:val="nil"/>
          <w:right w:val="nil"/>
          <w:between w:val="nil"/>
        </w:pBdr>
        <w:spacing w:after="160" w:line="259" w:lineRule="auto"/>
        <w:ind w:right="474"/>
        <w:jc w:val="both"/>
        <w:rPr>
          <w:rFonts w:ascii="Arial" w:hAnsi="Arial" w:cs="Arial"/>
          <w:i/>
          <w:sz w:val="22"/>
          <w:szCs w:val="22"/>
          <w:lang w:val="es-CR" w:eastAsia="es-CR"/>
        </w:rPr>
      </w:pPr>
      <w:r w:rsidRPr="00700F21">
        <w:rPr>
          <w:rFonts w:ascii="Arial" w:hAnsi="Arial" w:cs="Arial"/>
          <w:i/>
          <w:sz w:val="22"/>
          <w:szCs w:val="22"/>
          <w:lang w:val="es-CR" w:eastAsia="es-CR"/>
        </w:rPr>
        <w:t>Se omite o al menos no se registra en el oficio VIE-018-2016, la decisión sobre el futuro del Programa de Nanotecnología.</w:t>
      </w:r>
    </w:p>
    <w:p w:rsidR="00700F21" w:rsidRPr="00700F21" w:rsidRDefault="00700F21" w:rsidP="00700F21">
      <w:pPr>
        <w:numPr>
          <w:ilvl w:val="0"/>
          <w:numId w:val="27"/>
        </w:numPr>
        <w:pBdr>
          <w:top w:val="nil"/>
          <w:left w:val="nil"/>
          <w:bottom w:val="nil"/>
          <w:right w:val="nil"/>
          <w:between w:val="nil"/>
        </w:pBdr>
        <w:spacing w:after="160" w:line="259" w:lineRule="auto"/>
        <w:ind w:right="474"/>
        <w:jc w:val="both"/>
        <w:rPr>
          <w:rFonts w:ascii="Arial" w:hAnsi="Arial" w:cs="Arial"/>
          <w:i/>
          <w:sz w:val="22"/>
          <w:szCs w:val="22"/>
          <w:lang w:val="es-CR" w:eastAsia="es-CR"/>
        </w:rPr>
      </w:pPr>
      <w:r w:rsidRPr="00700F21">
        <w:rPr>
          <w:rFonts w:ascii="Arial" w:hAnsi="Arial" w:cs="Arial"/>
          <w:i/>
          <w:sz w:val="22"/>
          <w:szCs w:val="22"/>
          <w:lang w:val="es-CR" w:eastAsia="es-CR"/>
        </w:rPr>
        <w:t xml:space="preserve">El programa en cuestión, se encuentra inactivo desde el mes de febrero del 2014, fecha en la que la Dra. Virginia Montero, en su momento coordinadora del programa, presentó el informe anual de gestión. </w:t>
      </w:r>
    </w:p>
    <w:p w:rsidR="00700F21" w:rsidRPr="00700F21" w:rsidRDefault="00700F21" w:rsidP="00700F21">
      <w:pPr>
        <w:numPr>
          <w:ilvl w:val="0"/>
          <w:numId w:val="27"/>
        </w:numPr>
        <w:pBdr>
          <w:top w:val="nil"/>
          <w:left w:val="nil"/>
          <w:bottom w:val="nil"/>
          <w:right w:val="nil"/>
          <w:between w:val="nil"/>
        </w:pBdr>
        <w:spacing w:after="160" w:line="259" w:lineRule="auto"/>
        <w:ind w:right="474"/>
        <w:jc w:val="both"/>
        <w:rPr>
          <w:rFonts w:ascii="Arial" w:hAnsi="Arial" w:cs="Arial"/>
          <w:i/>
          <w:sz w:val="22"/>
          <w:szCs w:val="22"/>
          <w:lang w:val="es-CR" w:eastAsia="es-CR"/>
        </w:rPr>
      </w:pPr>
      <w:r w:rsidRPr="00700F21">
        <w:rPr>
          <w:rFonts w:ascii="Arial" w:hAnsi="Arial" w:cs="Arial"/>
          <w:i/>
          <w:sz w:val="22"/>
          <w:szCs w:val="22"/>
          <w:lang w:val="es-CR" w:eastAsia="es-CR"/>
        </w:rPr>
        <w:t>El Estatuto Orgánico del ITCR, en su Artículo 34: Funciones específicas del Vicerrector de Investigación y Extensión, inciso h, se establece lo siguiente:</w:t>
      </w:r>
    </w:p>
    <w:p w:rsidR="00700F21" w:rsidRPr="00700F21" w:rsidRDefault="00700F21" w:rsidP="00700F21">
      <w:pPr>
        <w:pBdr>
          <w:top w:val="nil"/>
          <w:left w:val="nil"/>
          <w:bottom w:val="nil"/>
          <w:right w:val="nil"/>
          <w:between w:val="nil"/>
        </w:pBdr>
        <w:spacing w:after="160" w:line="259" w:lineRule="auto"/>
        <w:ind w:left="720" w:right="567"/>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w:t>
      </w:r>
    </w:p>
    <w:p w:rsidR="00700F21" w:rsidRPr="00700F21" w:rsidRDefault="00700F21" w:rsidP="00700F21">
      <w:pPr>
        <w:pBdr>
          <w:top w:val="nil"/>
          <w:left w:val="nil"/>
          <w:bottom w:val="nil"/>
          <w:right w:val="nil"/>
          <w:between w:val="nil"/>
        </w:pBdr>
        <w:spacing w:after="160" w:line="259" w:lineRule="auto"/>
        <w:ind w:left="720" w:right="567"/>
        <w:jc w:val="both"/>
        <w:rPr>
          <w:rFonts w:ascii="Arial" w:eastAsia="Calibri" w:hAnsi="Arial" w:cs="Arial"/>
          <w:i/>
          <w:color w:val="000000"/>
          <w:sz w:val="22"/>
          <w:szCs w:val="22"/>
          <w:lang w:val="es-CR" w:eastAsia="es-CR"/>
        </w:rPr>
      </w:pPr>
      <w:r w:rsidRPr="00700F21">
        <w:rPr>
          <w:rFonts w:ascii="Arial" w:eastAsia="Calibri" w:hAnsi="Arial" w:cs="Arial"/>
          <w:i/>
          <w:color w:val="000000"/>
          <w:sz w:val="22"/>
          <w:szCs w:val="22"/>
          <w:lang w:val="es-CR" w:eastAsia="es-CR"/>
        </w:rPr>
        <w:t xml:space="preserve">h. Proponer al Consejo Institucional, por medio del Rector o Rectora, la creación, modificación o eliminación de áreas académicas dedicadas al desarrollo de </w:t>
      </w:r>
      <w:r w:rsidRPr="00700F21">
        <w:rPr>
          <w:rFonts w:ascii="Arial" w:eastAsia="Calibri" w:hAnsi="Arial" w:cs="Arial"/>
          <w:i/>
          <w:color w:val="000000"/>
          <w:sz w:val="22"/>
          <w:szCs w:val="22"/>
          <w:lang w:val="es-CR" w:eastAsia="es-CR"/>
        </w:rPr>
        <w:lastRenderedPageBreak/>
        <w:t xml:space="preserve">programas investigación y extensión consolidados de carácter inter, </w:t>
      </w:r>
      <w:proofErr w:type="spellStart"/>
      <w:r w:rsidRPr="00700F21">
        <w:rPr>
          <w:rFonts w:ascii="Arial" w:eastAsia="Calibri" w:hAnsi="Arial" w:cs="Arial"/>
          <w:i/>
          <w:color w:val="000000"/>
          <w:sz w:val="22"/>
          <w:szCs w:val="22"/>
          <w:lang w:val="es-CR" w:eastAsia="es-CR"/>
        </w:rPr>
        <w:t>trans</w:t>
      </w:r>
      <w:proofErr w:type="spellEnd"/>
      <w:r w:rsidRPr="00700F21">
        <w:rPr>
          <w:rFonts w:ascii="Arial" w:eastAsia="Calibri" w:hAnsi="Arial" w:cs="Arial"/>
          <w:i/>
          <w:color w:val="000000"/>
          <w:sz w:val="22"/>
          <w:szCs w:val="22"/>
          <w:lang w:val="es-CR" w:eastAsia="es-CR"/>
        </w:rPr>
        <w:t xml:space="preserve"> y/o multidisciplinario, conforme a lo dispuesto por la reglamentación respectiva.</w:t>
      </w:r>
    </w:p>
    <w:p w:rsidR="00700F21" w:rsidRPr="00700F21" w:rsidRDefault="00700F21" w:rsidP="00700F21">
      <w:pPr>
        <w:ind w:left="709" w:right="474"/>
        <w:rPr>
          <w:rFonts w:ascii="Arial" w:eastAsia="Calibri" w:hAnsi="Arial" w:cs="Arial"/>
          <w:b/>
          <w:i/>
          <w:color w:val="000000"/>
          <w:sz w:val="22"/>
          <w:szCs w:val="22"/>
          <w:lang w:val="es-CR" w:eastAsia="es-CR"/>
        </w:rPr>
      </w:pPr>
      <w:r w:rsidRPr="00700F21">
        <w:rPr>
          <w:rFonts w:ascii="Arial" w:eastAsia="Calibri" w:hAnsi="Arial" w:cs="Arial"/>
          <w:b/>
          <w:i/>
          <w:color w:val="000000"/>
          <w:sz w:val="22"/>
          <w:szCs w:val="22"/>
          <w:lang w:val="es-CR" w:eastAsia="es-CR"/>
        </w:rPr>
        <w:t>SE ACUERDA:</w:t>
      </w:r>
    </w:p>
    <w:p w:rsidR="00700F21" w:rsidRPr="00700F21" w:rsidRDefault="00700F21" w:rsidP="00700F21">
      <w:pPr>
        <w:ind w:left="709" w:right="474"/>
        <w:rPr>
          <w:rFonts w:ascii="Arial" w:eastAsia="Calibri" w:hAnsi="Arial" w:cs="Arial"/>
          <w:b/>
          <w:i/>
          <w:color w:val="000000"/>
          <w:sz w:val="22"/>
          <w:szCs w:val="22"/>
          <w:lang w:val="es-CR" w:eastAsia="es-CR"/>
        </w:rPr>
      </w:pPr>
    </w:p>
    <w:p w:rsidR="00700F21" w:rsidRPr="00700F21" w:rsidRDefault="00700F21" w:rsidP="00700F21">
      <w:pPr>
        <w:numPr>
          <w:ilvl w:val="0"/>
          <w:numId w:val="19"/>
        </w:numPr>
        <w:pBdr>
          <w:top w:val="nil"/>
          <w:left w:val="nil"/>
          <w:bottom w:val="nil"/>
          <w:right w:val="nil"/>
          <w:between w:val="nil"/>
        </w:pBdr>
        <w:spacing w:after="160" w:line="259" w:lineRule="auto"/>
        <w:ind w:left="993" w:right="474" w:hanging="284"/>
        <w:contextualSpacing/>
        <w:jc w:val="both"/>
        <w:rPr>
          <w:rFonts w:ascii="Arial" w:eastAsia="Calibri" w:hAnsi="Arial" w:cs="Arial"/>
          <w:bCs/>
          <w:i/>
          <w:color w:val="000000"/>
          <w:sz w:val="22"/>
          <w:szCs w:val="22"/>
          <w:lang w:val="es-CR" w:eastAsia="es-CR"/>
        </w:rPr>
      </w:pPr>
      <w:r w:rsidRPr="00700F21">
        <w:rPr>
          <w:rFonts w:ascii="Arial" w:eastAsia="Calibri" w:hAnsi="Arial" w:cs="Arial"/>
          <w:bCs/>
          <w:i/>
          <w:color w:val="000000"/>
          <w:sz w:val="22"/>
          <w:szCs w:val="22"/>
          <w:lang w:val="es-CR" w:eastAsia="es-CR"/>
        </w:rPr>
        <w:t>Avalar el cierre del Programa de Investigación en Nanotecnología, con base en lo anteriormente expuesto.</w:t>
      </w:r>
    </w:p>
    <w:p w:rsidR="00700F21" w:rsidRPr="00700F21" w:rsidRDefault="00700F21" w:rsidP="00700F21">
      <w:pPr>
        <w:ind w:left="993" w:right="474"/>
        <w:contextualSpacing/>
        <w:jc w:val="both"/>
        <w:rPr>
          <w:rFonts w:ascii="Arial" w:eastAsia="Calibri" w:hAnsi="Arial" w:cs="Arial"/>
          <w:bCs/>
          <w:i/>
          <w:color w:val="000000"/>
          <w:sz w:val="22"/>
          <w:szCs w:val="22"/>
          <w:lang w:val="es-CR" w:eastAsia="es-CR"/>
        </w:rPr>
      </w:pPr>
    </w:p>
    <w:p w:rsidR="00700F21" w:rsidRPr="00700F21" w:rsidRDefault="00700F21" w:rsidP="00700F21">
      <w:pPr>
        <w:numPr>
          <w:ilvl w:val="0"/>
          <w:numId w:val="19"/>
        </w:numPr>
        <w:pBdr>
          <w:top w:val="nil"/>
          <w:left w:val="nil"/>
          <w:bottom w:val="nil"/>
          <w:right w:val="nil"/>
          <w:between w:val="nil"/>
        </w:pBdr>
        <w:spacing w:after="160" w:line="259" w:lineRule="auto"/>
        <w:ind w:left="993" w:right="474" w:hanging="284"/>
        <w:contextualSpacing/>
        <w:jc w:val="both"/>
        <w:rPr>
          <w:rFonts w:ascii="Arial" w:eastAsia="Calibri" w:hAnsi="Arial" w:cs="Arial"/>
          <w:bCs/>
          <w:i/>
          <w:color w:val="000000"/>
          <w:sz w:val="22"/>
          <w:szCs w:val="22"/>
          <w:lang w:val="es-CR" w:eastAsia="es-CR"/>
        </w:rPr>
      </w:pPr>
      <w:r w:rsidRPr="00700F21">
        <w:rPr>
          <w:rFonts w:ascii="Arial" w:eastAsia="Calibri" w:hAnsi="Arial" w:cs="Arial"/>
          <w:bCs/>
          <w:i/>
          <w:color w:val="000000"/>
          <w:sz w:val="22"/>
          <w:szCs w:val="22"/>
          <w:lang w:val="es-CR" w:eastAsia="es-CR"/>
        </w:rPr>
        <w:t>Elevar al Consejo Institucional para los trámites correspondientes.</w:t>
      </w:r>
    </w:p>
    <w:p w:rsidR="00700F21" w:rsidRPr="00700F21" w:rsidRDefault="00700F21" w:rsidP="00700F21">
      <w:pPr>
        <w:ind w:right="474"/>
        <w:jc w:val="both"/>
        <w:rPr>
          <w:rFonts w:ascii="Arial" w:eastAsia="Calibri" w:hAnsi="Arial" w:cs="Arial"/>
          <w:bCs/>
          <w:i/>
          <w:color w:val="000000"/>
          <w:sz w:val="22"/>
          <w:szCs w:val="22"/>
          <w:lang w:val="es-CR" w:eastAsia="es-CR"/>
        </w:rPr>
      </w:pPr>
    </w:p>
    <w:p w:rsidR="00700F21" w:rsidRDefault="00700F21" w:rsidP="008D5D01">
      <w:pPr>
        <w:numPr>
          <w:ilvl w:val="0"/>
          <w:numId w:val="19"/>
        </w:numPr>
        <w:pBdr>
          <w:top w:val="nil"/>
          <w:left w:val="nil"/>
          <w:bottom w:val="nil"/>
          <w:right w:val="nil"/>
          <w:between w:val="nil"/>
        </w:pBdr>
        <w:spacing w:after="160" w:line="259" w:lineRule="auto"/>
        <w:ind w:left="993" w:right="474" w:hanging="284"/>
        <w:contextualSpacing/>
        <w:jc w:val="both"/>
        <w:rPr>
          <w:rFonts w:ascii="Arial" w:eastAsia="Calibri" w:hAnsi="Arial" w:cs="Arial"/>
          <w:bCs/>
          <w:i/>
          <w:color w:val="000000"/>
          <w:sz w:val="22"/>
          <w:szCs w:val="22"/>
          <w:lang w:val="es-CR" w:eastAsia="es-CR"/>
        </w:rPr>
      </w:pPr>
      <w:r w:rsidRPr="00700F21">
        <w:rPr>
          <w:rFonts w:ascii="Arial" w:eastAsia="Calibri" w:hAnsi="Arial" w:cs="Arial"/>
          <w:bCs/>
          <w:i/>
          <w:color w:val="000000"/>
          <w:sz w:val="22"/>
          <w:szCs w:val="22"/>
          <w:lang w:val="es-CR" w:eastAsia="es-CR"/>
        </w:rPr>
        <w:t>Comunicar.</w:t>
      </w:r>
    </w:p>
    <w:p w:rsidR="008D5D01" w:rsidRPr="00700F21" w:rsidRDefault="008D5D01" w:rsidP="008D5D01">
      <w:pPr>
        <w:pBdr>
          <w:top w:val="nil"/>
          <w:left w:val="nil"/>
          <w:bottom w:val="nil"/>
          <w:right w:val="nil"/>
          <w:between w:val="nil"/>
        </w:pBdr>
        <w:spacing w:after="160" w:line="259" w:lineRule="auto"/>
        <w:ind w:right="474"/>
        <w:contextualSpacing/>
        <w:jc w:val="both"/>
        <w:rPr>
          <w:rFonts w:ascii="Arial" w:eastAsia="Calibri" w:hAnsi="Arial" w:cs="Arial"/>
          <w:bCs/>
          <w:i/>
          <w:color w:val="000000"/>
          <w:sz w:val="22"/>
          <w:szCs w:val="22"/>
          <w:lang w:val="es-CR" w:eastAsia="es-CR"/>
        </w:rPr>
      </w:pPr>
    </w:p>
    <w:p w:rsidR="00700F21" w:rsidRPr="00700F21" w:rsidRDefault="00700F21" w:rsidP="008D5D01">
      <w:pPr>
        <w:ind w:left="851" w:right="474"/>
        <w:jc w:val="both"/>
        <w:rPr>
          <w:rFonts w:ascii="Arial" w:eastAsia="Calibri" w:hAnsi="Arial" w:cs="Arial"/>
          <w:b/>
          <w:color w:val="000000"/>
          <w:sz w:val="20"/>
          <w:szCs w:val="22"/>
          <w:lang w:val="es-CR" w:eastAsia="es-CR"/>
        </w:rPr>
      </w:pPr>
      <w:r w:rsidRPr="00700F21">
        <w:rPr>
          <w:rFonts w:ascii="Arial" w:eastAsia="Calibri" w:hAnsi="Arial" w:cs="Arial"/>
          <w:b/>
          <w:color w:val="000000"/>
          <w:sz w:val="20"/>
          <w:szCs w:val="22"/>
          <w:lang w:val="es-CR" w:eastAsia="es-CR"/>
        </w:rPr>
        <w:t>ACUERDO FIRME.”</w:t>
      </w:r>
    </w:p>
    <w:p w:rsidR="00700F21" w:rsidRPr="00700F21" w:rsidRDefault="00700F21" w:rsidP="00700F21">
      <w:pPr>
        <w:pBdr>
          <w:top w:val="nil"/>
          <w:left w:val="nil"/>
          <w:bottom w:val="nil"/>
          <w:right w:val="nil"/>
          <w:between w:val="nil"/>
        </w:pBdr>
        <w:spacing w:after="160" w:line="259" w:lineRule="auto"/>
        <w:jc w:val="both"/>
        <w:rPr>
          <w:rFonts w:ascii="Arial" w:eastAsia="Arial" w:hAnsi="Arial" w:cs="Arial"/>
          <w:b/>
          <w:smallCaps/>
          <w:color w:val="000000"/>
          <w:lang w:val="es-CR" w:eastAsia="es-CR"/>
        </w:rPr>
      </w:pPr>
    </w:p>
    <w:p w:rsidR="00700F21" w:rsidRPr="00700F21" w:rsidRDefault="00700F21" w:rsidP="00700F21">
      <w:pPr>
        <w:pBdr>
          <w:top w:val="nil"/>
          <w:left w:val="nil"/>
          <w:bottom w:val="nil"/>
          <w:right w:val="nil"/>
          <w:between w:val="nil"/>
        </w:pBdr>
        <w:spacing w:after="160" w:line="259" w:lineRule="auto"/>
        <w:jc w:val="both"/>
        <w:rPr>
          <w:rFonts w:ascii="Arial" w:eastAsia="Arial" w:hAnsi="Arial" w:cs="Arial"/>
          <w:b/>
          <w:smallCaps/>
          <w:color w:val="000000"/>
          <w:lang w:val="es-CR" w:eastAsia="es-CR"/>
        </w:rPr>
      </w:pPr>
      <w:r w:rsidRPr="00700F21">
        <w:rPr>
          <w:rFonts w:ascii="Arial" w:eastAsia="Arial" w:hAnsi="Arial" w:cs="Arial"/>
          <w:b/>
          <w:smallCaps/>
          <w:color w:val="000000"/>
          <w:lang w:val="es-CR" w:eastAsia="es-CR"/>
        </w:rPr>
        <w:t xml:space="preserve">CONSIDERANDO QUE: </w:t>
      </w:r>
    </w:p>
    <w:p w:rsidR="00700F21" w:rsidRPr="00700F21" w:rsidRDefault="00700F21" w:rsidP="00917157">
      <w:pPr>
        <w:numPr>
          <w:ilvl w:val="0"/>
          <w:numId w:val="18"/>
        </w:numPr>
        <w:pBdr>
          <w:top w:val="nil"/>
          <w:left w:val="nil"/>
          <w:bottom w:val="nil"/>
          <w:right w:val="nil"/>
          <w:between w:val="nil"/>
        </w:pBdr>
        <w:ind w:right="-2"/>
        <w:jc w:val="both"/>
        <w:rPr>
          <w:rFonts w:ascii="Arial" w:hAnsi="Arial" w:cs="Arial"/>
        </w:rPr>
      </w:pPr>
      <w:r w:rsidRPr="00700F21">
        <w:rPr>
          <w:rFonts w:ascii="Arial" w:hAnsi="Arial" w:cs="Arial"/>
        </w:rPr>
        <w:t xml:space="preserve">La Comisión de Asuntos Académicos y Estudiantiles, según consta en la Minuta No. 597-2018, celebrada el 17 de agosto del 2018, conoce el oficio VIE-695-2018 y se recibe al Dr. Alexander Berrocal Jiménez, Presidente del Consejo de Investigación y Extensión y el Dr. Jorge Cubero </w:t>
      </w:r>
      <w:proofErr w:type="spellStart"/>
      <w:r w:rsidRPr="00700F21">
        <w:rPr>
          <w:rFonts w:ascii="Arial" w:hAnsi="Arial" w:cs="Arial"/>
        </w:rPr>
        <w:t>Sesin</w:t>
      </w:r>
      <w:proofErr w:type="spellEnd"/>
      <w:r w:rsidRPr="00700F21">
        <w:rPr>
          <w:rFonts w:ascii="Arial" w:hAnsi="Arial" w:cs="Arial"/>
        </w:rPr>
        <w:t>, Profesor de la Escuela de Ciencia en Ingeniería de los Materiales, los cuales exponen la creación del Programa de Investigación en Materiales Avanzados y Aplicaciones (PIMAA).</w:t>
      </w:r>
    </w:p>
    <w:p w:rsidR="00700F21" w:rsidRPr="00700F21" w:rsidRDefault="00700F21" w:rsidP="008D5D01">
      <w:pPr>
        <w:ind w:left="360" w:right="284"/>
        <w:jc w:val="both"/>
        <w:rPr>
          <w:rFonts w:ascii="Arial" w:hAnsi="Arial" w:cs="Arial"/>
        </w:rPr>
      </w:pPr>
    </w:p>
    <w:p w:rsidR="00700F21" w:rsidRDefault="00700F21" w:rsidP="008D5D01">
      <w:pPr>
        <w:numPr>
          <w:ilvl w:val="0"/>
          <w:numId w:val="18"/>
        </w:numPr>
        <w:pBdr>
          <w:top w:val="nil"/>
          <w:left w:val="nil"/>
          <w:bottom w:val="nil"/>
          <w:right w:val="nil"/>
          <w:between w:val="nil"/>
        </w:pBdr>
        <w:contextualSpacing/>
        <w:jc w:val="both"/>
        <w:rPr>
          <w:rFonts w:ascii="Arial" w:hAnsi="Arial" w:cs="Arial"/>
        </w:rPr>
      </w:pPr>
      <w:r w:rsidRPr="00700F21">
        <w:rPr>
          <w:rFonts w:ascii="Arial" w:hAnsi="Arial" w:cs="Arial"/>
        </w:rPr>
        <w:t>La Comisión de Asuntos Académicos y Estudiantiles, según consta en la Minuta No. 597-2018, celebrada el 17 de agosto del 2018, conoce el oficio VIE-694-2018 y se recibe al Dr. Alexander Berrocal Jiménez, Presidente del Consejo de Investigación y Extensión y al Ing. Andrés Robles Ramírez, Director Dirección de Proyectos, los cuales exponen la situación del Programa de Investigación en Nanotecnología y se les solicita la documentación que respalde la solicitud de cierre.</w:t>
      </w:r>
    </w:p>
    <w:p w:rsidR="00917157" w:rsidRPr="00700F21" w:rsidRDefault="00917157" w:rsidP="00917157">
      <w:pPr>
        <w:pBdr>
          <w:top w:val="nil"/>
          <w:left w:val="nil"/>
          <w:bottom w:val="nil"/>
          <w:right w:val="nil"/>
          <w:between w:val="nil"/>
        </w:pBdr>
        <w:contextualSpacing/>
        <w:jc w:val="both"/>
        <w:rPr>
          <w:rFonts w:ascii="Arial" w:hAnsi="Arial" w:cs="Arial"/>
        </w:rPr>
      </w:pPr>
    </w:p>
    <w:p w:rsidR="00700F21" w:rsidRPr="00700F21" w:rsidRDefault="00700F21" w:rsidP="00917157">
      <w:pPr>
        <w:numPr>
          <w:ilvl w:val="0"/>
          <w:numId w:val="18"/>
        </w:numPr>
        <w:pBdr>
          <w:top w:val="nil"/>
          <w:left w:val="nil"/>
          <w:bottom w:val="nil"/>
          <w:right w:val="nil"/>
          <w:between w:val="nil"/>
        </w:pBdr>
        <w:ind w:right="139"/>
        <w:jc w:val="both"/>
        <w:rPr>
          <w:rFonts w:ascii="Arial" w:hAnsi="Arial" w:cs="Arial"/>
        </w:rPr>
      </w:pPr>
      <w:r w:rsidRPr="00700F21">
        <w:rPr>
          <w:rFonts w:ascii="Arial" w:hAnsi="Arial" w:cs="Arial"/>
        </w:rPr>
        <w:t xml:space="preserve">La Comisión de Asuntos Académicos y Estudiantiles remite el oficio SCI-778-2018, con fecha del 03 de octubre de 2018, al Lic. Isidro Álvarez, Auditor Interno, en el cual se le consulta que, en el marco de sus asesorías, advertencias o informes presentados a la Vicerrectoría de Investigación y Extensión, con respecto al cierre del Programa de Investigación en Nanotecnología, indique si las mismas fueron atendidas y si no hay pendientes de atender sobre el programa que solicitan cerrar. </w:t>
      </w:r>
    </w:p>
    <w:p w:rsidR="00700F21" w:rsidRPr="00700F21" w:rsidRDefault="00700F21" w:rsidP="008D5D01">
      <w:pPr>
        <w:pBdr>
          <w:top w:val="nil"/>
          <w:left w:val="nil"/>
          <w:bottom w:val="nil"/>
          <w:right w:val="nil"/>
          <w:between w:val="nil"/>
        </w:pBdr>
        <w:ind w:left="720"/>
        <w:contextualSpacing/>
        <w:rPr>
          <w:rFonts w:ascii="Arial" w:eastAsia="Calibri" w:hAnsi="Arial" w:cs="Arial"/>
          <w:color w:val="000000"/>
          <w:lang w:val="es-CR" w:eastAsia="es-CR"/>
        </w:rPr>
      </w:pPr>
    </w:p>
    <w:p w:rsidR="00700F21" w:rsidRPr="00700F21" w:rsidRDefault="00700F21" w:rsidP="008D5D01">
      <w:pPr>
        <w:numPr>
          <w:ilvl w:val="0"/>
          <w:numId w:val="18"/>
        </w:numPr>
        <w:pBdr>
          <w:top w:val="nil"/>
          <w:left w:val="nil"/>
          <w:bottom w:val="nil"/>
          <w:right w:val="nil"/>
          <w:between w:val="nil"/>
        </w:pBdr>
        <w:contextualSpacing/>
        <w:jc w:val="both"/>
        <w:rPr>
          <w:rFonts w:ascii="Arial" w:hAnsi="Arial" w:cs="Arial"/>
        </w:rPr>
      </w:pPr>
      <w:r w:rsidRPr="00700F21">
        <w:rPr>
          <w:rFonts w:ascii="Arial" w:hAnsi="Arial" w:cs="Arial"/>
        </w:rPr>
        <w:t>La Comisión de Asuntos Académicos y Estudiantiles, en la reunión No. 610-2018, realizada el 23 de noviembre de 2018, recibe al Dr. Alexander Berrocal Jiménez, Vicerrector de la Vicerrectoría de Investigación y Extensión, el cual presenta el Informe de Programas de Investigación, además informa sobre la situación del programa,</w:t>
      </w:r>
      <w:r w:rsidRPr="00700F21">
        <w:rPr>
          <w:rFonts w:ascii="Calibri" w:eastAsia="Calibri" w:hAnsi="Calibri" w:cs="Calibri"/>
          <w:color w:val="000000"/>
          <w:sz w:val="22"/>
          <w:szCs w:val="22"/>
          <w:lang w:val="es-CR" w:eastAsia="es-CR"/>
        </w:rPr>
        <w:t xml:space="preserve"> </w:t>
      </w:r>
      <w:r w:rsidRPr="00700F21">
        <w:rPr>
          <w:rFonts w:ascii="Arial" w:hAnsi="Arial" w:cs="Arial"/>
        </w:rPr>
        <w:t>de investigación en Nanotecnología y se discuten aspectos relacionados con:</w:t>
      </w:r>
    </w:p>
    <w:p w:rsidR="00700F21" w:rsidRPr="00700F21" w:rsidRDefault="00700F21" w:rsidP="008D5D01">
      <w:pPr>
        <w:numPr>
          <w:ilvl w:val="1"/>
          <w:numId w:val="23"/>
        </w:numPr>
        <w:pBdr>
          <w:top w:val="none" w:sz="0" w:space="0" w:color="000000"/>
          <w:left w:val="none" w:sz="0" w:space="0" w:color="000000"/>
          <w:bottom w:val="none" w:sz="0" w:space="0" w:color="000000"/>
          <w:right w:val="none" w:sz="0" w:space="0" w:color="000000"/>
          <w:between w:val="none" w:sz="0" w:space="0" w:color="000000"/>
        </w:pBdr>
        <w:ind w:right="284"/>
        <w:jc w:val="both"/>
        <w:rPr>
          <w:rFonts w:ascii="Calibri" w:eastAsia="Calibri" w:hAnsi="Calibri" w:cs="Calibri"/>
          <w:color w:val="000000"/>
          <w:sz w:val="22"/>
          <w:szCs w:val="22"/>
          <w:lang w:val="es-CR" w:eastAsia="es-CR"/>
        </w:rPr>
      </w:pPr>
      <w:r w:rsidRPr="00700F21">
        <w:rPr>
          <w:rFonts w:ascii="Arial" w:eastAsia="Arial" w:hAnsi="Arial" w:cs="Arial"/>
          <w:color w:val="000000"/>
          <w:lang w:val="es-CR" w:eastAsia="es-CR"/>
        </w:rPr>
        <w:t>Cumplimiento de normativa para la solicitud del cierre del programa.</w:t>
      </w:r>
    </w:p>
    <w:p w:rsidR="00700F21" w:rsidRPr="00700F21" w:rsidRDefault="00700F21" w:rsidP="008D5D01">
      <w:pPr>
        <w:numPr>
          <w:ilvl w:val="1"/>
          <w:numId w:val="23"/>
        </w:numPr>
        <w:pBdr>
          <w:top w:val="none" w:sz="0" w:space="0" w:color="000000"/>
          <w:left w:val="none" w:sz="0" w:space="0" w:color="000000"/>
          <w:bottom w:val="none" w:sz="0" w:space="0" w:color="000000"/>
          <w:right w:val="none" w:sz="0" w:space="0" w:color="000000"/>
          <w:between w:val="none" w:sz="0" w:space="0" w:color="000000"/>
        </w:pBdr>
        <w:ind w:right="284"/>
        <w:jc w:val="both"/>
        <w:rPr>
          <w:rFonts w:ascii="Calibri" w:eastAsia="Calibri" w:hAnsi="Calibri" w:cs="Calibri"/>
          <w:color w:val="000000"/>
          <w:sz w:val="22"/>
          <w:szCs w:val="22"/>
          <w:lang w:val="es-CR" w:eastAsia="es-CR"/>
        </w:rPr>
      </w:pPr>
      <w:r w:rsidRPr="00700F21">
        <w:rPr>
          <w:rFonts w:ascii="Arial" w:eastAsia="Arial" w:hAnsi="Arial" w:cs="Arial"/>
          <w:color w:val="000000"/>
          <w:lang w:val="es-CR" w:eastAsia="es-CR"/>
        </w:rPr>
        <w:t>La actividad del programa en los últimos años.</w:t>
      </w:r>
    </w:p>
    <w:p w:rsidR="00700F21" w:rsidRPr="00700F21" w:rsidRDefault="00700F21" w:rsidP="008D5D01">
      <w:pPr>
        <w:numPr>
          <w:ilvl w:val="1"/>
          <w:numId w:val="23"/>
        </w:numPr>
        <w:pBdr>
          <w:top w:val="none" w:sz="0" w:space="0" w:color="000000"/>
          <w:left w:val="none" w:sz="0" w:space="0" w:color="000000"/>
          <w:bottom w:val="none" w:sz="0" w:space="0" w:color="000000"/>
          <w:right w:val="none" w:sz="0" w:space="0" w:color="000000"/>
          <w:between w:val="none" w:sz="0" w:space="0" w:color="000000"/>
        </w:pBdr>
        <w:ind w:right="284"/>
        <w:jc w:val="both"/>
        <w:rPr>
          <w:rFonts w:ascii="Arial" w:eastAsia="Arial" w:hAnsi="Arial" w:cs="Arial"/>
          <w:color w:val="000000"/>
          <w:lang w:val="es-CR" w:eastAsia="es-CR"/>
        </w:rPr>
      </w:pPr>
      <w:r w:rsidRPr="00700F21">
        <w:rPr>
          <w:rFonts w:ascii="Arial" w:eastAsia="Arial" w:hAnsi="Arial" w:cs="Arial"/>
          <w:color w:val="000000"/>
          <w:lang w:val="es-CR" w:eastAsia="es-CR"/>
        </w:rPr>
        <w:t>Estado de los proyectos e informes pendientes.</w:t>
      </w:r>
    </w:p>
    <w:p w:rsidR="00700F21" w:rsidRPr="00700F21" w:rsidRDefault="00700F21" w:rsidP="008D5D01">
      <w:pPr>
        <w:numPr>
          <w:ilvl w:val="1"/>
          <w:numId w:val="23"/>
        </w:numPr>
        <w:pBdr>
          <w:top w:val="none" w:sz="0" w:space="0" w:color="000000"/>
          <w:left w:val="none" w:sz="0" w:space="0" w:color="000000"/>
          <w:bottom w:val="none" w:sz="0" w:space="0" w:color="000000"/>
          <w:right w:val="none" w:sz="0" w:space="0" w:color="000000"/>
          <w:between w:val="none" w:sz="0" w:space="0" w:color="000000"/>
        </w:pBdr>
        <w:ind w:right="284"/>
        <w:jc w:val="both"/>
        <w:rPr>
          <w:rFonts w:ascii="Calibri" w:eastAsia="Calibri" w:hAnsi="Calibri" w:cs="Calibri"/>
          <w:color w:val="000000"/>
          <w:sz w:val="22"/>
          <w:szCs w:val="22"/>
          <w:lang w:val="es-CR" w:eastAsia="es-CR"/>
        </w:rPr>
      </w:pPr>
      <w:r w:rsidRPr="00700F21">
        <w:rPr>
          <w:rFonts w:ascii="Arial" w:eastAsia="Arial" w:hAnsi="Arial" w:cs="Arial"/>
          <w:color w:val="000000"/>
          <w:lang w:val="es-CR" w:eastAsia="es-CR"/>
        </w:rPr>
        <w:t>Las recomendaciones remitidas por la Auditoría Interna</w:t>
      </w:r>
    </w:p>
    <w:p w:rsidR="00700F21" w:rsidRPr="00700F21" w:rsidRDefault="00700F21" w:rsidP="008D5D01">
      <w:pPr>
        <w:numPr>
          <w:ilvl w:val="1"/>
          <w:numId w:val="23"/>
        </w:numPr>
        <w:pBdr>
          <w:top w:val="none" w:sz="0" w:space="0" w:color="000000"/>
          <w:left w:val="none" w:sz="0" w:space="0" w:color="000000"/>
          <w:bottom w:val="none" w:sz="0" w:space="0" w:color="000000"/>
          <w:right w:val="none" w:sz="0" w:space="0" w:color="000000"/>
          <w:between w:val="none" w:sz="0" w:space="0" w:color="000000"/>
        </w:pBdr>
        <w:ind w:right="284"/>
        <w:jc w:val="both"/>
        <w:rPr>
          <w:rFonts w:ascii="Calibri" w:eastAsia="Calibri" w:hAnsi="Calibri" w:cs="Calibri"/>
          <w:color w:val="000000"/>
          <w:sz w:val="22"/>
          <w:szCs w:val="22"/>
          <w:lang w:val="es-CR" w:eastAsia="es-CR"/>
        </w:rPr>
      </w:pPr>
      <w:r w:rsidRPr="00700F21">
        <w:rPr>
          <w:rFonts w:ascii="Arial" w:eastAsia="Arial" w:hAnsi="Arial" w:cs="Arial"/>
          <w:color w:val="000000"/>
          <w:lang w:val="es-CR" w:eastAsia="es-CR"/>
        </w:rPr>
        <w:t>El estado de los equipos asignados al programa.</w:t>
      </w:r>
    </w:p>
    <w:p w:rsidR="00700F21" w:rsidRPr="00700F21" w:rsidRDefault="00700F21" w:rsidP="008D5D01">
      <w:pPr>
        <w:pBdr>
          <w:top w:val="none" w:sz="0" w:space="0" w:color="000000"/>
          <w:left w:val="none" w:sz="0" w:space="0" w:color="000000"/>
          <w:bottom w:val="none" w:sz="0" w:space="0" w:color="000000"/>
          <w:right w:val="none" w:sz="0" w:space="0" w:color="000000"/>
          <w:between w:val="none" w:sz="0" w:space="0" w:color="000000"/>
        </w:pBdr>
        <w:ind w:left="928" w:right="284"/>
        <w:jc w:val="both"/>
        <w:rPr>
          <w:rFonts w:ascii="Calibri" w:eastAsia="Calibri" w:hAnsi="Calibri" w:cs="Calibri"/>
          <w:color w:val="000000"/>
          <w:sz w:val="22"/>
          <w:szCs w:val="22"/>
          <w:lang w:val="es-CR" w:eastAsia="es-CR"/>
        </w:rPr>
      </w:pPr>
    </w:p>
    <w:p w:rsidR="00700F21" w:rsidRPr="00700F21" w:rsidRDefault="00700F21" w:rsidP="008D5D01">
      <w:pPr>
        <w:numPr>
          <w:ilvl w:val="0"/>
          <w:numId w:val="18"/>
        </w:numPr>
        <w:pBdr>
          <w:top w:val="nil"/>
          <w:left w:val="nil"/>
          <w:bottom w:val="nil"/>
          <w:right w:val="nil"/>
          <w:between w:val="nil"/>
        </w:pBdr>
        <w:ind w:right="284"/>
        <w:jc w:val="both"/>
        <w:rPr>
          <w:rFonts w:ascii="Arial" w:hAnsi="Arial" w:cs="Arial"/>
        </w:rPr>
      </w:pPr>
      <w:r w:rsidRPr="00700F21">
        <w:rPr>
          <w:rFonts w:ascii="Arial" w:hAnsi="Arial" w:cs="Arial"/>
        </w:rPr>
        <w:lastRenderedPageBreak/>
        <w:t xml:space="preserve">La Secretaría del Consejo Institucional recibió el oficio AUDI-293-2018, con fecha de recibido 10 de diciembre del 2018, suscrito por el Lic. Isidro Álvarez Salazar, Auditor Interno, dirigido a la Ing. María Estrada Sánchez, Coordinadora de la Comisión de Asuntos Académicos y Estudiantiles, en el cual remite respuesta al oficio SCI-778-18, sobre consulta sobre pendientes del Programa Nanotecnología, el cual concluye como pendiente lo siguiente: </w:t>
      </w:r>
    </w:p>
    <w:p w:rsidR="00700F21" w:rsidRPr="00700F21" w:rsidRDefault="00700F21" w:rsidP="008D5D01">
      <w:pPr>
        <w:ind w:left="360" w:right="284"/>
        <w:jc w:val="both"/>
        <w:rPr>
          <w:rFonts w:ascii="Arial" w:hAnsi="Arial" w:cs="Arial"/>
        </w:rPr>
      </w:pPr>
    </w:p>
    <w:p w:rsidR="00700F21" w:rsidRPr="00700F21" w:rsidRDefault="00700F21" w:rsidP="008D5D01">
      <w:pPr>
        <w:numPr>
          <w:ilvl w:val="0"/>
          <w:numId w:val="24"/>
        </w:numPr>
        <w:pBdr>
          <w:top w:val="nil"/>
          <w:left w:val="nil"/>
          <w:bottom w:val="nil"/>
          <w:right w:val="nil"/>
          <w:between w:val="nil"/>
        </w:pBdr>
        <w:rPr>
          <w:rFonts w:ascii="Arial" w:hAnsi="Arial" w:cs="Arial"/>
          <w:i/>
          <w:szCs w:val="22"/>
          <w:lang w:val="es-CR" w:eastAsia="es-CR"/>
        </w:rPr>
      </w:pPr>
      <w:r w:rsidRPr="00700F21">
        <w:rPr>
          <w:rFonts w:ascii="Arial" w:hAnsi="Arial" w:cs="Arial"/>
          <w:i/>
          <w:szCs w:val="22"/>
          <w:lang w:val="es-CR" w:eastAsia="es-CR"/>
        </w:rPr>
        <w:t>La decisión sobre el Programa de Nanotecnología.</w:t>
      </w:r>
    </w:p>
    <w:p w:rsidR="00700F21" w:rsidRPr="00700F21" w:rsidRDefault="00700F21" w:rsidP="008D5D01">
      <w:pPr>
        <w:ind w:left="720"/>
        <w:rPr>
          <w:rFonts w:ascii="Arial" w:hAnsi="Arial" w:cs="Arial"/>
          <w:i/>
          <w:szCs w:val="22"/>
          <w:lang w:val="es-CR" w:eastAsia="es-CR"/>
        </w:rPr>
      </w:pPr>
    </w:p>
    <w:p w:rsidR="00700F21" w:rsidRPr="00700F21" w:rsidRDefault="00700F21" w:rsidP="008D5D01">
      <w:pPr>
        <w:numPr>
          <w:ilvl w:val="0"/>
          <w:numId w:val="24"/>
        </w:numPr>
        <w:pBdr>
          <w:top w:val="nil"/>
          <w:left w:val="nil"/>
          <w:bottom w:val="nil"/>
          <w:right w:val="nil"/>
          <w:between w:val="nil"/>
        </w:pBdr>
        <w:rPr>
          <w:rFonts w:ascii="Arial" w:hAnsi="Arial" w:cs="Arial"/>
          <w:i/>
          <w:szCs w:val="22"/>
          <w:lang w:val="es-CR" w:eastAsia="es-CR"/>
        </w:rPr>
      </w:pPr>
      <w:r w:rsidRPr="00700F21">
        <w:rPr>
          <w:rFonts w:ascii="Arial" w:hAnsi="Arial" w:cs="Arial"/>
          <w:i/>
          <w:szCs w:val="22"/>
          <w:lang w:val="es-CR" w:eastAsia="es-CR"/>
        </w:rPr>
        <w:t>La decisión sobre la ubicación del laboratorio en la estructura organizativa.</w:t>
      </w:r>
    </w:p>
    <w:p w:rsidR="00700F21" w:rsidRPr="00700F21" w:rsidRDefault="00700F21" w:rsidP="008D5D01">
      <w:pPr>
        <w:ind w:right="284"/>
        <w:jc w:val="both"/>
        <w:rPr>
          <w:rFonts w:ascii="Arial" w:hAnsi="Arial" w:cs="Arial"/>
        </w:rPr>
      </w:pPr>
    </w:p>
    <w:p w:rsidR="00700F21" w:rsidRPr="00700F21" w:rsidRDefault="00700F21" w:rsidP="008D5D01">
      <w:pPr>
        <w:numPr>
          <w:ilvl w:val="0"/>
          <w:numId w:val="18"/>
        </w:numPr>
        <w:pBdr>
          <w:top w:val="nil"/>
          <w:left w:val="nil"/>
          <w:bottom w:val="nil"/>
          <w:right w:val="nil"/>
          <w:between w:val="nil"/>
        </w:pBdr>
        <w:ind w:right="284"/>
        <w:jc w:val="both"/>
        <w:rPr>
          <w:rFonts w:ascii="Arial" w:hAnsi="Arial" w:cs="Arial"/>
        </w:rPr>
      </w:pPr>
      <w:r w:rsidRPr="00700F21">
        <w:rPr>
          <w:rFonts w:ascii="Arial" w:hAnsi="Arial" w:cs="Arial"/>
        </w:rPr>
        <w:t>La Comisión de Asuntos Académicos y Estudiantiles en la reunión No. 613 celebrada el 25 de enero de 2019 y en la reunión No. 614, celebrada el 01 de febrero analiza y discute   el tema sobre la creación del Programa de Investigación en Materiales Avanzados y Aplicaciones (PIMAA) y la Eliminación del Programa de Investigación en Nanotecnología y dispone elevar la propuesta sobre la Creación del Programa de Investigación en Materiales Avanzados y Aplicaciones (PIMAA) y la Eliminación del Programa de Investigación en Nanotecnología, adscritos a la Vicerrectoría de Investigación y Extensión.</w:t>
      </w:r>
    </w:p>
    <w:p w:rsidR="00700F21" w:rsidRPr="00700F21" w:rsidRDefault="00700F21" w:rsidP="008D5D01">
      <w:pPr>
        <w:ind w:left="360" w:right="284"/>
        <w:jc w:val="both"/>
        <w:rPr>
          <w:rFonts w:ascii="Arial" w:hAnsi="Arial" w:cs="Arial"/>
        </w:rPr>
      </w:pPr>
    </w:p>
    <w:p w:rsidR="00700F21" w:rsidRPr="00700F21" w:rsidRDefault="00700F21" w:rsidP="008D5D01">
      <w:pPr>
        <w:numPr>
          <w:ilvl w:val="0"/>
          <w:numId w:val="18"/>
        </w:numPr>
        <w:pBdr>
          <w:top w:val="nil"/>
          <w:left w:val="nil"/>
          <w:bottom w:val="nil"/>
          <w:right w:val="nil"/>
          <w:between w:val="nil"/>
        </w:pBdr>
        <w:ind w:right="284"/>
        <w:jc w:val="both"/>
        <w:rPr>
          <w:rFonts w:ascii="Arial" w:hAnsi="Arial" w:cs="Arial"/>
        </w:rPr>
      </w:pPr>
      <w:r w:rsidRPr="00700F21">
        <w:rPr>
          <w:rFonts w:ascii="Arial" w:hAnsi="Arial" w:cs="Arial"/>
        </w:rPr>
        <w:t xml:space="preserve">El Consejo Institucional en la Sesión Ordinaria No. 3105, celebrada el 07 de febrero del presente año, conoció la propuesta y con respecto a la Creación del Programa de Investigación en Materiales Avanzados y Aplicaciones (PIMAA), se presentaron dudas de algunos de los miembros sobre los recursos que se cuentan en la VIE para poder asignar a este programa de aprobarse la creación, por lo tanto, se remite solicitud de información. </w:t>
      </w:r>
    </w:p>
    <w:p w:rsidR="00700F21" w:rsidRPr="00700F21" w:rsidRDefault="00700F21" w:rsidP="008D5D01">
      <w:pPr>
        <w:ind w:right="284"/>
        <w:jc w:val="both"/>
        <w:rPr>
          <w:rFonts w:ascii="Arial" w:hAnsi="Arial" w:cs="Arial"/>
        </w:rPr>
      </w:pPr>
    </w:p>
    <w:p w:rsidR="00700F21" w:rsidRPr="00700F21" w:rsidRDefault="00700F21" w:rsidP="008D5D01">
      <w:pPr>
        <w:numPr>
          <w:ilvl w:val="0"/>
          <w:numId w:val="18"/>
        </w:numPr>
        <w:pBdr>
          <w:top w:val="nil"/>
          <w:left w:val="nil"/>
          <w:bottom w:val="nil"/>
          <w:right w:val="nil"/>
          <w:between w:val="nil"/>
        </w:pBdr>
        <w:ind w:right="284"/>
        <w:jc w:val="both"/>
        <w:rPr>
          <w:rFonts w:ascii="Arial" w:hAnsi="Arial" w:cs="Arial"/>
        </w:rPr>
      </w:pPr>
      <w:r w:rsidRPr="00700F21">
        <w:rPr>
          <w:rFonts w:ascii="Arial" w:hAnsi="Arial" w:cs="Arial"/>
        </w:rPr>
        <w:t>La Comisión de Asuntos Académicos y Estudiantiles remite oficio SCI-57-2019, dirigido al Dr. Alexander Berrocal Jiménez, Vicerrector de Investigación y Extensión, en el cual se le solicita remitir a esta Comisión, un informe que detalle los recursos que se deberán asignar según normativa al PIIMA y la confirmación de que la VIE cuenta en la actualidad con la posibilidad de brindarlos.</w:t>
      </w:r>
    </w:p>
    <w:p w:rsidR="00700F21" w:rsidRPr="00700F21" w:rsidRDefault="00700F21" w:rsidP="008D5D01">
      <w:pPr>
        <w:ind w:right="284"/>
        <w:jc w:val="both"/>
        <w:rPr>
          <w:rFonts w:ascii="Arial" w:hAnsi="Arial" w:cs="Arial"/>
        </w:rPr>
      </w:pPr>
    </w:p>
    <w:p w:rsidR="00700F21" w:rsidRPr="00700F21" w:rsidRDefault="00700F21" w:rsidP="008D5D01">
      <w:pPr>
        <w:numPr>
          <w:ilvl w:val="0"/>
          <w:numId w:val="18"/>
        </w:numPr>
        <w:pBdr>
          <w:top w:val="nil"/>
          <w:left w:val="nil"/>
          <w:bottom w:val="nil"/>
          <w:right w:val="nil"/>
          <w:between w:val="nil"/>
        </w:pBdr>
        <w:ind w:right="284"/>
        <w:jc w:val="both"/>
        <w:rPr>
          <w:rFonts w:ascii="Arial" w:hAnsi="Arial" w:cs="Arial"/>
        </w:rPr>
      </w:pPr>
      <w:r w:rsidRPr="00700F21">
        <w:rPr>
          <w:rFonts w:ascii="Arial" w:hAnsi="Arial" w:cs="Arial"/>
        </w:rPr>
        <w:t xml:space="preserve">La Secretaría del Consejo Institucional recibió el oficio VIE-028-2019, suscrito por el Dr. Alexander Berrocal Jiménez, Vicerrector de Investigación y Extensión, dirigido a la Ing. María Estrada Sánchez, </w:t>
      </w:r>
      <w:proofErr w:type="spellStart"/>
      <w:r w:rsidRPr="00700F21">
        <w:rPr>
          <w:rFonts w:ascii="Arial" w:hAnsi="Arial" w:cs="Arial"/>
        </w:rPr>
        <w:t>M.Sc</w:t>
      </w:r>
      <w:proofErr w:type="spellEnd"/>
      <w:r w:rsidRPr="00700F21">
        <w:rPr>
          <w:rFonts w:ascii="Arial" w:hAnsi="Arial" w:cs="Arial"/>
        </w:rPr>
        <w:t>., Coordinadora de la Comisión Asuntos Académicos y Estudiantiles, en el cual informa lo siguiente:</w:t>
      </w:r>
    </w:p>
    <w:p w:rsidR="00700F21" w:rsidRPr="00700F21" w:rsidRDefault="00700F21" w:rsidP="008D5D01">
      <w:pPr>
        <w:autoSpaceDE w:val="0"/>
        <w:autoSpaceDN w:val="0"/>
        <w:adjustRightInd w:val="0"/>
        <w:rPr>
          <w:rFonts w:ascii="Arial" w:eastAsia="Calibri" w:hAnsi="Arial" w:cs="Arial"/>
          <w:color w:val="000000"/>
          <w:lang w:val="es-CR" w:eastAsia="es-CR"/>
        </w:rPr>
      </w:pPr>
    </w:p>
    <w:p w:rsidR="00700F21" w:rsidRPr="00700F21" w:rsidRDefault="00700F21" w:rsidP="008D5D01">
      <w:pPr>
        <w:ind w:left="720" w:right="474"/>
        <w:jc w:val="both"/>
        <w:rPr>
          <w:rFonts w:ascii="Arial" w:hAnsi="Arial" w:cs="Arial"/>
          <w:i/>
          <w:sz w:val="22"/>
          <w:lang w:val="es-CR" w:eastAsia="es-CR"/>
        </w:rPr>
      </w:pPr>
      <w:r w:rsidRPr="00700F21">
        <w:rPr>
          <w:rFonts w:ascii="Arial" w:hAnsi="Arial" w:cs="Arial"/>
          <w:i/>
          <w:sz w:val="22"/>
          <w:lang w:val="es-CR" w:eastAsia="es-CR"/>
        </w:rPr>
        <w:t xml:space="preserve">“En respuesta a su oficio SCI-57-2019, me permito informarle que se cuenta con 8 horas VIE por semana para ser asignadas al coordinador del programa, además de un presupuesto operativo de 1 500 000 colones por año. </w:t>
      </w:r>
    </w:p>
    <w:p w:rsidR="00700F21" w:rsidRPr="00700F21" w:rsidRDefault="00700F21" w:rsidP="008D5D01">
      <w:pPr>
        <w:ind w:left="720" w:right="474"/>
        <w:jc w:val="both"/>
        <w:rPr>
          <w:rFonts w:ascii="Arial" w:hAnsi="Arial" w:cs="Arial"/>
          <w:i/>
          <w:sz w:val="22"/>
          <w:lang w:val="es-CR" w:eastAsia="es-CR"/>
        </w:rPr>
      </w:pPr>
    </w:p>
    <w:p w:rsidR="00700F21" w:rsidRPr="00700F21" w:rsidRDefault="00700F21" w:rsidP="008D5D01">
      <w:pPr>
        <w:ind w:left="720" w:right="474"/>
        <w:jc w:val="both"/>
        <w:rPr>
          <w:rFonts w:ascii="Arial" w:hAnsi="Arial" w:cs="Arial"/>
          <w:i/>
          <w:sz w:val="22"/>
          <w:lang w:val="es-CR" w:eastAsia="es-CR"/>
        </w:rPr>
      </w:pPr>
      <w:r w:rsidRPr="00700F21">
        <w:rPr>
          <w:rFonts w:ascii="Arial" w:hAnsi="Arial" w:cs="Arial"/>
          <w:i/>
          <w:sz w:val="22"/>
          <w:lang w:val="es-CR" w:eastAsia="es-CR"/>
        </w:rPr>
        <w:t xml:space="preserve">De igual manera se cuenta la posibilidad de que en caso de que se disponga de recursos para la compra de equipo especializado, el programa puede presentar la correspondiente solicitud, al igual que lo hacen las diferentes unidades académicas (escuelas, centros, áreas académicas o unidades desconcentradas) para ser analizado por parte de la VIE. </w:t>
      </w:r>
    </w:p>
    <w:p w:rsidR="00700F21" w:rsidRPr="00700F21" w:rsidRDefault="00700F21" w:rsidP="008D5D01">
      <w:pPr>
        <w:ind w:left="720" w:right="474"/>
        <w:jc w:val="both"/>
        <w:rPr>
          <w:rFonts w:ascii="Arial" w:hAnsi="Arial" w:cs="Arial"/>
          <w:i/>
          <w:sz w:val="22"/>
          <w:lang w:val="es-CR" w:eastAsia="es-CR"/>
        </w:rPr>
      </w:pPr>
    </w:p>
    <w:p w:rsidR="00700F21" w:rsidRPr="00700F21" w:rsidRDefault="00700F21" w:rsidP="008D5D01">
      <w:pPr>
        <w:ind w:left="720" w:right="474"/>
        <w:jc w:val="both"/>
        <w:rPr>
          <w:rFonts w:ascii="Arial" w:hAnsi="Arial" w:cs="Arial"/>
          <w:i/>
          <w:sz w:val="22"/>
          <w:lang w:val="es-CR" w:eastAsia="es-CR"/>
        </w:rPr>
      </w:pPr>
      <w:r w:rsidRPr="00700F21">
        <w:rPr>
          <w:rFonts w:ascii="Arial" w:hAnsi="Arial" w:cs="Arial"/>
          <w:i/>
          <w:sz w:val="22"/>
          <w:lang w:val="es-CR" w:eastAsia="es-CR"/>
        </w:rPr>
        <w:t>Por otra parte, los programas formalmente creados por el Consejo Institucional, cuentan con un acompañamiento por parte de un gestor de proyectos de la Dirección de Proyectos.”</w:t>
      </w:r>
    </w:p>
    <w:p w:rsidR="00700F21" w:rsidRPr="00700F21" w:rsidRDefault="00700F21" w:rsidP="008D5D01">
      <w:pPr>
        <w:ind w:right="474"/>
        <w:jc w:val="both"/>
        <w:rPr>
          <w:rFonts w:ascii="Arial" w:hAnsi="Arial" w:cs="Arial"/>
          <w:i/>
          <w:sz w:val="22"/>
          <w:lang w:val="es-CR" w:eastAsia="es-CR"/>
        </w:rPr>
      </w:pPr>
    </w:p>
    <w:p w:rsidR="00700F21" w:rsidRPr="00700F21" w:rsidRDefault="00700F21" w:rsidP="008D5D01">
      <w:pPr>
        <w:numPr>
          <w:ilvl w:val="0"/>
          <w:numId w:val="18"/>
        </w:numPr>
        <w:pBdr>
          <w:top w:val="nil"/>
          <w:left w:val="nil"/>
          <w:bottom w:val="nil"/>
          <w:right w:val="nil"/>
          <w:between w:val="nil"/>
        </w:pBdr>
        <w:ind w:right="284"/>
        <w:jc w:val="both"/>
        <w:rPr>
          <w:rFonts w:ascii="Arial" w:hAnsi="Arial" w:cs="Arial"/>
        </w:rPr>
      </w:pPr>
      <w:r w:rsidRPr="00700F21">
        <w:rPr>
          <w:rFonts w:ascii="Arial" w:hAnsi="Arial" w:cs="Arial"/>
        </w:rPr>
        <w:t xml:space="preserve">La </w:t>
      </w:r>
      <w:proofErr w:type="spellStart"/>
      <w:r w:rsidRPr="00700F21">
        <w:rPr>
          <w:rFonts w:ascii="Arial" w:hAnsi="Arial" w:cs="Arial"/>
        </w:rPr>
        <w:t>MSc</w:t>
      </w:r>
      <w:proofErr w:type="spellEnd"/>
      <w:r w:rsidRPr="00700F21">
        <w:rPr>
          <w:rFonts w:ascii="Arial" w:hAnsi="Arial" w:cs="Arial"/>
        </w:rPr>
        <w:t>. Ana Rosa Ruiz Fernández, Coordinadora de la Comisión de Planificación y Administración envía Oficio SCI-073-2019 al Dr. Alexander Berrocal Jiménez, Vicerrector de Investigación y Extensión, el 8 de febrero solicitando lo siguiente: ¿Cuánto en recurso humano, infraestructura, equipo y presupuesto de operativo va a significar la creación de este Programa?  La estimación sería para el 2019 y durante los próximos tres años. ¿Qué tipo de laboratorios tendrá injerencia este programa? Si lo anterior es afirmativo y detalla laboratorios, ¿cuál es el presupuesto actual y el proyectado para los próximos tres años?</w:t>
      </w:r>
    </w:p>
    <w:p w:rsidR="00700F21" w:rsidRPr="00700F21" w:rsidRDefault="00700F21" w:rsidP="008D5D01">
      <w:pPr>
        <w:ind w:right="284"/>
        <w:jc w:val="both"/>
        <w:rPr>
          <w:rFonts w:ascii="Arial" w:hAnsi="Arial" w:cs="Arial"/>
        </w:rPr>
      </w:pPr>
    </w:p>
    <w:p w:rsidR="00700F21" w:rsidRPr="00700F21" w:rsidRDefault="00700F21" w:rsidP="008D5D01">
      <w:pPr>
        <w:numPr>
          <w:ilvl w:val="0"/>
          <w:numId w:val="18"/>
        </w:numPr>
        <w:pBdr>
          <w:top w:val="nil"/>
          <w:left w:val="nil"/>
          <w:bottom w:val="nil"/>
          <w:right w:val="nil"/>
          <w:between w:val="nil"/>
        </w:pBdr>
        <w:ind w:right="284"/>
        <w:jc w:val="both"/>
        <w:rPr>
          <w:rFonts w:ascii="Arial" w:hAnsi="Arial" w:cs="Arial"/>
        </w:rPr>
      </w:pPr>
      <w:r w:rsidRPr="00700F21">
        <w:rPr>
          <w:rFonts w:ascii="Arial" w:hAnsi="Arial" w:cs="Arial"/>
        </w:rPr>
        <w:t xml:space="preserve">Las Comisiones Permanentes de Planificación y Administración y de Asuntos Académicos y Estudiantiles recibieron el oficio VIE-067-19, suscrito por el Dr. Alexander Berrocal Jiménez, Vicerrector de Investigación y Extensión, dirigido a la </w:t>
      </w:r>
      <w:proofErr w:type="spellStart"/>
      <w:r w:rsidRPr="00700F21">
        <w:rPr>
          <w:rFonts w:ascii="Arial" w:hAnsi="Arial" w:cs="Arial"/>
        </w:rPr>
        <w:t>M.Sc</w:t>
      </w:r>
      <w:proofErr w:type="spellEnd"/>
      <w:r w:rsidRPr="00700F21">
        <w:rPr>
          <w:rFonts w:ascii="Arial" w:hAnsi="Arial" w:cs="Arial"/>
        </w:rPr>
        <w:t xml:space="preserve">. Ana Rosa Ruiz, Coordinadora de la Comisión de Planificación y Administración, con copia a la Ing. María Estrada Sánchez, </w:t>
      </w:r>
      <w:proofErr w:type="spellStart"/>
      <w:r w:rsidRPr="00700F21">
        <w:rPr>
          <w:rFonts w:ascii="Arial" w:hAnsi="Arial" w:cs="Arial"/>
        </w:rPr>
        <w:t>MSc</w:t>
      </w:r>
      <w:proofErr w:type="spellEnd"/>
      <w:r w:rsidRPr="00700F21">
        <w:rPr>
          <w:rFonts w:ascii="Arial" w:hAnsi="Arial" w:cs="Arial"/>
        </w:rPr>
        <w:t>., Coordinadora de la Comisión Asuntos Académicos y Estudiantiles, en el cual reitera lo siguiente:</w:t>
      </w:r>
    </w:p>
    <w:p w:rsidR="00700F21" w:rsidRPr="00700F21" w:rsidRDefault="00700F21" w:rsidP="00700F21">
      <w:pPr>
        <w:autoSpaceDE w:val="0"/>
        <w:autoSpaceDN w:val="0"/>
        <w:adjustRightInd w:val="0"/>
        <w:rPr>
          <w:rFonts w:ascii="Arial" w:eastAsia="Calibri" w:hAnsi="Arial" w:cs="Arial"/>
          <w:color w:val="000000"/>
          <w:lang w:val="es-CR" w:eastAsia="es-CR"/>
        </w:rPr>
      </w:pPr>
    </w:p>
    <w:p w:rsidR="00700F21" w:rsidRPr="00700F21" w:rsidRDefault="00700F21" w:rsidP="00700F21">
      <w:pPr>
        <w:ind w:left="720" w:right="474"/>
        <w:jc w:val="both"/>
        <w:rPr>
          <w:rFonts w:ascii="Arial" w:hAnsi="Arial" w:cs="Arial"/>
          <w:sz w:val="22"/>
          <w:szCs w:val="22"/>
          <w:lang w:val="es-CR" w:eastAsia="es-CR"/>
        </w:rPr>
      </w:pPr>
      <w:r w:rsidRPr="00700F21">
        <w:rPr>
          <w:rFonts w:ascii="Arial" w:hAnsi="Arial" w:cs="Arial"/>
          <w:sz w:val="22"/>
          <w:szCs w:val="22"/>
          <w:lang w:val="es-CR" w:eastAsia="es-CR"/>
        </w:rPr>
        <w:t xml:space="preserve"> “</w:t>
      </w:r>
      <w:r w:rsidRPr="00700F21">
        <w:rPr>
          <w:rFonts w:ascii="Arial" w:hAnsi="Arial" w:cs="Arial"/>
          <w:i/>
          <w:sz w:val="22"/>
          <w:szCs w:val="22"/>
          <w:lang w:val="es-CR" w:eastAsia="es-CR"/>
        </w:rPr>
        <w:t>La creación del PIMAA como tal se plantea en el marco actual con que cuenta la VIE para el apoyo a programas de investigación, el cual consta de un total de 8 horas por semana para el coordinador y un presupuesto operativo de ₡1,800,000 para el primer año. Si bien en la Guía de formulación de Programas no se pide un estimado para los años subsiguientes, por lo que se puede asumir un incremento anual de 3%.</w:t>
      </w:r>
      <w:r w:rsidRPr="00700F21">
        <w:rPr>
          <w:rFonts w:ascii="Arial" w:hAnsi="Arial" w:cs="Arial"/>
          <w:sz w:val="22"/>
          <w:szCs w:val="22"/>
          <w:lang w:val="es-CR" w:eastAsia="es-CR"/>
        </w:rPr>
        <w:t>.. (ver tabla de abajo).</w:t>
      </w:r>
    </w:p>
    <w:p w:rsidR="00700F21" w:rsidRPr="00700F21" w:rsidRDefault="00700F21" w:rsidP="00700F21">
      <w:pPr>
        <w:ind w:left="720" w:right="474"/>
        <w:jc w:val="both"/>
        <w:rPr>
          <w:rFonts w:ascii="Arial" w:hAnsi="Arial" w:cs="Arial"/>
          <w:sz w:val="22"/>
          <w:szCs w:val="22"/>
          <w:lang w:val="es-CR" w:eastAsia="es-CR"/>
        </w:rPr>
      </w:pPr>
      <w:r w:rsidRPr="00700F21">
        <w:rPr>
          <w:rFonts w:ascii="Arial" w:hAnsi="Arial" w:cs="Arial"/>
          <w:sz w:val="22"/>
          <w:szCs w:val="22"/>
          <w:lang w:val="es-CR" w:eastAsia="es-CR"/>
        </w:rPr>
        <w:t>Cabe destacar que las características interdisciplinarias de la investigación que se apoyaría con el programa PIMAA, requieren de la participación de investigadores de diversas Escuelas. Por lo que el rol del programa se centra principalmente en articular esfuerzos y coordinar acciones conjuntas para el desarrollo de la investigación en materiales dentro de la institución, así como ser un punto de contacto para la vinculación externa. Por tal motivo es que se planteó que para la creación del programa se requieren de 8 h VIE semanales para el coordinador. El personal restante con que se cuenta para el inicio del programa es el de los miembros proponentes de cada uno de los principales grupos y proyectos interesados, así como el personal de apoyo e investigadores participantes de cada una de las Escuelas. Todos estos recursos ya son aportados por la VIE a través de las plazas asignadas a los diferentes proyectos y a la figura de Investigador Consolidado…”</w:t>
      </w:r>
    </w:p>
    <w:p w:rsidR="00700F21" w:rsidRPr="00700F21" w:rsidRDefault="00700F21" w:rsidP="00700F21">
      <w:pPr>
        <w:autoSpaceDE w:val="0"/>
        <w:autoSpaceDN w:val="0"/>
        <w:adjustRightInd w:val="0"/>
        <w:rPr>
          <w:rFonts w:ascii="Arial" w:eastAsia="Calibri" w:hAnsi="Arial" w:cs="Arial"/>
          <w:color w:val="000000"/>
          <w:lang w:val="es-CR" w:eastAsia="es-CR"/>
        </w:rPr>
      </w:pPr>
    </w:p>
    <w:tbl>
      <w:tblPr>
        <w:tblStyle w:val="Tablaconcuadrcula11"/>
        <w:tblW w:w="8773" w:type="dxa"/>
        <w:jc w:val="center"/>
        <w:tblLayout w:type="fixed"/>
        <w:tblLook w:val="04A0" w:firstRow="1" w:lastRow="0" w:firstColumn="1" w:lastColumn="0" w:noHBand="0" w:noVBand="1"/>
      </w:tblPr>
      <w:tblGrid>
        <w:gridCol w:w="1613"/>
        <w:gridCol w:w="1773"/>
        <w:gridCol w:w="1789"/>
        <w:gridCol w:w="1755"/>
        <w:gridCol w:w="1843"/>
      </w:tblGrid>
      <w:tr w:rsidR="00700F21" w:rsidRPr="00700F21" w:rsidTr="00B77C01">
        <w:trPr>
          <w:jc w:val="center"/>
        </w:trPr>
        <w:tc>
          <w:tcPr>
            <w:tcW w:w="1613" w:type="dxa"/>
          </w:tcPr>
          <w:p w:rsidR="00700F21" w:rsidRPr="00700F21" w:rsidRDefault="00700F21" w:rsidP="00700F21">
            <w:pPr>
              <w:ind w:right="474"/>
              <w:jc w:val="center"/>
              <w:rPr>
                <w:rFonts w:ascii="Arial" w:hAnsi="Arial" w:cs="Arial"/>
                <w:sz w:val="20"/>
                <w:szCs w:val="22"/>
                <w:lang w:val="es-CR" w:eastAsia="es-CR"/>
              </w:rPr>
            </w:pPr>
            <w:r w:rsidRPr="00700F21">
              <w:rPr>
                <w:rFonts w:ascii="Arial" w:hAnsi="Arial" w:cs="Arial"/>
                <w:sz w:val="20"/>
                <w:szCs w:val="22"/>
                <w:lang w:val="es-CR" w:eastAsia="es-CR"/>
              </w:rPr>
              <w:t>Periodo *</w:t>
            </w:r>
          </w:p>
        </w:tc>
        <w:tc>
          <w:tcPr>
            <w:tcW w:w="1773" w:type="dxa"/>
          </w:tcPr>
          <w:p w:rsidR="00700F21" w:rsidRPr="00700F21" w:rsidRDefault="00700F21" w:rsidP="00700F21">
            <w:pPr>
              <w:ind w:right="474"/>
              <w:jc w:val="center"/>
              <w:rPr>
                <w:rFonts w:ascii="Arial" w:hAnsi="Arial" w:cs="Arial"/>
                <w:sz w:val="20"/>
                <w:szCs w:val="22"/>
                <w:lang w:val="es-CR" w:eastAsia="es-CR"/>
              </w:rPr>
            </w:pPr>
            <w:r w:rsidRPr="00700F21">
              <w:rPr>
                <w:rFonts w:ascii="Arial" w:hAnsi="Arial" w:cs="Arial"/>
                <w:sz w:val="20"/>
                <w:szCs w:val="22"/>
                <w:lang w:val="es-CR" w:eastAsia="es-CR"/>
              </w:rPr>
              <w:t>2019</w:t>
            </w:r>
          </w:p>
        </w:tc>
        <w:tc>
          <w:tcPr>
            <w:tcW w:w="1789" w:type="dxa"/>
          </w:tcPr>
          <w:p w:rsidR="00700F21" w:rsidRPr="00700F21" w:rsidRDefault="00700F21" w:rsidP="00700F21">
            <w:pPr>
              <w:ind w:right="474"/>
              <w:jc w:val="center"/>
              <w:rPr>
                <w:rFonts w:ascii="Arial" w:hAnsi="Arial" w:cs="Arial"/>
                <w:sz w:val="20"/>
                <w:szCs w:val="22"/>
                <w:lang w:val="es-CR" w:eastAsia="es-CR"/>
              </w:rPr>
            </w:pPr>
            <w:r w:rsidRPr="00700F21">
              <w:rPr>
                <w:rFonts w:ascii="Arial" w:hAnsi="Arial" w:cs="Arial"/>
                <w:sz w:val="20"/>
                <w:szCs w:val="22"/>
                <w:lang w:val="es-CR" w:eastAsia="es-CR"/>
              </w:rPr>
              <w:t>2020</w:t>
            </w:r>
          </w:p>
        </w:tc>
        <w:tc>
          <w:tcPr>
            <w:tcW w:w="1755" w:type="dxa"/>
          </w:tcPr>
          <w:p w:rsidR="00700F21" w:rsidRPr="00700F21" w:rsidRDefault="00700F21" w:rsidP="00700F21">
            <w:pPr>
              <w:ind w:right="474"/>
              <w:jc w:val="center"/>
              <w:rPr>
                <w:rFonts w:ascii="Arial" w:hAnsi="Arial" w:cs="Arial"/>
                <w:sz w:val="20"/>
                <w:szCs w:val="22"/>
                <w:lang w:val="es-CR" w:eastAsia="es-CR"/>
              </w:rPr>
            </w:pPr>
            <w:r w:rsidRPr="00700F21">
              <w:rPr>
                <w:rFonts w:ascii="Arial" w:hAnsi="Arial" w:cs="Arial"/>
                <w:sz w:val="20"/>
                <w:szCs w:val="22"/>
                <w:lang w:val="es-CR" w:eastAsia="es-CR"/>
              </w:rPr>
              <w:t>2021</w:t>
            </w:r>
          </w:p>
        </w:tc>
        <w:tc>
          <w:tcPr>
            <w:tcW w:w="1843" w:type="dxa"/>
          </w:tcPr>
          <w:p w:rsidR="00700F21" w:rsidRPr="00700F21" w:rsidRDefault="00700F21" w:rsidP="00700F21">
            <w:pPr>
              <w:ind w:right="474"/>
              <w:jc w:val="center"/>
              <w:rPr>
                <w:rFonts w:ascii="Arial" w:hAnsi="Arial" w:cs="Arial"/>
                <w:sz w:val="20"/>
                <w:szCs w:val="22"/>
                <w:lang w:val="es-CR" w:eastAsia="es-CR"/>
              </w:rPr>
            </w:pPr>
            <w:r w:rsidRPr="00700F21">
              <w:rPr>
                <w:rFonts w:ascii="Arial" w:hAnsi="Arial" w:cs="Arial"/>
                <w:sz w:val="20"/>
                <w:szCs w:val="22"/>
                <w:lang w:val="es-CR" w:eastAsia="es-CR"/>
              </w:rPr>
              <w:t>2022</w:t>
            </w:r>
          </w:p>
        </w:tc>
      </w:tr>
      <w:tr w:rsidR="00700F21" w:rsidRPr="00700F21" w:rsidTr="00B77C01">
        <w:trPr>
          <w:trHeight w:val="234"/>
          <w:jc w:val="center"/>
        </w:trPr>
        <w:tc>
          <w:tcPr>
            <w:tcW w:w="1613" w:type="dxa"/>
          </w:tcPr>
          <w:p w:rsidR="00700F21" w:rsidRPr="00700F21" w:rsidRDefault="00700F21" w:rsidP="00700F21">
            <w:pPr>
              <w:ind w:right="474"/>
              <w:jc w:val="center"/>
              <w:rPr>
                <w:rFonts w:ascii="Arial" w:hAnsi="Arial" w:cs="Arial"/>
                <w:sz w:val="20"/>
                <w:szCs w:val="22"/>
                <w:lang w:val="es-CR" w:eastAsia="es-CR"/>
              </w:rPr>
            </w:pPr>
            <w:r w:rsidRPr="00700F21">
              <w:rPr>
                <w:rFonts w:ascii="Arial" w:hAnsi="Arial" w:cs="Arial"/>
                <w:sz w:val="20"/>
                <w:szCs w:val="22"/>
                <w:lang w:val="es-CR" w:eastAsia="es-CR"/>
              </w:rPr>
              <w:t>Programa PIMAA</w:t>
            </w:r>
          </w:p>
        </w:tc>
        <w:tc>
          <w:tcPr>
            <w:tcW w:w="1773" w:type="dxa"/>
          </w:tcPr>
          <w:p w:rsidR="00700F21" w:rsidRPr="00700F21" w:rsidRDefault="00700F21" w:rsidP="00700F21">
            <w:pPr>
              <w:ind w:right="474"/>
              <w:jc w:val="center"/>
              <w:rPr>
                <w:rFonts w:ascii="Arial" w:hAnsi="Arial" w:cs="Arial"/>
                <w:sz w:val="20"/>
                <w:szCs w:val="22"/>
                <w:lang w:val="es-CR" w:eastAsia="es-CR"/>
              </w:rPr>
            </w:pPr>
            <w:r w:rsidRPr="00700F21">
              <w:rPr>
                <w:rFonts w:ascii="Arial" w:hAnsi="Arial" w:cs="Arial"/>
                <w:sz w:val="20"/>
                <w:szCs w:val="22"/>
                <w:lang w:val="es-CR" w:eastAsia="es-CR"/>
              </w:rPr>
              <w:t>₡1,800,000</w:t>
            </w:r>
          </w:p>
        </w:tc>
        <w:tc>
          <w:tcPr>
            <w:tcW w:w="1789" w:type="dxa"/>
          </w:tcPr>
          <w:p w:rsidR="00700F21" w:rsidRPr="00700F21" w:rsidRDefault="00700F21" w:rsidP="00700F21">
            <w:pPr>
              <w:ind w:right="474"/>
              <w:jc w:val="center"/>
              <w:rPr>
                <w:rFonts w:ascii="Arial" w:hAnsi="Arial" w:cs="Arial"/>
                <w:sz w:val="20"/>
                <w:szCs w:val="22"/>
                <w:lang w:val="es-CR" w:eastAsia="es-CR"/>
              </w:rPr>
            </w:pPr>
            <w:r w:rsidRPr="00700F21">
              <w:rPr>
                <w:rFonts w:ascii="Arial" w:hAnsi="Arial" w:cs="Arial"/>
                <w:sz w:val="20"/>
                <w:szCs w:val="22"/>
                <w:lang w:val="es-CR" w:eastAsia="es-CR"/>
              </w:rPr>
              <w:t>₡1,854,000</w:t>
            </w:r>
          </w:p>
        </w:tc>
        <w:tc>
          <w:tcPr>
            <w:tcW w:w="1755" w:type="dxa"/>
          </w:tcPr>
          <w:p w:rsidR="00700F21" w:rsidRPr="00700F21" w:rsidRDefault="00700F21" w:rsidP="00700F21">
            <w:pPr>
              <w:ind w:right="474"/>
              <w:jc w:val="center"/>
              <w:rPr>
                <w:rFonts w:ascii="Arial" w:hAnsi="Arial" w:cs="Arial"/>
                <w:sz w:val="20"/>
                <w:szCs w:val="22"/>
                <w:lang w:val="es-CR" w:eastAsia="es-CR"/>
              </w:rPr>
            </w:pPr>
            <w:r w:rsidRPr="00700F21">
              <w:rPr>
                <w:rFonts w:ascii="Arial" w:hAnsi="Arial" w:cs="Arial"/>
                <w:sz w:val="20"/>
                <w:szCs w:val="22"/>
                <w:lang w:val="es-CR" w:eastAsia="es-CR"/>
              </w:rPr>
              <w:t>₡1,909,620</w:t>
            </w:r>
          </w:p>
        </w:tc>
        <w:tc>
          <w:tcPr>
            <w:tcW w:w="1843" w:type="dxa"/>
          </w:tcPr>
          <w:p w:rsidR="00700F21" w:rsidRPr="00700F21" w:rsidRDefault="00700F21" w:rsidP="00700F21">
            <w:pPr>
              <w:ind w:right="474"/>
              <w:jc w:val="center"/>
              <w:rPr>
                <w:rFonts w:ascii="Arial" w:hAnsi="Arial" w:cs="Arial"/>
                <w:sz w:val="20"/>
                <w:szCs w:val="22"/>
                <w:lang w:val="es-CR" w:eastAsia="es-CR"/>
              </w:rPr>
            </w:pPr>
            <w:r w:rsidRPr="00700F21">
              <w:rPr>
                <w:rFonts w:ascii="Arial" w:hAnsi="Arial" w:cs="Arial"/>
                <w:sz w:val="20"/>
                <w:szCs w:val="22"/>
                <w:lang w:val="es-CR" w:eastAsia="es-CR"/>
              </w:rPr>
              <w:t>₡1,966,909</w:t>
            </w:r>
          </w:p>
        </w:tc>
      </w:tr>
    </w:tbl>
    <w:p w:rsidR="00700F21" w:rsidRPr="00700F21" w:rsidRDefault="00700F21" w:rsidP="00700F21">
      <w:pPr>
        <w:ind w:left="720" w:right="474"/>
        <w:jc w:val="both"/>
        <w:rPr>
          <w:rFonts w:ascii="Arial" w:hAnsi="Arial" w:cs="Arial"/>
          <w:sz w:val="22"/>
          <w:szCs w:val="22"/>
          <w:lang w:val="es-CR" w:eastAsia="es-CR"/>
        </w:rPr>
      </w:pPr>
    </w:p>
    <w:p w:rsidR="00700F21" w:rsidRPr="00700F21" w:rsidRDefault="00700F21" w:rsidP="00700F21">
      <w:pPr>
        <w:rPr>
          <w:rFonts w:ascii="Arial" w:eastAsia="Cambria" w:hAnsi="Arial" w:cs="Arial"/>
          <w:b/>
          <w:lang w:eastAsia="en-US"/>
        </w:rPr>
      </w:pPr>
    </w:p>
    <w:p w:rsidR="00700F21" w:rsidRPr="00700F21" w:rsidRDefault="00700F21" w:rsidP="00700F21">
      <w:pPr>
        <w:numPr>
          <w:ilvl w:val="0"/>
          <w:numId w:val="18"/>
        </w:numPr>
        <w:pBdr>
          <w:top w:val="nil"/>
          <w:left w:val="nil"/>
          <w:bottom w:val="nil"/>
          <w:right w:val="nil"/>
          <w:between w:val="nil"/>
        </w:pBdr>
        <w:spacing w:after="160" w:line="259" w:lineRule="auto"/>
        <w:ind w:right="284"/>
        <w:jc w:val="both"/>
        <w:rPr>
          <w:rFonts w:ascii="Arial" w:eastAsia="Cambria" w:hAnsi="Arial" w:cs="Arial"/>
          <w:lang w:eastAsia="en-US"/>
        </w:rPr>
      </w:pPr>
      <w:r w:rsidRPr="00700F21">
        <w:rPr>
          <w:rFonts w:ascii="Arial" w:eastAsia="Cambria" w:hAnsi="Arial" w:cs="Arial"/>
          <w:lang w:eastAsia="en-US"/>
        </w:rPr>
        <w:t xml:space="preserve">La Comisión de Asuntos Académicos y Estudiantiles, en la reunión No. 617-2019, realizada 01 de marzo de 2019, analizó el oficio VIE-067-19, y dispuso elevar al pleno. </w:t>
      </w:r>
    </w:p>
    <w:p w:rsidR="00917157" w:rsidRDefault="00917157" w:rsidP="00700F21">
      <w:pPr>
        <w:rPr>
          <w:rFonts w:ascii="Arial" w:eastAsia="Cambria" w:hAnsi="Arial" w:cs="Arial"/>
          <w:b/>
          <w:lang w:val="es-ES_tradnl" w:eastAsia="en-US"/>
        </w:rPr>
      </w:pPr>
    </w:p>
    <w:p w:rsidR="00917157" w:rsidRDefault="00917157" w:rsidP="00700F21">
      <w:pPr>
        <w:rPr>
          <w:rFonts w:ascii="Arial" w:eastAsia="Cambria" w:hAnsi="Arial" w:cs="Arial"/>
          <w:b/>
          <w:lang w:val="es-ES_tradnl" w:eastAsia="en-US"/>
        </w:rPr>
      </w:pPr>
    </w:p>
    <w:p w:rsidR="00917157" w:rsidRDefault="00917157" w:rsidP="00700F21">
      <w:pPr>
        <w:rPr>
          <w:rFonts w:ascii="Arial" w:eastAsia="Cambria" w:hAnsi="Arial" w:cs="Arial"/>
          <w:b/>
          <w:lang w:val="es-ES_tradnl" w:eastAsia="en-US"/>
        </w:rPr>
      </w:pPr>
    </w:p>
    <w:p w:rsidR="00917157" w:rsidRDefault="00917157" w:rsidP="00700F21">
      <w:pPr>
        <w:rPr>
          <w:rFonts w:ascii="Arial" w:eastAsia="Cambria" w:hAnsi="Arial" w:cs="Arial"/>
          <w:b/>
          <w:lang w:val="es-ES_tradnl" w:eastAsia="en-US"/>
        </w:rPr>
      </w:pPr>
    </w:p>
    <w:p w:rsidR="00700F21" w:rsidRPr="00700F21" w:rsidRDefault="00700F21" w:rsidP="00700F21">
      <w:pPr>
        <w:rPr>
          <w:rFonts w:ascii="Arial" w:eastAsia="Cambria" w:hAnsi="Arial" w:cs="Arial"/>
          <w:b/>
          <w:lang w:val="es-ES_tradnl" w:eastAsia="en-US"/>
        </w:rPr>
      </w:pPr>
      <w:r w:rsidRPr="00700F21">
        <w:rPr>
          <w:rFonts w:ascii="Arial" w:eastAsia="Cambria" w:hAnsi="Arial" w:cs="Arial"/>
          <w:b/>
          <w:lang w:val="es-ES_tradnl" w:eastAsia="en-US"/>
        </w:rPr>
        <w:lastRenderedPageBreak/>
        <w:t>SE</w:t>
      </w:r>
      <w:r w:rsidR="008D5D01">
        <w:rPr>
          <w:rFonts w:ascii="Arial" w:eastAsia="Cambria" w:hAnsi="Arial" w:cs="Arial"/>
          <w:b/>
          <w:lang w:val="es-ES_tradnl" w:eastAsia="en-US"/>
        </w:rPr>
        <w:t xml:space="preserve"> ACUERDA</w:t>
      </w:r>
      <w:r w:rsidRPr="00700F21">
        <w:rPr>
          <w:rFonts w:ascii="Arial" w:eastAsia="Cambria" w:hAnsi="Arial" w:cs="Arial"/>
          <w:b/>
          <w:lang w:val="es-ES_tradnl" w:eastAsia="en-US"/>
        </w:rPr>
        <w:t>:</w:t>
      </w:r>
    </w:p>
    <w:p w:rsidR="00700F21" w:rsidRPr="00700F21" w:rsidRDefault="00700F21" w:rsidP="00700F21">
      <w:pPr>
        <w:rPr>
          <w:rFonts w:ascii="Cambria" w:eastAsia="Cambria" w:hAnsi="Cambria"/>
          <w:b/>
          <w:i/>
          <w:sz w:val="20"/>
          <w:szCs w:val="20"/>
          <w:lang w:val="es-ES_tradnl" w:eastAsia="en-US"/>
        </w:rPr>
      </w:pPr>
    </w:p>
    <w:p w:rsidR="00700F21" w:rsidRPr="00700F21" w:rsidRDefault="00700F21" w:rsidP="00A249F8">
      <w:pPr>
        <w:numPr>
          <w:ilvl w:val="0"/>
          <w:numId w:val="20"/>
        </w:numPr>
        <w:pBdr>
          <w:top w:val="nil"/>
          <w:left w:val="nil"/>
          <w:bottom w:val="nil"/>
          <w:right w:val="nil"/>
          <w:between w:val="nil"/>
        </w:pBdr>
        <w:tabs>
          <w:tab w:val="left" w:pos="426"/>
        </w:tabs>
        <w:spacing w:after="160" w:line="259" w:lineRule="auto"/>
        <w:ind w:left="426" w:right="474" w:hanging="426"/>
        <w:contextualSpacing/>
        <w:jc w:val="both"/>
        <w:rPr>
          <w:rFonts w:ascii="Arial" w:eastAsia="Calibri" w:hAnsi="Arial" w:cs="Arial"/>
          <w:lang w:val="es-CR"/>
        </w:rPr>
      </w:pPr>
      <w:r w:rsidRPr="00700F21">
        <w:rPr>
          <w:rFonts w:ascii="Arial" w:eastAsia="Calibri" w:hAnsi="Arial" w:cs="Arial"/>
          <w:lang w:val="es-CR"/>
        </w:rPr>
        <w:t xml:space="preserve">Crear el Programa de Investigación en Materiales Avanzados y Aplicaciones (PIMAA), adscrito a la Vicerrectoría de Investigación y Extensión. </w:t>
      </w:r>
    </w:p>
    <w:p w:rsidR="00700F21" w:rsidRPr="00700F21" w:rsidRDefault="00700F21" w:rsidP="00700F21">
      <w:pPr>
        <w:tabs>
          <w:tab w:val="left" w:pos="426"/>
        </w:tabs>
        <w:ind w:left="720" w:right="474"/>
        <w:contextualSpacing/>
        <w:jc w:val="both"/>
        <w:rPr>
          <w:rFonts w:ascii="Arial" w:eastAsia="Calibri" w:hAnsi="Arial" w:cs="Arial"/>
          <w:lang w:val="es-CR"/>
        </w:rPr>
      </w:pPr>
    </w:p>
    <w:p w:rsidR="00700F21" w:rsidRPr="00700F21" w:rsidRDefault="00700F21" w:rsidP="00A249F8">
      <w:pPr>
        <w:numPr>
          <w:ilvl w:val="0"/>
          <w:numId w:val="20"/>
        </w:numPr>
        <w:pBdr>
          <w:top w:val="nil"/>
          <w:left w:val="nil"/>
          <w:bottom w:val="nil"/>
          <w:right w:val="nil"/>
          <w:between w:val="nil"/>
        </w:pBdr>
        <w:tabs>
          <w:tab w:val="left" w:pos="426"/>
        </w:tabs>
        <w:spacing w:after="160" w:line="259" w:lineRule="auto"/>
        <w:ind w:left="426" w:right="474" w:hanging="426"/>
        <w:contextualSpacing/>
        <w:jc w:val="both"/>
        <w:rPr>
          <w:rFonts w:ascii="Arial" w:eastAsia="Calibri" w:hAnsi="Arial" w:cs="Arial"/>
          <w:lang w:val="es-CR"/>
        </w:rPr>
      </w:pPr>
      <w:r w:rsidRPr="00700F21">
        <w:rPr>
          <w:rFonts w:ascii="Arial" w:eastAsia="Calibri" w:hAnsi="Arial" w:cs="Arial"/>
          <w:lang w:val="es-CR"/>
        </w:rPr>
        <w:t>Eliminar el Programa</w:t>
      </w:r>
      <w:r w:rsidRPr="00700F21">
        <w:rPr>
          <w:rFonts w:ascii="Calibri" w:eastAsia="Calibri" w:hAnsi="Calibri" w:cs="Calibri"/>
          <w:color w:val="000000"/>
          <w:sz w:val="22"/>
          <w:szCs w:val="22"/>
          <w:lang w:val="es-CR" w:eastAsia="es-CR"/>
        </w:rPr>
        <w:t xml:space="preserve"> </w:t>
      </w:r>
      <w:r w:rsidRPr="00700F21">
        <w:rPr>
          <w:rFonts w:ascii="Arial" w:eastAsia="Calibri" w:hAnsi="Arial" w:cs="Arial"/>
          <w:lang w:val="es-CR"/>
        </w:rPr>
        <w:t>de Investigación en Nanotecnología, adscrito a la Vicerrectoría de Investigación y Extensión.</w:t>
      </w:r>
    </w:p>
    <w:p w:rsidR="00700F21" w:rsidRPr="00700F21" w:rsidRDefault="00700F21" w:rsidP="00700F21">
      <w:pPr>
        <w:tabs>
          <w:tab w:val="left" w:pos="426"/>
        </w:tabs>
        <w:ind w:left="720" w:right="474"/>
        <w:contextualSpacing/>
        <w:jc w:val="both"/>
        <w:rPr>
          <w:rFonts w:ascii="Arial" w:eastAsia="Calibri" w:hAnsi="Arial" w:cs="Arial"/>
          <w:lang w:val="es-CR"/>
        </w:rPr>
      </w:pPr>
    </w:p>
    <w:p w:rsidR="00700F21" w:rsidRPr="00700F21" w:rsidRDefault="00700F21" w:rsidP="00A249F8">
      <w:pPr>
        <w:numPr>
          <w:ilvl w:val="0"/>
          <w:numId w:val="20"/>
        </w:numPr>
        <w:pBdr>
          <w:top w:val="nil"/>
          <w:left w:val="nil"/>
          <w:bottom w:val="nil"/>
          <w:right w:val="nil"/>
          <w:between w:val="nil"/>
        </w:pBdr>
        <w:tabs>
          <w:tab w:val="left" w:pos="426"/>
        </w:tabs>
        <w:spacing w:after="160" w:line="259" w:lineRule="auto"/>
        <w:ind w:left="426" w:right="474" w:hanging="426"/>
        <w:contextualSpacing/>
        <w:jc w:val="both"/>
        <w:rPr>
          <w:rFonts w:ascii="Arial" w:eastAsia="Calibri" w:hAnsi="Arial" w:cs="Arial"/>
          <w:lang w:val="es-CR"/>
        </w:rPr>
      </w:pPr>
      <w:r w:rsidRPr="00700F21">
        <w:rPr>
          <w:rFonts w:ascii="Arial" w:eastAsia="Calibri" w:hAnsi="Arial" w:cs="Arial"/>
          <w:lang w:val="es-CR"/>
        </w:rPr>
        <w:t xml:space="preserve">Solicitar a la Administración que, en aplicación del debido proceso, determine si cabe el señalamiento de responsabilidades a alguna de las personas que tuvieron participación en el Programa de Investigación en Nanotecnología y en la generación de las causas que motivaron el cierre del programa. Se solicita a la Administración informe sobre lo actuado en un plazo de 60 días. </w:t>
      </w:r>
    </w:p>
    <w:p w:rsidR="00700F21" w:rsidRPr="00700F21" w:rsidRDefault="00700F21" w:rsidP="00700F21">
      <w:pPr>
        <w:tabs>
          <w:tab w:val="left" w:pos="426"/>
        </w:tabs>
        <w:ind w:right="474"/>
        <w:contextualSpacing/>
        <w:jc w:val="both"/>
        <w:rPr>
          <w:rFonts w:ascii="Arial" w:eastAsia="Calibri" w:hAnsi="Arial" w:cs="Arial"/>
          <w:lang w:val="es-CR"/>
        </w:rPr>
      </w:pPr>
    </w:p>
    <w:p w:rsidR="00700F21" w:rsidRDefault="00700F21" w:rsidP="00A249F8">
      <w:pPr>
        <w:numPr>
          <w:ilvl w:val="0"/>
          <w:numId w:val="20"/>
        </w:numPr>
        <w:pBdr>
          <w:top w:val="nil"/>
          <w:left w:val="nil"/>
          <w:bottom w:val="nil"/>
          <w:right w:val="nil"/>
          <w:between w:val="nil"/>
        </w:pBdr>
        <w:tabs>
          <w:tab w:val="left" w:pos="426"/>
        </w:tabs>
        <w:spacing w:after="160" w:line="259" w:lineRule="auto"/>
        <w:ind w:left="426" w:right="474" w:hanging="426"/>
        <w:contextualSpacing/>
        <w:jc w:val="both"/>
        <w:rPr>
          <w:rFonts w:ascii="Arial" w:eastAsia="Calibri" w:hAnsi="Arial" w:cs="Arial"/>
          <w:lang w:val="es-CR"/>
        </w:rPr>
      </w:pPr>
      <w:r w:rsidRPr="00700F21">
        <w:rPr>
          <w:rFonts w:ascii="Arial" w:eastAsia="Calibri" w:hAnsi="Arial" w:cs="Arial"/>
          <w:lang w:val="es-CR"/>
        </w:rPr>
        <w:t>Indicar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w:t>
      </w:r>
    </w:p>
    <w:p w:rsidR="00917157" w:rsidRPr="00700F21" w:rsidRDefault="00917157" w:rsidP="00917157">
      <w:pPr>
        <w:pBdr>
          <w:top w:val="nil"/>
          <w:left w:val="nil"/>
          <w:bottom w:val="nil"/>
          <w:right w:val="nil"/>
          <w:between w:val="nil"/>
        </w:pBdr>
        <w:tabs>
          <w:tab w:val="left" w:pos="426"/>
        </w:tabs>
        <w:spacing w:after="160" w:line="259" w:lineRule="auto"/>
        <w:ind w:right="474"/>
        <w:contextualSpacing/>
        <w:jc w:val="both"/>
        <w:rPr>
          <w:rFonts w:ascii="Arial" w:eastAsia="Calibri" w:hAnsi="Arial" w:cs="Arial"/>
          <w:lang w:val="es-CR"/>
        </w:rPr>
      </w:pPr>
    </w:p>
    <w:p w:rsidR="00917157" w:rsidRPr="00B8093F" w:rsidRDefault="00917157" w:rsidP="00A249F8">
      <w:pPr>
        <w:numPr>
          <w:ilvl w:val="0"/>
          <w:numId w:val="20"/>
        </w:numPr>
        <w:pBdr>
          <w:top w:val="nil"/>
          <w:left w:val="nil"/>
          <w:bottom w:val="nil"/>
          <w:right w:val="nil"/>
          <w:between w:val="nil"/>
        </w:pBdr>
        <w:tabs>
          <w:tab w:val="left" w:pos="426"/>
        </w:tabs>
        <w:spacing w:after="160" w:line="259" w:lineRule="auto"/>
        <w:ind w:left="426" w:right="474" w:hanging="426"/>
        <w:contextualSpacing/>
        <w:jc w:val="both"/>
        <w:rPr>
          <w:rFonts w:ascii="Arial" w:hAnsi="Arial" w:cs="Arial"/>
        </w:rPr>
      </w:pPr>
      <w:r>
        <w:rPr>
          <w:rFonts w:ascii="Arial" w:hAnsi="Arial" w:cs="Arial"/>
          <w:b/>
          <w:lang w:val="es-CR"/>
        </w:rPr>
        <w:t>ACUERDO FIRME.</w:t>
      </w:r>
    </w:p>
    <w:p w:rsidR="00700F21" w:rsidRPr="00700F21" w:rsidRDefault="00700F21" w:rsidP="00700F21">
      <w:pPr>
        <w:tabs>
          <w:tab w:val="left" w:pos="426"/>
        </w:tabs>
        <w:ind w:right="474"/>
        <w:contextualSpacing/>
        <w:jc w:val="both"/>
        <w:rPr>
          <w:rFonts w:ascii="Arial" w:eastAsia="Calibri" w:hAnsi="Arial" w:cs="Arial"/>
          <w:lang w:val="es-CR"/>
        </w:rPr>
      </w:pPr>
    </w:p>
    <w:p w:rsidR="00700F21" w:rsidRPr="00700F21" w:rsidRDefault="00700F21" w:rsidP="00700F21">
      <w:pPr>
        <w:pBdr>
          <w:top w:val="nil"/>
          <w:left w:val="nil"/>
          <w:bottom w:val="nil"/>
          <w:right w:val="nil"/>
          <w:between w:val="nil"/>
        </w:pBdr>
        <w:rPr>
          <w:rFonts w:ascii="Arial" w:eastAsia="Calibri" w:hAnsi="Arial" w:cs="Arial"/>
          <w:color w:val="000000"/>
          <w:lang w:val="es-CR" w:eastAsia="es-CR"/>
        </w:rPr>
      </w:pPr>
    </w:p>
    <w:p w:rsidR="00700F21" w:rsidRPr="00700F21" w:rsidRDefault="00700F21" w:rsidP="00700F21">
      <w:pPr>
        <w:pBdr>
          <w:top w:val="nil"/>
          <w:left w:val="nil"/>
          <w:bottom w:val="nil"/>
          <w:right w:val="nil"/>
          <w:between w:val="nil"/>
        </w:pBdr>
        <w:ind w:right="284"/>
        <w:jc w:val="both"/>
        <w:rPr>
          <w:rFonts w:ascii="Arial" w:eastAsia="Calibri" w:hAnsi="Arial" w:cs="Arial"/>
          <w:color w:val="000000"/>
          <w:lang w:val="es-CR" w:eastAsia="es-CR"/>
        </w:rPr>
      </w:pPr>
    </w:p>
    <w:p w:rsidR="00885DF1" w:rsidRPr="00A249F8" w:rsidRDefault="00700F21" w:rsidP="00A249F8">
      <w:pPr>
        <w:pBdr>
          <w:top w:val="nil"/>
          <w:left w:val="nil"/>
          <w:bottom w:val="nil"/>
          <w:right w:val="nil"/>
          <w:between w:val="nil"/>
        </w:pBdr>
        <w:spacing w:after="160" w:line="259" w:lineRule="auto"/>
        <w:ind w:left="1843" w:hanging="1843"/>
        <w:jc w:val="both"/>
        <w:rPr>
          <w:rFonts w:ascii="Arial" w:eastAsia="Calibri" w:hAnsi="Arial" w:cs="Arial"/>
          <w:b/>
          <w:color w:val="000000"/>
          <w:sz w:val="22"/>
          <w:szCs w:val="22"/>
          <w:lang w:val="es-CR" w:eastAsia="es-CR"/>
        </w:rPr>
      </w:pPr>
      <w:r w:rsidRPr="00700F21">
        <w:rPr>
          <w:rFonts w:ascii="Arial" w:eastAsia="Calibri" w:hAnsi="Arial" w:cs="Arial"/>
          <w:b/>
          <w:color w:val="000000"/>
          <w:sz w:val="22"/>
          <w:szCs w:val="22"/>
          <w:lang w:val="es-CR" w:eastAsia="es-CR"/>
        </w:rPr>
        <w:t>Palabras Clave: Creación PIMAA-</w:t>
      </w:r>
      <w:r w:rsidRPr="00700F21">
        <w:rPr>
          <w:rFonts w:ascii="Arial" w:eastAsia="Calibri" w:hAnsi="Arial" w:cs="Arial"/>
          <w:b/>
          <w:sz w:val="22"/>
          <w:szCs w:val="22"/>
          <w:lang w:val="es-CR" w:eastAsia="es-CR"/>
        </w:rPr>
        <w:t>Eliminación</w:t>
      </w:r>
      <w:r w:rsidRPr="00700F21">
        <w:rPr>
          <w:rFonts w:ascii="Arial" w:eastAsia="Calibri" w:hAnsi="Arial" w:cs="Arial"/>
          <w:color w:val="000000"/>
          <w:sz w:val="22"/>
          <w:szCs w:val="22"/>
          <w:lang w:val="es-CR" w:eastAsia="es-CR"/>
        </w:rPr>
        <w:t xml:space="preserve"> </w:t>
      </w:r>
      <w:r w:rsidRPr="00700F21">
        <w:rPr>
          <w:rFonts w:ascii="Arial" w:eastAsia="Calibri" w:hAnsi="Arial" w:cs="Arial"/>
          <w:b/>
          <w:color w:val="000000"/>
          <w:sz w:val="22"/>
          <w:szCs w:val="22"/>
          <w:lang w:val="es-CR" w:eastAsia="es-CR"/>
        </w:rPr>
        <w:t xml:space="preserve">-Programa-Nanotecnología </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Default="00C413F4" w:rsidP="00F41044">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r w:rsidR="00917157" w:rsidRPr="00700F21">
        <w:rPr>
          <w:rFonts w:ascii="Arial" w:hAnsi="Arial" w:cs="Arial"/>
          <w:b/>
          <w:sz w:val="16"/>
          <w:szCs w:val="16"/>
        </w:rPr>
        <w:t xml:space="preserve">Dr. Jorge Cubero </w:t>
      </w:r>
      <w:proofErr w:type="spellStart"/>
      <w:r w:rsidR="00917157" w:rsidRPr="00700F21">
        <w:rPr>
          <w:rFonts w:ascii="Arial" w:hAnsi="Arial" w:cs="Arial"/>
          <w:b/>
          <w:sz w:val="16"/>
          <w:szCs w:val="16"/>
        </w:rPr>
        <w:t>Sesin</w:t>
      </w:r>
      <w:proofErr w:type="spellEnd"/>
      <w:r w:rsidR="00917157" w:rsidRPr="00700F21">
        <w:rPr>
          <w:rFonts w:ascii="Arial" w:hAnsi="Arial" w:cs="Arial"/>
          <w:b/>
          <w:sz w:val="16"/>
          <w:szCs w:val="16"/>
        </w:rPr>
        <w:t>, Profesor de la Escuela de Ciencia en Ingeniería de los Materiales</w:t>
      </w:r>
    </w:p>
    <w:p w:rsidR="000077CC" w:rsidRDefault="000077CC" w:rsidP="00F41044">
      <w:pPr>
        <w:jc w:val="both"/>
        <w:rPr>
          <w:rFonts w:ascii="Arial" w:hAnsi="Arial" w:cs="Arial"/>
          <w:b/>
          <w:sz w:val="16"/>
          <w:szCs w:val="16"/>
        </w:rPr>
      </w:pPr>
      <w:r>
        <w:rPr>
          <w:rFonts w:ascii="Arial" w:hAnsi="Arial" w:cs="Arial"/>
          <w:b/>
          <w:sz w:val="16"/>
          <w:szCs w:val="16"/>
        </w:rPr>
        <w:t xml:space="preserve">          Escuela Ingeniería en Construcción</w:t>
      </w:r>
    </w:p>
    <w:p w:rsidR="000077CC" w:rsidRDefault="000077CC" w:rsidP="00F41044">
      <w:pPr>
        <w:jc w:val="both"/>
        <w:rPr>
          <w:rFonts w:ascii="Arial" w:hAnsi="Arial" w:cs="Arial"/>
          <w:b/>
          <w:sz w:val="16"/>
          <w:szCs w:val="16"/>
        </w:rPr>
      </w:pPr>
      <w:r>
        <w:rPr>
          <w:rFonts w:ascii="Arial" w:hAnsi="Arial" w:cs="Arial"/>
          <w:b/>
          <w:sz w:val="16"/>
          <w:szCs w:val="16"/>
        </w:rPr>
        <w:t xml:space="preserve">          Escuela Diseño Industrial</w:t>
      </w:r>
    </w:p>
    <w:p w:rsidR="000077CC" w:rsidRDefault="000077CC" w:rsidP="00F41044">
      <w:pPr>
        <w:jc w:val="both"/>
        <w:rPr>
          <w:rFonts w:ascii="Arial" w:hAnsi="Arial" w:cs="Arial"/>
          <w:b/>
          <w:sz w:val="16"/>
          <w:szCs w:val="16"/>
        </w:rPr>
      </w:pPr>
      <w:r>
        <w:rPr>
          <w:rFonts w:ascii="Arial" w:hAnsi="Arial" w:cs="Arial"/>
          <w:b/>
          <w:sz w:val="16"/>
          <w:szCs w:val="16"/>
        </w:rPr>
        <w:t xml:space="preserve">          Escuela de Biología</w:t>
      </w:r>
    </w:p>
    <w:p w:rsidR="000077CC" w:rsidRDefault="000077CC" w:rsidP="00F41044">
      <w:pPr>
        <w:jc w:val="both"/>
        <w:rPr>
          <w:rFonts w:ascii="Arial" w:hAnsi="Arial" w:cs="Arial"/>
          <w:b/>
          <w:sz w:val="16"/>
          <w:szCs w:val="16"/>
        </w:rPr>
      </w:pPr>
      <w:r>
        <w:rPr>
          <w:rFonts w:ascii="Arial" w:hAnsi="Arial" w:cs="Arial"/>
          <w:b/>
          <w:sz w:val="16"/>
          <w:szCs w:val="16"/>
        </w:rPr>
        <w:t xml:space="preserve">          Escuela Ingeniería en Producción</w:t>
      </w:r>
    </w:p>
    <w:p w:rsidR="000077CC" w:rsidRDefault="000077CC" w:rsidP="00F41044">
      <w:pPr>
        <w:jc w:val="both"/>
        <w:rPr>
          <w:rFonts w:ascii="Arial" w:hAnsi="Arial" w:cs="Arial"/>
          <w:b/>
          <w:sz w:val="16"/>
          <w:szCs w:val="16"/>
        </w:rPr>
      </w:pPr>
      <w:r>
        <w:rPr>
          <w:rFonts w:ascii="Arial" w:hAnsi="Arial" w:cs="Arial"/>
          <w:b/>
          <w:sz w:val="16"/>
          <w:szCs w:val="16"/>
        </w:rPr>
        <w:t xml:space="preserve">          Escuela de Química</w:t>
      </w:r>
    </w:p>
    <w:p w:rsidR="000077CC" w:rsidRDefault="000077CC" w:rsidP="00F41044">
      <w:pPr>
        <w:jc w:val="both"/>
        <w:rPr>
          <w:rFonts w:ascii="Arial" w:hAnsi="Arial" w:cs="Arial"/>
          <w:b/>
          <w:sz w:val="16"/>
          <w:szCs w:val="16"/>
        </w:rPr>
      </w:pPr>
      <w:r>
        <w:rPr>
          <w:rFonts w:ascii="Arial" w:hAnsi="Arial" w:cs="Arial"/>
          <w:b/>
          <w:sz w:val="16"/>
          <w:szCs w:val="16"/>
        </w:rPr>
        <w:t xml:space="preserve">          Escuela de Física</w:t>
      </w:r>
    </w:p>
    <w:p w:rsidR="000077CC" w:rsidRDefault="000077CC" w:rsidP="00F41044">
      <w:pPr>
        <w:jc w:val="both"/>
        <w:rPr>
          <w:rFonts w:ascii="Arial" w:hAnsi="Arial" w:cs="Arial"/>
          <w:b/>
          <w:sz w:val="16"/>
          <w:szCs w:val="16"/>
        </w:rPr>
      </w:pPr>
      <w:r>
        <w:rPr>
          <w:rFonts w:ascii="Arial" w:hAnsi="Arial" w:cs="Arial"/>
          <w:b/>
          <w:sz w:val="16"/>
          <w:szCs w:val="16"/>
        </w:rPr>
        <w:t xml:space="preserve">          Centro de Investigación en Biotecnología (CIB)</w:t>
      </w:r>
    </w:p>
    <w:p w:rsidR="000077CC" w:rsidRDefault="000077CC" w:rsidP="00F41044">
      <w:pPr>
        <w:jc w:val="both"/>
        <w:rPr>
          <w:rFonts w:ascii="Arial" w:hAnsi="Arial" w:cs="Arial"/>
          <w:b/>
          <w:sz w:val="16"/>
          <w:szCs w:val="16"/>
        </w:rPr>
      </w:pPr>
      <w:r>
        <w:rPr>
          <w:rFonts w:ascii="Arial" w:hAnsi="Arial" w:cs="Arial"/>
          <w:b/>
          <w:sz w:val="16"/>
          <w:szCs w:val="16"/>
        </w:rPr>
        <w:t xml:space="preserve">          Centro de Investigación en Innovación Forestal (CIF)</w:t>
      </w:r>
    </w:p>
    <w:p w:rsidR="000077CC" w:rsidRDefault="000077CC" w:rsidP="00F41044">
      <w:pPr>
        <w:jc w:val="both"/>
        <w:rPr>
          <w:rFonts w:ascii="Arial" w:hAnsi="Arial" w:cs="Arial"/>
          <w:b/>
          <w:sz w:val="16"/>
          <w:szCs w:val="16"/>
        </w:rPr>
      </w:pPr>
      <w:r>
        <w:rPr>
          <w:rFonts w:ascii="Arial" w:hAnsi="Arial" w:cs="Arial"/>
          <w:b/>
          <w:sz w:val="16"/>
          <w:szCs w:val="16"/>
        </w:rPr>
        <w:t xml:space="preserve">          Centro de Investigación en Protección Ambiental (CIPA)</w:t>
      </w:r>
    </w:p>
    <w:p w:rsidR="000077CC" w:rsidRDefault="000077CC" w:rsidP="00F41044">
      <w:pPr>
        <w:jc w:val="both"/>
        <w:rPr>
          <w:rFonts w:ascii="Arial" w:hAnsi="Arial" w:cs="Arial"/>
          <w:b/>
          <w:sz w:val="16"/>
          <w:szCs w:val="16"/>
        </w:rPr>
      </w:pPr>
      <w:r>
        <w:rPr>
          <w:rFonts w:ascii="Arial" w:hAnsi="Arial" w:cs="Arial"/>
          <w:b/>
          <w:sz w:val="16"/>
          <w:szCs w:val="16"/>
        </w:rPr>
        <w:t xml:space="preserve">          Centro de Investigación de Vivienda y Urbanismo (CIVCO)</w:t>
      </w:r>
    </w:p>
    <w:p w:rsidR="000077CC" w:rsidRDefault="000077CC" w:rsidP="00F41044">
      <w:pPr>
        <w:jc w:val="both"/>
        <w:rPr>
          <w:rFonts w:ascii="Arial" w:hAnsi="Arial" w:cs="Arial"/>
          <w:b/>
          <w:sz w:val="16"/>
          <w:szCs w:val="16"/>
        </w:rPr>
      </w:pPr>
      <w:r>
        <w:rPr>
          <w:rFonts w:ascii="Arial" w:hAnsi="Arial" w:cs="Arial"/>
          <w:b/>
          <w:sz w:val="16"/>
          <w:szCs w:val="16"/>
        </w:rPr>
        <w:t xml:space="preserve">          Laboratorio SIMTEC, Escuela de Ingeniería en Producción Industrial</w:t>
      </w:r>
    </w:p>
    <w:p w:rsidR="000077CC" w:rsidRDefault="000077CC" w:rsidP="00F41044">
      <w:pPr>
        <w:jc w:val="both"/>
        <w:rPr>
          <w:rFonts w:ascii="Arial" w:hAnsi="Arial" w:cs="Arial"/>
          <w:b/>
          <w:sz w:val="16"/>
          <w:szCs w:val="16"/>
        </w:rPr>
      </w:pPr>
      <w:r>
        <w:rPr>
          <w:rFonts w:ascii="Arial" w:hAnsi="Arial" w:cs="Arial"/>
          <w:b/>
          <w:sz w:val="16"/>
          <w:szCs w:val="16"/>
        </w:rPr>
        <w:t xml:space="preserve">          Laboratorio de Plasmas para Energía de Fusión y Aplicaciones (PLASMATEC)</w:t>
      </w:r>
    </w:p>
    <w:p w:rsidR="000077CC" w:rsidRPr="000077CC" w:rsidRDefault="000077CC" w:rsidP="00F41044">
      <w:pPr>
        <w:jc w:val="both"/>
        <w:rPr>
          <w:rFonts w:ascii="Arial" w:hAnsi="Arial" w:cs="Arial"/>
          <w:b/>
          <w:sz w:val="16"/>
          <w:szCs w:val="16"/>
        </w:rPr>
      </w:pPr>
      <w:r>
        <w:rPr>
          <w:rFonts w:ascii="Arial" w:hAnsi="Arial" w:cs="Arial"/>
          <w:b/>
          <w:sz w:val="16"/>
          <w:szCs w:val="16"/>
        </w:rPr>
        <w:t xml:space="preserve">          Laboratori</w:t>
      </w:r>
      <w:bookmarkStart w:id="0" w:name="_GoBack"/>
      <w:bookmarkEnd w:id="0"/>
      <w:r>
        <w:rPr>
          <w:rFonts w:ascii="Arial" w:hAnsi="Arial" w:cs="Arial"/>
          <w:b/>
          <w:sz w:val="16"/>
          <w:szCs w:val="16"/>
        </w:rPr>
        <w:t>o Ergo TEC</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A5D" w:rsidRDefault="00196A5D">
      <w:r>
        <w:separator/>
      </w:r>
    </w:p>
  </w:endnote>
  <w:endnote w:type="continuationSeparator" w:id="0">
    <w:p w:rsidR="00196A5D" w:rsidRDefault="00196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A5D" w:rsidRDefault="00196A5D">
      <w:r>
        <w:separator/>
      </w:r>
    </w:p>
  </w:footnote>
  <w:footnote w:type="continuationSeparator" w:id="0">
    <w:p w:rsidR="00196A5D" w:rsidRDefault="00196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10</w:t>
    </w:r>
    <w:r w:rsidR="00C70F02">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C70F02">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C70F02">
      <w:rPr>
        <w:rFonts w:ascii="Arial" w:eastAsia="Cambria" w:hAnsi="Arial" w:cs="Arial"/>
        <w:i/>
        <w:sz w:val="18"/>
        <w:szCs w:val="18"/>
        <w:lang w:val="es-ES_tradnl" w:eastAsia="x-none"/>
      </w:rPr>
      <w:t xml:space="preserve">06 de marzo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077CC">
      <w:rPr>
        <w:rFonts w:ascii="Arial" w:eastAsia="Cambria" w:hAnsi="Arial" w:cs="Arial"/>
        <w:i/>
        <w:noProof/>
        <w:sz w:val="18"/>
        <w:szCs w:val="18"/>
        <w:lang w:val="es-ES_tradnl" w:eastAsia="x-none"/>
      </w:rPr>
      <w:t>9</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0A4471F4"/>
    <w:multiLevelType w:val="hybridMultilevel"/>
    <w:tmpl w:val="E758C4EE"/>
    <w:lvl w:ilvl="0" w:tplc="48044DBE">
      <w:start w:val="1"/>
      <w:numFmt w:val="low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5"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F9E165C"/>
    <w:multiLevelType w:val="hybridMultilevel"/>
    <w:tmpl w:val="7F06A8B0"/>
    <w:lvl w:ilvl="0" w:tplc="2E7EE604">
      <w:start w:val="1"/>
      <w:numFmt w:val="decimal"/>
      <w:lvlText w:val="%1."/>
      <w:lvlJc w:val="left"/>
      <w:pPr>
        <w:tabs>
          <w:tab w:val="num" w:pos="360"/>
        </w:tabs>
        <w:ind w:left="360" w:hanging="360"/>
      </w:pPr>
      <w:rPr>
        <w:rFonts w:ascii="Arial" w:hAnsi="Arial" w:cs="Arial" w:hint="default"/>
        <w:b/>
        <w:i w:val="0"/>
        <w:sz w:val="22"/>
        <w:szCs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0727F47"/>
    <w:multiLevelType w:val="hybridMultilevel"/>
    <w:tmpl w:val="BACA8EB6"/>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9"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2994E48"/>
    <w:multiLevelType w:val="hybridMultilevel"/>
    <w:tmpl w:val="E6CCC99C"/>
    <w:lvl w:ilvl="0" w:tplc="08867EB8">
      <w:start w:val="1"/>
      <w:numFmt w:val="decimal"/>
      <w:lvlText w:val="%1."/>
      <w:lvlJc w:val="left"/>
      <w:pPr>
        <w:ind w:left="360" w:hanging="360"/>
      </w:pPr>
      <w:rPr>
        <w:b/>
      </w:rPr>
    </w:lvl>
    <w:lvl w:ilvl="1" w:tplc="140A0001">
      <w:start w:val="1"/>
      <w:numFmt w:val="bullet"/>
      <w:lvlText w:val=""/>
      <w:lvlJc w:val="left"/>
      <w:pPr>
        <w:ind w:left="1080" w:hanging="360"/>
      </w:pPr>
      <w:rPr>
        <w:rFonts w:ascii="Symbol" w:hAnsi="Symbol" w:hint="default"/>
      </w:rPr>
    </w:lvl>
    <w:lvl w:ilvl="2" w:tplc="140A001B">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4A03B7C"/>
    <w:multiLevelType w:val="multilevel"/>
    <w:tmpl w:val="034E4A26"/>
    <w:lvl w:ilvl="0">
      <w:start w:val="1"/>
      <w:numFmt w:val="decimal"/>
      <w:lvlText w:val="%1."/>
      <w:lvlJc w:val="left"/>
      <w:pPr>
        <w:ind w:left="360" w:hanging="360"/>
      </w:pPr>
      <w:rPr>
        <w:rFonts w:ascii="Arial" w:eastAsia="Arial" w:hAnsi="Arial" w:cs="Arial"/>
        <w:b/>
        <w:i w:val="0"/>
        <w:sz w:val="24"/>
        <w:szCs w:val="24"/>
      </w:rPr>
    </w:lvl>
    <w:lvl w:ilvl="1">
      <w:start w:val="1"/>
      <w:numFmt w:val="lowerLetter"/>
      <w:lvlText w:val="%2."/>
      <w:lvlJc w:val="left"/>
      <w:pPr>
        <w:ind w:left="928" w:hanging="360"/>
      </w:pPr>
      <w:rPr>
        <w:rFonts w:ascii="Arial" w:hAnsi="Arial" w:cs="Arial" w:hint="default"/>
        <w:sz w:val="24"/>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20" w15:restartNumberingAfterBreak="0">
    <w:nsid w:val="5D0716CB"/>
    <w:multiLevelType w:val="hybridMultilevel"/>
    <w:tmpl w:val="C0B0B6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44B251C"/>
    <w:multiLevelType w:val="hybridMultilevel"/>
    <w:tmpl w:val="C0B0B63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75255FC6"/>
    <w:multiLevelType w:val="hybridMultilevel"/>
    <w:tmpl w:val="EF1A3CE0"/>
    <w:lvl w:ilvl="0" w:tplc="140A0019">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BBE0835"/>
    <w:multiLevelType w:val="hybridMultilevel"/>
    <w:tmpl w:val="2628111E"/>
    <w:lvl w:ilvl="0" w:tplc="5E0A0772">
      <w:start w:val="2"/>
      <w:numFmt w:val="lowerLetter"/>
      <w:lvlText w:val="%1)"/>
      <w:lvlJc w:val="left"/>
      <w:pPr>
        <w:ind w:left="360" w:hanging="360"/>
      </w:pPr>
      <w:rPr>
        <w:rFonts w:ascii="Arial" w:hAnsi="Arial" w:cs="Arial" w:hint="default"/>
        <w:b/>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D561769"/>
    <w:multiLevelType w:val="hybridMultilevel"/>
    <w:tmpl w:val="61E4E032"/>
    <w:lvl w:ilvl="0" w:tplc="17B85E66">
      <w:start w:val="1"/>
      <w:numFmt w:val="decimal"/>
      <w:lvlText w:val="%1."/>
      <w:lvlJc w:val="left"/>
      <w:pPr>
        <w:tabs>
          <w:tab w:val="num" w:pos="360"/>
        </w:tabs>
        <w:ind w:left="360" w:hanging="360"/>
      </w:pPr>
      <w:rPr>
        <w:rFonts w:ascii="Arial" w:hAnsi="Arial" w:cs="Arial" w:hint="default"/>
        <w:b/>
        <w:i w:val="0"/>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7"/>
  </w:num>
  <w:num w:numId="7">
    <w:abstractNumId w:val="16"/>
  </w:num>
  <w:num w:numId="8">
    <w:abstractNumId w:val="17"/>
  </w:num>
  <w:num w:numId="9">
    <w:abstractNumId w:val="11"/>
  </w:num>
  <w:num w:numId="10">
    <w:abstractNumId w:val="12"/>
  </w:num>
  <w:num w:numId="11">
    <w:abstractNumId w:val="21"/>
  </w:num>
  <w:num w:numId="12">
    <w:abstractNumId w:val="10"/>
  </w:num>
  <w:num w:numId="13">
    <w:abstractNumId w:val="3"/>
  </w:num>
  <w:num w:numId="14">
    <w:abstractNumId w:val="22"/>
  </w:num>
  <w:num w:numId="15">
    <w:abstractNumId w:val="14"/>
  </w:num>
  <w:num w:numId="16">
    <w:abstractNumId w:val="15"/>
  </w:num>
  <w:num w:numId="17">
    <w:abstractNumId w:val="6"/>
  </w:num>
  <w:num w:numId="18">
    <w:abstractNumId w:val="26"/>
  </w:num>
  <w:num w:numId="19">
    <w:abstractNumId w:val="2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3"/>
  </w:num>
  <w:num w:numId="23">
    <w:abstractNumId w:val="1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5"/>
  </w:num>
  <w:num w:numId="27">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F7671"/>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E2C4A-D730-4A9E-8DE3-A3E38513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10</Pages>
  <Words>3962</Words>
  <Characters>21793</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105</cp:revision>
  <cp:lastPrinted>2019-01-30T20:35:00Z</cp:lastPrinted>
  <dcterms:created xsi:type="dcterms:W3CDTF">2018-05-02T21:37:00Z</dcterms:created>
  <dcterms:modified xsi:type="dcterms:W3CDTF">2019-03-06T21:16:00Z</dcterms:modified>
</cp:coreProperties>
</file>