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73CB5">
        <w:rPr>
          <w:rFonts w:ascii="Arial" w:hAnsi="Arial" w:cs="Arial"/>
          <w:b/>
          <w:bCs/>
          <w:iCs/>
          <w:sz w:val="26"/>
          <w:szCs w:val="22"/>
          <w:lang w:val="es-CR"/>
        </w:rPr>
        <w:t>198</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p>
          <w:p w:rsidR="00337E83" w:rsidRPr="00337E83" w:rsidRDefault="00337E83" w:rsidP="00337E83">
            <w:pPr>
              <w:autoSpaceDE w:val="0"/>
              <w:autoSpaceDN w:val="0"/>
              <w:adjustRightInd w:val="0"/>
              <w:ind w:right="-91"/>
              <w:jc w:val="both"/>
              <w:rPr>
                <w:rFonts w:ascii="Arial" w:eastAsia="Cambria" w:hAnsi="Arial" w:cs="Arial"/>
                <w:sz w:val="22"/>
                <w:szCs w:val="22"/>
                <w:lang w:eastAsia="en-US"/>
              </w:rPr>
            </w:pPr>
            <w:r w:rsidRPr="00337E83">
              <w:rPr>
                <w:rFonts w:ascii="Arial" w:eastAsia="Cambria" w:hAnsi="Arial" w:cs="Arial"/>
                <w:sz w:val="22"/>
                <w:szCs w:val="22"/>
                <w:lang w:eastAsia="en-US"/>
              </w:rPr>
              <w:t>Señores Comisión Permanente Ordinaria de Asuntos Económicos</w:t>
            </w:r>
            <w:r>
              <w:rPr>
                <w:rFonts w:ascii="Arial" w:eastAsia="Cambria" w:hAnsi="Arial" w:cs="Arial"/>
                <w:sz w:val="22"/>
                <w:szCs w:val="22"/>
                <w:lang w:eastAsia="en-US"/>
              </w:rPr>
              <w:t>, Asamblea Legislativa</w:t>
            </w:r>
          </w:p>
          <w:p w:rsidR="004767B5" w:rsidRPr="00337E83" w:rsidRDefault="004767B5" w:rsidP="00456ABA">
            <w:pPr>
              <w:jc w:val="both"/>
              <w:rPr>
                <w:rFonts w:ascii="Arial" w:eastAsia="Cambria" w:hAnsi="Arial" w:cs="Arial"/>
                <w:sz w:val="22"/>
                <w:szCs w:val="22"/>
                <w:lang w:eastAsia="en-US"/>
              </w:rPr>
            </w:pPr>
          </w:p>
          <w:p w:rsidR="00BE62EA" w:rsidRPr="00F548D2" w:rsidRDefault="00BE62EA" w:rsidP="008F6C51">
            <w:pPr>
              <w:ind w:left="45"/>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337E83" w:rsidRDefault="00653158" w:rsidP="00337E8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337E83" w:rsidRPr="008E0D8C">
              <w:rPr>
                <w:rFonts w:ascii="Arial" w:eastAsia="Cambria" w:hAnsi="Arial" w:cs="Arial"/>
                <w:sz w:val="22"/>
                <w:szCs w:val="22"/>
                <w:lang w:val="es-ES_tradnl" w:eastAsia="en-US"/>
              </w:rPr>
              <w:t xml:space="preserve">, </w:t>
            </w:r>
            <w:r w:rsidR="00337E83">
              <w:rPr>
                <w:rFonts w:ascii="Arial" w:eastAsia="Cambria" w:hAnsi="Arial" w:cs="Arial"/>
                <w:sz w:val="22"/>
                <w:szCs w:val="22"/>
                <w:lang w:val="es-ES_tradnl" w:eastAsia="en-US"/>
              </w:rPr>
              <w:t>Presidente</w:t>
            </w:r>
            <w:r>
              <w:rPr>
                <w:rFonts w:ascii="Arial" w:eastAsia="Cambria" w:hAnsi="Arial" w:cs="Arial"/>
                <w:sz w:val="22"/>
                <w:szCs w:val="22"/>
                <w:lang w:val="es-ES_tradnl" w:eastAsia="en-US"/>
              </w:rPr>
              <w:t xml:space="preserve"> a.i.</w:t>
            </w:r>
            <w:bookmarkStart w:id="0" w:name="_GoBack"/>
            <w:bookmarkEnd w:id="0"/>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A1C4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0857E5">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2E7062" w:rsidRDefault="00FF209C" w:rsidP="00337E83">
            <w:pPr>
              <w:autoSpaceDE w:val="0"/>
              <w:autoSpaceDN w:val="0"/>
              <w:adjustRightInd w:val="0"/>
              <w:ind w:right="-91"/>
              <w:jc w:val="both"/>
              <w:rPr>
                <w:rFonts w:ascii="Arial" w:hAnsi="Arial" w:cs="Arial"/>
                <w:b/>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8F6C51">
              <w:rPr>
                <w:rFonts w:ascii="Arial" w:eastAsia="Calibri" w:hAnsi="Arial" w:cs="Arial"/>
                <w:b/>
                <w:sz w:val="22"/>
                <w:szCs w:val="22"/>
              </w:rPr>
              <w:t>1</w:t>
            </w:r>
            <w:r w:rsidR="007A1C46">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A1C46">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7A1C46">
              <w:rPr>
                <w:rFonts w:ascii="Arial" w:eastAsia="Calibri" w:hAnsi="Arial" w:cs="Arial"/>
                <w:b/>
                <w:sz w:val="22"/>
                <w:szCs w:val="22"/>
              </w:rPr>
              <w:t>20</w:t>
            </w:r>
            <w:r w:rsidR="000857E5">
              <w:rPr>
                <w:rFonts w:ascii="Arial" w:eastAsia="Calibri" w:hAnsi="Arial" w:cs="Arial"/>
                <w:b/>
                <w:sz w:val="22"/>
                <w:szCs w:val="22"/>
              </w:rPr>
              <w:t xml:space="preserve">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4767B5">
              <w:rPr>
                <w:rFonts w:ascii="Arial" w:eastAsia="Calibri" w:hAnsi="Arial" w:cs="Arial"/>
                <w:b/>
                <w:sz w:val="22"/>
                <w:szCs w:val="22"/>
              </w:rPr>
              <w:t xml:space="preserve"> </w:t>
            </w:r>
            <w:r w:rsidR="00337E83">
              <w:rPr>
                <w:rFonts w:ascii="Arial" w:eastAsia="Calibri" w:hAnsi="Arial" w:cs="Arial"/>
                <w:b/>
                <w:sz w:val="22"/>
                <w:szCs w:val="22"/>
              </w:rPr>
              <w:t>Pronunciamiento del Consejo Institucional sobre Proyectos de Ley Nos. 20.683 y 20.648</w:t>
            </w:r>
            <w:r w:rsidR="007A1C46" w:rsidRPr="007A1C46">
              <w:rPr>
                <w:rFonts w:ascii="Arial" w:hAnsi="Arial" w:cs="Arial"/>
                <w:b/>
                <w:lang w:val="es-CR"/>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337E83" w:rsidRDefault="00337E83" w:rsidP="007742A1">
      <w:pPr>
        <w:jc w:val="both"/>
        <w:rPr>
          <w:rFonts w:ascii="Arial" w:eastAsia="Cambria" w:hAnsi="Arial" w:cs="Arial"/>
          <w:lang w:val="es-ES_tradnl" w:eastAsia="en-US"/>
        </w:rPr>
      </w:pPr>
    </w:p>
    <w:p w:rsidR="00337E83" w:rsidRPr="00337E83" w:rsidRDefault="00337E83" w:rsidP="00337E83">
      <w:pPr>
        <w:spacing w:after="200"/>
        <w:rPr>
          <w:rFonts w:ascii="Arial" w:hAnsi="Arial" w:cs="Arial"/>
          <w:b/>
          <w:bCs/>
          <w:i/>
          <w:iCs/>
          <w:kern w:val="32"/>
          <w:sz w:val="22"/>
          <w:szCs w:val="22"/>
        </w:rPr>
      </w:pPr>
      <w:r w:rsidRPr="00337E83">
        <w:rPr>
          <w:rFonts w:ascii="Arial" w:hAnsi="Arial" w:cs="Arial"/>
          <w:b/>
          <w:bCs/>
          <w:kern w:val="32"/>
          <w:sz w:val="22"/>
          <w:szCs w:val="22"/>
        </w:rPr>
        <w:t>RESULTANDO QUE:</w:t>
      </w:r>
    </w:p>
    <w:p w:rsidR="00337E83" w:rsidRPr="00337E83" w:rsidRDefault="00337E83" w:rsidP="00337E83">
      <w:pPr>
        <w:numPr>
          <w:ilvl w:val="0"/>
          <w:numId w:val="15"/>
        </w:numPr>
        <w:ind w:left="360"/>
        <w:jc w:val="both"/>
        <w:rPr>
          <w:rFonts w:ascii="Arial" w:hAnsi="Arial" w:cs="Arial"/>
          <w:sz w:val="22"/>
          <w:szCs w:val="22"/>
          <w:lang w:val="es-CR"/>
        </w:rPr>
      </w:pPr>
      <w:r w:rsidRPr="00337E83">
        <w:rPr>
          <w:rFonts w:ascii="Arial" w:hAnsi="Arial" w:cs="Arial"/>
          <w:sz w:val="22"/>
          <w:szCs w:val="22"/>
          <w:lang w:val="es-CR"/>
        </w:rPr>
        <w:t>El Artículo 88 de la Constitución Política de la República de Costa Rica prescribe:</w:t>
      </w:r>
    </w:p>
    <w:p w:rsidR="00337E83" w:rsidRPr="00337E83" w:rsidRDefault="00337E83" w:rsidP="00337E83">
      <w:pPr>
        <w:ind w:left="360"/>
        <w:jc w:val="both"/>
        <w:rPr>
          <w:rFonts w:ascii="Arial" w:hAnsi="Arial" w:cs="Arial"/>
          <w:sz w:val="22"/>
          <w:szCs w:val="22"/>
          <w:lang w:val="es-CR"/>
        </w:rPr>
      </w:pPr>
    </w:p>
    <w:p w:rsidR="00337E83" w:rsidRPr="00337E83" w:rsidRDefault="00337E83" w:rsidP="00337E83">
      <w:pPr>
        <w:ind w:left="1080" w:right="689"/>
        <w:jc w:val="both"/>
        <w:rPr>
          <w:rFonts w:ascii="Arial" w:hAnsi="Arial" w:cs="Arial"/>
          <w:i/>
          <w:sz w:val="22"/>
          <w:szCs w:val="22"/>
          <w:lang w:val="es-CR"/>
        </w:rPr>
      </w:pPr>
      <w:r w:rsidRPr="00337E83">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337E83" w:rsidRPr="00337E83" w:rsidRDefault="00337E83" w:rsidP="00337E83">
      <w:pPr>
        <w:ind w:left="1080" w:right="689"/>
        <w:jc w:val="both"/>
        <w:rPr>
          <w:rFonts w:ascii="Arial" w:hAnsi="Arial" w:cs="Arial"/>
          <w:i/>
          <w:sz w:val="22"/>
          <w:szCs w:val="22"/>
          <w:lang w:val="es-CR"/>
        </w:rPr>
      </w:pPr>
    </w:p>
    <w:p w:rsidR="00337E83" w:rsidRPr="00337E83" w:rsidRDefault="00337E83" w:rsidP="00337E83">
      <w:pPr>
        <w:numPr>
          <w:ilvl w:val="0"/>
          <w:numId w:val="15"/>
        </w:numPr>
        <w:ind w:left="360"/>
        <w:jc w:val="both"/>
        <w:rPr>
          <w:rFonts w:ascii="Arial" w:hAnsi="Arial" w:cs="Arial"/>
          <w:sz w:val="22"/>
          <w:szCs w:val="22"/>
          <w:lang w:val="es-CR"/>
        </w:rPr>
      </w:pPr>
      <w:r w:rsidRPr="00337E83">
        <w:rPr>
          <w:rFonts w:ascii="Arial" w:hAnsi="Arial" w:cs="Arial"/>
          <w:sz w:val="22"/>
          <w:szCs w:val="22"/>
          <w:lang w:val="es-CR"/>
        </w:rPr>
        <w:t>El Estatuto Orgánico del Instituto Tecnológico de Costa Rica, en el Artículo 18, inciso i) señala:</w:t>
      </w:r>
    </w:p>
    <w:p w:rsidR="00337E83" w:rsidRPr="00337E83" w:rsidRDefault="00337E83" w:rsidP="00337E83">
      <w:pPr>
        <w:ind w:left="1080" w:right="689"/>
        <w:jc w:val="both"/>
        <w:rPr>
          <w:rFonts w:ascii="Arial" w:hAnsi="Arial" w:cs="Arial"/>
          <w:i/>
          <w:sz w:val="22"/>
          <w:szCs w:val="22"/>
          <w:lang w:val="es-CR"/>
        </w:rPr>
      </w:pPr>
    </w:p>
    <w:p w:rsidR="00337E83" w:rsidRPr="00337E83" w:rsidRDefault="00337E83" w:rsidP="00337E83">
      <w:pPr>
        <w:ind w:left="1080" w:right="689"/>
        <w:jc w:val="both"/>
        <w:rPr>
          <w:rFonts w:ascii="Arial" w:hAnsi="Arial" w:cs="Arial"/>
          <w:i/>
          <w:sz w:val="22"/>
          <w:szCs w:val="22"/>
          <w:lang w:val="es-CR"/>
        </w:rPr>
      </w:pPr>
      <w:r w:rsidRPr="00337E83">
        <w:rPr>
          <w:rFonts w:ascii="Arial" w:hAnsi="Arial" w:cs="Arial"/>
          <w:i/>
          <w:sz w:val="22"/>
          <w:szCs w:val="22"/>
          <w:lang w:val="es-CR"/>
        </w:rPr>
        <w:t>“Son funciones del Consejo Institucional:</w:t>
      </w:r>
    </w:p>
    <w:p w:rsidR="00337E83" w:rsidRPr="00337E83" w:rsidRDefault="00337E83" w:rsidP="00337E83">
      <w:pPr>
        <w:ind w:left="1080" w:right="689"/>
        <w:jc w:val="both"/>
        <w:rPr>
          <w:rFonts w:ascii="Arial" w:hAnsi="Arial" w:cs="Arial"/>
          <w:i/>
          <w:sz w:val="22"/>
          <w:szCs w:val="22"/>
          <w:lang w:val="es-CR"/>
        </w:rPr>
      </w:pPr>
      <w:r w:rsidRPr="00337E83">
        <w:rPr>
          <w:rFonts w:ascii="Arial" w:hAnsi="Arial" w:cs="Arial"/>
          <w:i/>
          <w:sz w:val="22"/>
          <w:szCs w:val="22"/>
          <w:lang w:val="es-CR"/>
        </w:rPr>
        <w:t>…</w:t>
      </w:r>
    </w:p>
    <w:p w:rsidR="00337E83" w:rsidRPr="00337E83" w:rsidRDefault="00337E83" w:rsidP="00337E83">
      <w:pPr>
        <w:ind w:left="1080" w:right="689"/>
        <w:jc w:val="both"/>
        <w:rPr>
          <w:rFonts w:ascii="Arial" w:hAnsi="Arial" w:cs="Arial"/>
          <w:i/>
          <w:sz w:val="22"/>
          <w:szCs w:val="22"/>
          <w:lang w:val="es-CR"/>
        </w:rPr>
      </w:pPr>
      <w:r w:rsidRPr="00337E83">
        <w:rPr>
          <w:rFonts w:ascii="Arial" w:hAnsi="Arial" w:cs="Arial"/>
          <w:i/>
          <w:sz w:val="22"/>
          <w:szCs w:val="22"/>
          <w:lang w:val="es-CR"/>
        </w:rPr>
        <w:t>Evacuar las consultas a que se refiere el Artículo 88 de la Constitución Política de la República”.</w:t>
      </w:r>
    </w:p>
    <w:p w:rsidR="00337E83" w:rsidRPr="00337E83" w:rsidRDefault="00337E83" w:rsidP="00337E83">
      <w:pPr>
        <w:keepNext/>
        <w:spacing w:before="240" w:after="60"/>
        <w:jc w:val="both"/>
        <w:outlineLvl w:val="0"/>
        <w:rPr>
          <w:rFonts w:ascii="Arial" w:hAnsi="Arial" w:cs="Arial"/>
          <w:b/>
          <w:bCs/>
          <w:kern w:val="32"/>
          <w:sz w:val="22"/>
          <w:szCs w:val="22"/>
        </w:rPr>
      </w:pPr>
      <w:r w:rsidRPr="00337E83">
        <w:rPr>
          <w:rFonts w:ascii="Arial" w:hAnsi="Arial" w:cs="Arial"/>
          <w:b/>
          <w:bCs/>
          <w:kern w:val="32"/>
          <w:sz w:val="22"/>
          <w:szCs w:val="22"/>
        </w:rPr>
        <w:t>CONSIDERANDO QUE:</w:t>
      </w:r>
    </w:p>
    <w:p w:rsidR="00337E83" w:rsidRPr="00337E83" w:rsidRDefault="00337E83" w:rsidP="00337E83">
      <w:pPr>
        <w:jc w:val="both"/>
        <w:rPr>
          <w:sz w:val="20"/>
          <w:szCs w:val="20"/>
        </w:rPr>
      </w:pPr>
    </w:p>
    <w:p w:rsidR="00337E83" w:rsidRPr="00337E83" w:rsidRDefault="00337E83" w:rsidP="00337E83">
      <w:pPr>
        <w:numPr>
          <w:ilvl w:val="0"/>
          <w:numId w:val="18"/>
        </w:numPr>
        <w:ind w:left="284" w:hanging="284"/>
        <w:contextualSpacing/>
        <w:jc w:val="both"/>
        <w:rPr>
          <w:rFonts w:ascii="Arial" w:hAnsi="Arial" w:cs="Arial"/>
          <w:b/>
          <w:sz w:val="22"/>
          <w:szCs w:val="22"/>
          <w:lang w:val="es-CR"/>
        </w:rPr>
      </w:pPr>
      <w:r w:rsidRPr="00337E83">
        <w:rPr>
          <w:rFonts w:ascii="Arial" w:hAnsi="Arial" w:cs="Arial"/>
          <w:sz w:val="22"/>
          <w:szCs w:val="22"/>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Nos.   20.648 y 20.863.</w:t>
      </w:r>
    </w:p>
    <w:p w:rsidR="00337E83" w:rsidRPr="00337E83" w:rsidRDefault="00337E83" w:rsidP="00337E83">
      <w:pPr>
        <w:ind w:left="284" w:hanging="284"/>
        <w:contextualSpacing/>
        <w:jc w:val="both"/>
        <w:rPr>
          <w:rFonts w:ascii="Arial" w:hAnsi="Arial" w:cs="Arial"/>
          <w:sz w:val="22"/>
          <w:szCs w:val="22"/>
          <w:lang w:val="es-CR"/>
        </w:rPr>
      </w:pPr>
    </w:p>
    <w:p w:rsidR="00337E83" w:rsidRPr="00337E83" w:rsidRDefault="00337E83" w:rsidP="00337E83">
      <w:pPr>
        <w:numPr>
          <w:ilvl w:val="0"/>
          <w:numId w:val="18"/>
        </w:numPr>
        <w:ind w:left="284" w:hanging="284"/>
        <w:jc w:val="both"/>
        <w:rPr>
          <w:rFonts w:ascii="Arial" w:hAnsi="Arial" w:cs="Arial"/>
          <w:sz w:val="22"/>
          <w:szCs w:val="22"/>
          <w:lang w:val="es-CR"/>
        </w:rPr>
      </w:pPr>
      <w:r w:rsidRPr="00337E83">
        <w:rPr>
          <w:rFonts w:ascii="Arial" w:hAnsi="Arial" w:cs="Arial"/>
          <w:sz w:val="22"/>
          <w:szCs w:val="22"/>
          <w:lang w:val="es-CR"/>
        </w:rPr>
        <w:t xml:space="preserve">La recepción de los expedientes consultados, fue conocida en diferentes sesiones del Consejo Institucional, y se acordó trasladarlos algunas dependencias del TEC, para la emisión de su criterio sobre el tema. </w:t>
      </w:r>
    </w:p>
    <w:p w:rsidR="00337E83" w:rsidRPr="00337E83" w:rsidRDefault="00337E83" w:rsidP="00337E83">
      <w:pPr>
        <w:ind w:left="284" w:hanging="284"/>
        <w:jc w:val="both"/>
        <w:rPr>
          <w:rFonts w:ascii="Arial" w:hAnsi="Arial" w:cs="Arial"/>
          <w:sz w:val="22"/>
          <w:szCs w:val="22"/>
          <w:lang w:val="es-CR"/>
        </w:rPr>
      </w:pPr>
    </w:p>
    <w:p w:rsidR="00337E83" w:rsidRPr="00337E83" w:rsidRDefault="00337E83" w:rsidP="00337E83">
      <w:pPr>
        <w:numPr>
          <w:ilvl w:val="0"/>
          <w:numId w:val="18"/>
        </w:numPr>
        <w:ind w:left="284" w:hanging="284"/>
        <w:jc w:val="both"/>
        <w:rPr>
          <w:rFonts w:ascii="Arial" w:hAnsi="Arial" w:cs="Arial"/>
          <w:sz w:val="22"/>
          <w:szCs w:val="22"/>
          <w:lang w:val="es-CR"/>
        </w:rPr>
      </w:pPr>
      <w:r w:rsidRPr="00337E83">
        <w:rPr>
          <w:rFonts w:ascii="Arial" w:hAnsi="Arial" w:cs="Arial"/>
          <w:sz w:val="22"/>
          <w:szCs w:val="22"/>
          <w:lang w:val="es-CR"/>
        </w:rPr>
        <w:t xml:space="preserve">La Secretaría del Consejo Institucional recibió oficios, que contienen los criterios de algunas de las dependencias de la Institución, que fueron consultadas. </w:t>
      </w:r>
    </w:p>
    <w:p w:rsidR="00337E83" w:rsidRPr="00337E83" w:rsidRDefault="00337E83" w:rsidP="00337E83">
      <w:pPr>
        <w:jc w:val="both"/>
        <w:rPr>
          <w:rFonts w:ascii="Arial" w:hAnsi="Arial" w:cs="Arial"/>
          <w:sz w:val="22"/>
          <w:szCs w:val="22"/>
          <w:lang w:val="es-CR"/>
        </w:rPr>
      </w:pPr>
    </w:p>
    <w:p w:rsidR="00337E83" w:rsidRPr="00337E83" w:rsidRDefault="00337E83" w:rsidP="00337E83">
      <w:pPr>
        <w:keepNext/>
        <w:keepLines/>
        <w:spacing w:before="40"/>
        <w:outlineLvl w:val="1"/>
        <w:rPr>
          <w:rFonts w:ascii="Arial" w:eastAsiaTheme="majorEastAsia" w:hAnsi="Arial" w:cs="Arial"/>
          <w:b/>
          <w:bCs/>
          <w:kern w:val="32"/>
          <w:sz w:val="22"/>
          <w:szCs w:val="22"/>
        </w:rPr>
      </w:pPr>
      <w:r w:rsidRPr="00337E83">
        <w:rPr>
          <w:rFonts w:ascii="Arial" w:hAnsi="Arial" w:cs="Arial"/>
          <w:b/>
          <w:bCs/>
          <w:kern w:val="32"/>
          <w:sz w:val="22"/>
          <w:szCs w:val="22"/>
        </w:rPr>
        <w:lastRenderedPageBreak/>
        <w:t xml:space="preserve">SE </w:t>
      </w:r>
      <w:r>
        <w:rPr>
          <w:rFonts w:ascii="Arial" w:hAnsi="Arial" w:cs="Arial"/>
          <w:b/>
          <w:bCs/>
          <w:kern w:val="32"/>
          <w:sz w:val="22"/>
          <w:szCs w:val="22"/>
        </w:rPr>
        <w:t>ACUERDA</w:t>
      </w:r>
      <w:r w:rsidRPr="00337E83">
        <w:rPr>
          <w:rFonts w:ascii="Arial" w:hAnsi="Arial" w:cs="Arial"/>
          <w:b/>
          <w:bCs/>
          <w:kern w:val="32"/>
          <w:sz w:val="22"/>
          <w:szCs w:val="22"/>
        </w:rPr>
        <w:t>:</w:t>
      </w:r>
    </w:p>
    <w:p w:rsidR="00337E83" w:rsidRPr="00337E83" w:rsidRDefault="00337E83" w:rsidP="00337E83">
      <w:pPr>
        <w:rPr>
          <w:sz w:val="20"/>
          <w:szCs w:val="20"/>
        </w:rPr>
      </w:pPr>
    </w:p>
    <w:p w:rsidR="00337E83" w:rsidRPr="00337E83" w:rsidRDefault="00337E83" w:rsidP="00337E83">
      <w:pPr>
        <w:numPr>
          <w:ilvl w:val="0"/>
          <w:numId w:val="19"/>
        </w:numPr>
        <w:ind w:left="426" w:hanging="426"/>
        <w:jc w:val="both"/>
        <w:rPr>
          <w:rFonts w:ascii="Arial" w:eastAsia="Cambria" w:hAnsi="Arial" w:cs="Arial"/>
          <w:sz w:val="22"/>
          <w:szCs w:val="22"/>
          <w:lang w:eastAsia="en-US"/>
        </w:rPr>
      </w:pPr>
      <w:r w:rsidRPr="00337E83">
        <w:rPr>
          <w:rFonts w:ascii="Arial" w:eastAsia="Cambria" w:hAnsi="Arial" w:cs="Arial"/>
          <w:sz w:val="22"/>
          <w:szCs w:val="22"/>
          <w:lang w:eastAsia="en-US"/>
        </w:rPr>
        <w:t>Comunicar a las dependencias de la Asamblea Legislativa correspondientes, las observaciones que se detallan a continuación, para cada proyecto consultado:</w:t>
      </w:r>
    </w:p>
    <w:p w:rsidR="00337E83" w:rsidRPr="00337E83" w:rsidRDefault="00337E83" w:rsidP="00337E83">
      <w:pPr>
        <w:autoSpaceDE w:val="0"/>
        <w:autoSpaceDN w:val="0"/>
        <w:adjustRightInd w:val="0"/>
        <w:ind w:right="-91"/>
        <w:jc w:val="both"/>
        <w:rPr>
          <w:rFonts w:ascii="Arial" w:eastAsia="Cambria" w:hAnsi="Arial" w:cs="Arial"/>
          <w:sz w:val="22"/>
          <w:szCs w:val="22"/>
          <w:lang w:eastAsia="en-US"/>
        </w:rPr>
      </w:pPr>
    </w:p>
    <w:p w:rsidR="00337E83" w:rsidRPr="00337E83" w:rsidRDefault="00337E83" w:rsidP="00337E83">
      <w:pPr>
        <w:autoSpaceDE w:val="0"/>
        <w:autoSpaceDN w:val="0"/>
        <w:adjustRightInd w:val="0"/>
        <w:ind w:right="-91"/>
        <w:jc w:val="both"/>
        <w:rPr>
          <w:rFonts w:ascii="Arial" w:eastAsia="Cambria" w:hAnsi="Arial" w:cs="Arial"/>
          <w:sz w:val="22"/>
          <w:szCs w:val="22"/>
          <w:u w:val="single"/>
          <w:lang w:eastAsia="en-US"/>
        </w:rPr>
      </w:pPr>
      <w:r w:rsidRPr="00337E83">
        <w:rPr>
          <w:rFonts w:ascii="Arial" w:eastAsia="Cambria" w:hAnsi="Arial" w:cs="Arial"/>
          <w:sz w:val="22"/>
          <w:szCs w:val="22"/>
          <w:u w:val="single"/>
          <w:lang w:eastAsia="en-US"/>
        </w:rPr>
        <w:t>Comisión Permanente Ordinaria de Asuntos Económicos</w:t>
      </w:r>
    </w:p>
    <w:p w:rsidR="00337E83" w:rsidRPr="00337E83" w:rsidRDefault="00337E83" w:rsidP="00337E83">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2835"/>
        <w:gridCol w:w="1984"/>
        <w:gridCol w:w="3403"/>
      </w:tblGrid>
      <w:tr w:rsidR="00337E83" w:rsidRPr="00337E83" w:rsidTr="00D62E65">
        <w:tc>
          <w:tcPr>
            <w:tcW w:w="155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No. Expediente</w:t>
            </w:r>
          </w:p>
        </w:tc>
        <w:tc>
          <w:tcPr>
            <w:tcW w:w="2835"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Nombre del Proyecto</w:t>
            </w:r>
          </w:p>
        </w:tc>
        <w:tc>
          <w:tcPr>
            <w:tcW w:w="198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Transgrede o no la Autonomía Universitaria</w:t>
            </w:r>
          </w:p>
        </w:tc>
        <w:tc>
          <w:tcPr>
            <w:tcW w:w="3403"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Observaciones de las diferentes entidades institucionales consultadas</w:t>
            </w:r>
          </w:p>
        </w:tc>
      </w:tr>
      <w:tr w:rsidR="00337E83" w:rsidRPr="00337E83" w:rsidTr="00D62E65">
        <w:tc>
          <w:tcPr>
            <w:tcW w:w="155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20.863</w:t>
            </w:r>
          </w:p>
        </w:tc>
        <w:tc>
          <w:tcPr>
            <w:tcW w:w="2835" w:type="dxa"/>
          </w:tcPr>
          <w:p w:rsidR="00337E83" w:rsidRPr="00337E83" w:rsidRDefault="00337E83" w:rsidP="00337E83">
            <w:pPr>
              <w:jc w:val="both"/>
              <w:rPr>
                <w:rFonts w:ascii="Arial" w:hAnsi="Arial" w:cs="Arial"/>
                <w:sz w:val="22"/>
                <w:szCs w:val="22"/>
                <w:lang w:eastAsia="es-CR"/>
              </w:rPr>
            </w:pPr>
            <w:r w:rsidRPr="00337E83">
              <w:rPr>
                <w:rFonts w:ascii="Arial" w:hAnsi="Arial" w:cs="Arial"/>
                <w:sz w:val="22"/>
                <w:szCs w:val="22"/>
              </w:rPr>
              <w:t>Ley “Reforma para incentivar los modelos de capital semilla y capital de riesgo”</w:t>
            </w:r>
          </w:p>
          <w:p w:rsidR="00337E83" w:rsidRPr="00337E83" w:rsidRDefault="00337E83" w:rsidP="00337E83">
            <w:pPr>
              <w:autoSpaceDE w:val="0"/>
              <w:autoSpaceDN w:val="0"/>
              <w:adjustRightInd w:val="0"/>
              <w:ind w:right="-91"/>
              <w:jc w:val="both"/>
              <w:rPr>
                <w:rFonts w:ascii="Arial" w:eastAsia="Cambria" w:hAnsi="Arial" w:cs="Arial"/>
                <w:sz w:val="22"/>
                <w:szCs w:val="22"/>
                <w:lang w:val="es-CR" w:eastAsia="en-US"/>
              </w:rPr>
            </w:pPr>
          </w:p>
        </w:tc>
        <w:tc>
          <w:tcPr>
            <w:tcW w:w="1984" w:type="dxa"/>
          </w:tcPr>
          <w:p w:rsidR="00337E83" w:rsidRPr="00337E83" w:rsidRDefault="00337E83" w:rsidP="00337E83">
            <w:pPr>
              <w:autoSpaceDE w:val="0"/>
              <w:autoSpaceDN w:val="0"/>
              <w:adjustRightInd w:val="0"/>
              <w:ind w:right="-91"/>
              <w:jc w:val="center"/>
              <w:rPr>
                <w:rFonts w:ascii="Arial" w:eastAsia="Cambria" w:hAnsi="Arial" w:cs="Arial"/>
                <w:sz w:val="22"/>
                <w:szCs w:val="22"/>
                <w:lang w:eastAsia="en-US"/>
              </w:rPr>
            </w:pPr>
            <w:r w:rsidRPr="00337E83">
              <w:rPr>
                <w:rFonts w:ascii="Arial" w:eastAsia="Cambria" w:hAnsi="Arial" w:cs="Arial"/>
                <w:sz w:val="22"/>
                <w:szCs w:val="22"/>
                <w:lang w:eastAsia="en-US"/>
              </w:rPr>
              <w:t>No</w:t>
            </w:r>
          </w:p>
        </w:tc>
        <w:tc>
          <w:tcPr>
            <w:tcW w:w="3403" w:type="dxa"/>
          </w:tcPr>
          <w:p w:rsidR="00337E83" w:rsidRPr="00337E83" w:rsidRDefault="00337E83" w:rsidP="00337E83">
            <w:pPr>
              <w:autoSpaceDE w:val="0"/>
              <w:autoSpaceDN w:val="0"/>
              <w:adjustRightInd w:val="0"/>
              <w:ind w:right="-91"/>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Oficina de Asesoría Legal</w:t>
            </w:r>
          </w:p>
          <w:p w:rsidR="00337E83" w:rsidRPr="00337E83" w:rsidRDefault="00337E83" w:rsidP="00337E83">
            <w:pPr>
              <w:autoSpaceDE w:val="0"/>
              <w:autoSpaceDN w:val="0"/>
              <w:adjustRightInd w:val="0"/>
              <w:ind w:right="-91"/>
              <w:rPr>
                <w:rFonts w:ascii="Arial" w:eastAsia="Cambria" w:hAnsi="Arial" w:cs="Arial"/>
                <w:b/>
                <w:i/>
                <w:sz w:val="22"/>
                <w:szCs w:val="22"/>
                <w:u w:val="single"/>
                <w:lang w:eastAsia="en-US"/>
              </w:rPr>
            </w:pPr>
          </w:p>
          <w:p w:rsidR="00337E83" w:rsidRPr="00337E83" w:rsidRDefault="00337E83" w:rsidP="00337E83">
            <w:pPr>
              <w:shd w:val="clear" w:color="auto" w:fill="FFFFFF"/>
              <w:jc w:val="both"/>
              <w:rPr>
                <w:rFonts w:ascii="Arial" w:hAnsi="Arial" w:cs="Arial"/>
                <w:i/>
                <w:color w:val="333333"/>
                <w:sz w:val="22"/>
                <w:szCs w:val="22"/>
                <w:lang w:eastAsia="es-CR"/>
              </w:rPr>
            </w:pPr>
            <w:r w:rsidRPr="00337E83">
              <w:rPr>
                <w:rFonts w:ascii="Arial" w:hAnsi="Arial" w:cs="Arial"/>
                <w:i/>
                <w:color w:val="333333"/>
                <w:sz w:val="22"/>
                <w:szCs w:val="22"/>
                <w:lang w:eastAsia="es-CR"/>
              </w:rPr>
              <w:t>“1-Desde un punto jurídico existen indicadores en el sentido que: este</w:t>
            </w:r>
            <w:r w:rsidRPr="00337E83">
              <w:rPr>
                <w:rFonts w:ascii="Arial" w:hAnsi="Arial" w:cs="Arial"/>
                <w:color w:val="333333"/>
                <w:sz w:val="22"/>
                <w:szCs w:val="22"/>
                <w:lang w:eastAsia="es-CR"/>
              </w:rPr>
              <w:t xml:space="preserve"> </w:t>
            </w:r>
            <w:r w:rsidRPr="00337E83">
              <w:rPr>
                <w:rFonts w:ascii="Arial" w:hAnsi="Arial" w:cs="Arial"/>
                <w:i/>
                <w:color w:val="333333"/>
                <w:sz w:val="22"/>
                <w:szCs w:val="22"/>
                <w:lang w:eastAsia="es-CR"/>
              </w:rPr>
              <w:t>proyecto de llegarse a aprobar podría favorecer a la institución, quien tiene vinculación e interés en este tema. No encontrando elementos que puedan comprometer la autonomía universitaria.”</w:t>
            </w:r>
          </w:p>
          <w:p w:rsidR="00337E83" w:rsidRPr="00337E83" w:rsidRDefault="00337E83" w:rsidP="00337E83">
            <w:pPr>
              <w:shd w:val="clear" w:color="auto" w:fill="FFFFFF"/>
              <w:jc w:val="both"/>
              <w:rPr>
                <w:rFonts w:ascii="Arial" w:hAnsi="Arial" w:cs="Arial"/>
                <w:color w:val="333333"/>
                <w:sz w:val="22"/>
                <w:szCs w:val="22"/>
                <w:lang w:eastAsia="es-CR"/>
              </w:rPr>
            </w:pPr>
          </w:p>
          <w:p w:rsidR="00337E83" w:rsidRPr="00337E83" w:rsidRDefault="00337E83" w:rsidP="00337E83">
            <w:pPr>
              <w:autoSpaceDE w:val="0"/>
              <w:autoSpaceDN w:val="0"/>
              <w:adjustRightInd w:val="0"/>
              <w:ind w:right="-91"/>
              <w:jc w:val="both"/>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Unidad Desconcentrada Carrera Administración de Empresas del Campus Tecnológico San Carlos</w:t>
            </w:r>
          </w:p>
          <w:p w:rsidR="00337E83" w:rsidRPr="00337E83" w:rsidRDefault="00337E83" w:rsidP="00337E83">
            <w:pPr>
              <w:shd w:val="clear" w:color="auto" w:fill="FFFFFF"/>
              <w:jc w:val="both"/>
              <w:rPr>
                <w:rFonts w:ascii="Arial" w:hAnsi="Arial" w:cs="Arial"/>
                <w:color w:val="111111"/>
                <w:sz w:val="22"/>
                <w:szCs w:val="22"/>
              </w:rPr>
            </w:pPr>
          </w:p>
          <w:p w:rsidR="00337E83" w:rsidRPr="00337E83" w:rsidRDefault="00337E83" w:rsidP="00337E83">
            <w:pPr>
              <w:jc w:val="both"/>
              <w:rPr>
                <w:rFonts w:ascii="Arial" w:eastAsiaTheme="minorHAnsi" w:hAnsi="Arial" w:cs="Arial"/>
                <w:i/>
                <w:color w:val="000000"/>
                <w:sz w:val="22"/>
                <w:szCs w:val="22"/>
                <w:lang w:eastAsia="en-US"/>
              </w:rPr>
            </w:pPr>
            <w:r w:rsidRPr="00337E83">
              <w:rPr>
                <w:rFonts w:ascii="Arial" w:hAnsi="Arial" w:cs="Arial"/>
                <w:i/>
                <w:color w:val="333333"/>
                <w:sz w:val="22"/>
                <w:szCs w:val="22"/>
                <w:lang w:eastAsia="es-CR"/>
              </w:rPr>
              <w:t>“1-</w:t>
            </w:r>
            <w:r w:rsidRPr="00337E83">
              <w:rPr>
                <w:rFonts w:ascii="Arial" w:eastAsiaTheme="minorHAnsi" w:hAnsi="Arial" w:cs="Arial"/>
                <w:i/>
                <w:color w:val="000000"/>
                <w:sz w:val="22"/>
                <w:szCs w:val="22"/>
                <w:lang w:eastAsia="en-US"/>
              </w:rPr>
              <w:t>Observaciones: respaldamos completamente las observaciones formuladas por la Agencia Universitaria para la Gestión del Emprendimiento de la UCR (AUGE), incluidas en el texto.</w:t>
            </w:r>
          </w:p>
          <w:p w:rsidR="00337E83" w:rsidRPr="00337E83" w:rsidRDefault="00337E83" w:rsidP="00337E83">
            <w:pPr>
              <w:framePr w:hSpace="141" w:wrap="around" w:vAnchor="text" w:hAnchor="margin" w:xAlign="right" w:y="1"/>
              <w:shd w:val="clear" w:color="auto" w:fill="FFFFFF"/>
              <w:jc w:val="both"/>
              <w:rPr>
                <w:rFonts w:ascii="Arial" w:hAnsi="Arial" w:cs="Arial"/>
                <w:i/>
                <w:color w:val="333333"/>
                <w:sz w:val="22"/>
                <w:szCs w:val="22"/>
                <w:lang w:eastAsia="es-CR"/>
              </w:rPr>
            </w:pPr>
            <w:r w:rsidRPr="00337E83">
              <w:rPr>
                <w:rFonts w:ascii="Arial" w:hAnsi="Arial" w:cs="Arial"/>
                <w:i/>
                <w:color w:val="333333"/>
                <w:sz w:val="22"/>
                <w:szCs w:val="22"/>
                <w:lang w:eastAsia="es-CR"/>
              </w:rPr>
              <w:t>2- Apoyamos el proyecto.”</w:t>
            </w:r>
          </w:p>
          <w:p w:rsidR="00337E83" w:rsidRPr="00337E83" w:rsidRDefault="00337E83" w:rsidP="00337E83">
            <w:pPr>
              <w:framePr w:hSpace="141" w:wrap="around" w:vAnchor="text" w:hAnchor="margin" w:xAlign="right" w:y="1"/>
              <w:shd w:val="clear" w:color="auto" w:fill="FFFFFF"/>
              <w:jc w:val="both"/>
              <w:rPr>
                <w:rFonts w:ascii="Arial" w:hAnsi="Arial" w:cs="Arial"/>
                <w:color w:val="333333"/>
                <w:sz w:val="22"/>
                <w:szCs w:val="22"/>
                <w:lang w:eastAsia="es-CR"/>
              </w:rPr>
            </w:pPr>
          </w:p>
          <w:p w:rsidR="00337E83" w:rsidRPr="00337E83" w:rsidRDefault="00337E83" w:rsidP="00337E83">
            <w:pPr>
              <w:autoSpaceDE w:val="0"/>
              <w:autoSpaceDN w:val="0"/>
              <w:adjustRightInd w:val="0"/>
              <w:ind w:right="-91"/>
              <w:jc w:val="both"/>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Vicerrectoría de Investigación y Extensión</w:t>
            </w:r>
          </w:p>
          <w:p w:rsidR="00337E83" w:rsidRPr="00337E83" w:rsidRDefault="00337E83" w:rsidP="00337E83">
            <w:pPr>
              <w:autoSpaceDE w:val="0"/>
              <w:autoSpaceDN w:val="0"/>
              <w:adjustRightInd w:val="0"/>
              <w:rPr>
                <w:rFonts w:ascii="Arial" w:hAnsi="Arial" w:cs="Arial"/>
                <w:color w:val="000000"/>
              </w:rPr>
            </w:pPr>
          </w:p>
          <w:p w:rsidR="00337E83" w:rsidRPr="00337E83" w:rsidRDefault="00337E83" w:rsidP="00337E83">
            <w:pPr>
              <w:autoSpaceDE w:val="0"/>
              <w:autoSpaceDN w:val="0"/>
              <w:adjustRightInd w:val="0"/>
              <w:rPr>
                <w:rFonts w:ascii="Arial" w:hAnsi="Arial" w:cs="Arial"/>
                <w:i/>
                <w:color w:val="000000"/>
                <w:sz w:val="22"/>
                <w:szCs w:val="22"/>
              </w:rPr>
            </w:pPr>
            <w:r w:rsidRPr="00337E83">
              <w:rPr>
                <w:rFonts w:ascii="Arial" w:hAnsi="Arial" w:cs="Arial"/>
                <w:i/>
                <w:color w:val="000000"/>
                <w:sz w:val="22"/>
                <w:szCs w:val="22"/>
              </w:rPr>
              <w:t xml:space="preserve"> “</w:t>
            </w:r>
            <w:r w:rsidRPr="00337E83">
              <w:rPr>
                <w:rFonts w:ascii="Arial" w:hAnsi="Arial" w:cs="Arial"/>
                <w:b/>
                <w:bCs/>
                <w:i/>
                <w:color w:val="000000"/>
                <w:sz w:val="22"/>
                <w:szCs w:val="22"/>
              </w:rPr>
              <w:t xml:space="preserve">1. Observaciones </w:t>
            </w:r>
          </w:p>
          <w:p w:rsidR="00337E83" w:rsidRPr="00337E83" w:rsidRDefault="00337E83" w:rsidP="00337E83">
            <w:pPr>
              <w:autoSpaceDE w:val="0"/>
              <w:autoSpaceDN w:val="0"/>
              <w:adjustRightInd w:val="0"/>
              <w:jc w:val="both"/>
              <w:rPr>
                <w:rFonts w:ascii="Arial" w:hAnsi="Arial" w:cs="Arial"/>
                <w:i/>
                <w:color w:val="000000"/>
                <w:sz w:val="22"/>
                <w:szCs w:val="22"/>
              </w:rPr>
            </w:pPr>
            <w:r w:rsidRPr="00337E83">
              <w:rPr>
                <w:rFonts w:ascii="Arial" w:hAnsi="Arial" w:cs="Arial"/>
                <w:i/>
                <w:color w:val="000000"/>
                <w:sz w:val="22"/>
                <w:szCs w:val="22"/>
              </w:rPr>
              <w:t xml:space="preserve">Con base en el texto de la propuesta de reforma de las diferentes leyes citadas y en los dictámenes aportados, se considera que es una iniciativa valiosa para fortalecer el ecosistema de innovación y emprendimiento basados en el uso intensivo del conocimiento científico y tecnológico. </w:t>
            </w:r>
          </w:p>
          <w:p w:rsidR="00337E83" w:rsidRPr="00337E83" w:rsidRDefault="00337E83" w:rsidP="00337E83">
            <w:pPr>
              <w:autoSpaceDE w:val="0"/>
              <w:autoSpaceDN w:val="0"/>
              <w:adjustRightInd w:val="0"/>
              <w:jc w:val="both"/>
              <w:rPr>
                <w:rFonts w:ascii="Arial" w:hAnsi="Arial" w:cs="Arial"/>
                <w:i/>
                <w:color w:val="000000"/>
                <w:sz w:val="22"/>
                <w:szCs w:val="22"/>
              </w:rPr>
            </w:pPr>
            <w:r w:rsidRPr="00337E83">
              <w:rPr>
                <w:rFonts w:ascii="Arial" w:hAnsi="Arial" w:cs="Arial"/>
                <w:i/>
                <w:color w:val="000000"/>
                <w:sz w:val="22"/>
                <w:szCs w:val="22"/>
              </w:rPr>
              <w:t xml:space="preserve">El abrir nuevas modalidades para acceder a fuentes de financiamiento y gozar del </w:t>
            </w:r>
            <w:r w:rsidRPr="00337E83">
              <w:rPr>
                <w:rFonts w:ascii="Arial" w:hAnsi="Arial" w:cs="Arial"/>
                <w:i/>
                <w:color w:val="000000"/>
                <w:sz w:val="22"/>
                <w:szCs w:val="22"/>
              </w:rPr>
              <w:lastRenderedPageBreak/>
              <w:t xml:space="preserve">acceso a garantías, es un incentivo importante que motiva y acompaña la creación, aceleración y permanencia de empresas en el mercado. </w:t>
            </w:r>
          </w:p>
          <w:p w:rsidR="00337E83" w:rsidRPr="00337E83" w:rsidRDefault="00337E83" w:rsidP="00337E83">
            <w:pPr>
              <w:autoSpaceDE w:val="0"/>
              <w:autoSpaceDN w:val="0"/>
              <w:adjustRightInd w:val="0"/>
              <w:jc w:val="both"/>
              <w:rPr>
                <w:rFonts w:ascii="Arial" w:hAnsi="Arial" w:cs="Arial"/>
                <w:i/>
                <w:color w:val="000000"/>
                <w:sz w:val="22"/>
                <w:szCs w:val="22"/>
              </w:rPr>
            </w:pPr>
            <w:r w:rsidRPr="00337E83">
              <w:rPr>
                <w:rFonts w:ascii="Arial" w:hAnsi="Arial" w:cs="Arial"/>
                <w:i/>
                <w:color w:val="000000"/>
                <w:sz w:val="22"/>
                <w:szCs w:val="22"/>
              </w:rPr>
              <w:t xml:space="preserve">Por otro lado, las adiciones propuestas en el artículo 4° de la Ley 7169 “Promoción del Desarrollo Científico y Tecnológico”, constituyen un fortalecimiento a las acciones que la Academia realiza en el ámbito de la transferencia científica y tecnológica, que se materializa en: emprendimientos, innovaciones, creación de empresas de base tecnológica y en las alianzas estratégicas con el sector gubernamental y socio productivo. </w:t>
            </w:r>
          </w:p>
          <w:p w:rsidR="00337E83" w:rsidRPr="00337E83" w:rsidRDefault="00337E83" w:rsidP="00337E83">
            <w:pPr>
              <w:autoSpaceDE w:val="0"/>
              <w:autoSpaceDN w:val="0"/>
              <w:adjustRightInd w:val="0"/>
              <w:jc w:val="both"/>
              <w:rPr>
                <w:rFonts w:ascii="Arial" w:hAnsi="Arial" w:cs="Arial"/>
                <w:i/>
                <w:color w:val="000000"/>
                <w:sz w:val="22"/>
                <w:szCs w:val="22"/>
              </w:rPr>
            </w:pPr>
            <w:r w:rsidRPr="00337E83">
              <w:rPr>
                <w:rFonts w:ascii="Arial" w:hAnsi="Arial" w:cs="Arial"/>
                <w:b/>
                <w:bCs/>
                <w:i/>
                <w:color w:val="000000"/>
                <w:sz w:val="22"/>
                <w:szCs w:val="22"/>
              </w:rPr>
              <w:t xml:space="preserve">2. Indicar si apoya o no el proyecto </w:t>
            </w:r>
          </w:p>
          <w:p w:rsidR="00337E83" w:rsidRPr="00337E83" w:rsidRDefault="00337E83" w:rsidP="00337E83">
            <w:pPr>
              <w:autoSpaceDE w:val="0"/>
              <w:autoSpaceDN w:val="0"/>
              <w:adjustRightInd w:val="0"/>
              <w:ind w:right="-91"/>
              <w:jc w:val="both"/>
              <w:rPr>
                <w:rFonts w:ascii="Arial" w:eastAsia="Cambria" w:hAnsi="Arial" w:cs="Arial"/>
                <w:b/>
                <w:sz w:val="22"/>
                <w:szCs w:val="22"/>
                <w:u w:val="single"/>
                <w:lang w:val="es-CR" w:eastAsia="en-US"/>
              </w:rPr>
            </w:pPr>
            <w:r w:rsidRPr="00337E83">
              <w:rPr>
                <w:rFonts w:ascii="Arial" w:hAnsi="Arial" w:cs="Arial"/>
                <w:i/>
                <w:sz w:val="22"/>
                <w:szCs w:val="22"/>
              </w:rPr>
              <w:t>Por lo anteriormente expuesto se recomienda apoyar el proyecto de reforma de Ley 20863, “Reforma para incentivar los modelos de capital semilla y capital de riesgo para emprendimientos”.”</w:t>
            </w:r>
          </w:p>
        </w:tc>
      </w:tr>
    </w:tbl>
    <w:p w:rsidR="00337E83" w:rsidRPr="00337E83" w:rsidRDefault="00337E83" w:rsidP="00337E83">
      <w:pPr>
        <w:rPr>
          <w:rFonts w:ascii="Arial" w:hAnsi="Arial" w:cs="Arial"/>
          <w:sz w:val="22"/>
          <w:szCs w:val="22"/>
          <w:lang w:val="es-CR"/>
        </w:rPr>
      </w:pPr>
    </w:p>
    <w:p w:rsidR="00337E83" w:rsidRPr="00337E83" w:rsidRDefault="00337E83" w:rsidP="00337E83">
      <w:pPr>
        <w:jc w:val="both"/>
        <w:rPr>
          <w:rFonts w:ascii="Arial" w:hAnsi="Arial" w:cs="Arial"/>
          <w:sz w:val="22"/>
          <w:szCs w:val="22"/>
          <w:lang w:val="es-CR"/>
        </w:rPr>
      </w:pPr>
    </w:p>
    <w:p w:rsidR="00337E83" w:rsidRPr="00337E83" w:rsidRDefault="00337E83" w:rsidP="00337E83">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2835"/>
        <w:gridCol w:w="1984"/>
        <w:gridCol w:w="3403"/>
      </w:tblGrid>
      <w:tr w:rsidR="00337E83" w:rsidRPr="00337E83" w:rsidTr="00D62E65">
        <w:tc>
          <w:tcPr>
            <w:tcW w:w="155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No. Expediente</w:t>
            </w:r>
          </w:p>
        </w:tc>
        <w:tc>
          <w:tcPr>
            <w:tcW w:w="2835"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Nombre del Proyecto</w:t>
            </w:r>
          </w:p>
        </w:tc>
        <w:tc>
          <w:tcPr>
            <w:tcW w:w="198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Transgrede o no la Autonomía Universitaria</w:t>
            </w:r>
          </w:p>
        </w:tc>
        <w:tc>
          <w:tcPr>
            <w:tcW w:w="3403"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Observaciones de las diferentes entidades institucionales consultadas</w:t>
            </w:r>
          </w:p>
        </w:tc>
      </w:tr>
      <w:tr w:rsidR="00337E83" w:rsidRPr="00337E83" w:rsidTr="00D62E65">
        <w:tc>
          <w:tcPr>
            <w:tcW w:w="1554" w:type="dxa"/>
          </w:tcPr>
          <w:p w:rsidR="00337E83" w:rsidRPr="00337E83" w:rsidRDefault="00337E83" w:rsidP="00337E83">
            <w:pPr>
              <w:autoSpaceDE w:val="0"/>
              <w:autoSpaceDN w:val="0"/>
              <w:adjustRightInd w:val="0"/>
              <w:ind w:right="-91"/>
              <w:jc w:val="center"/>
              <w:rPr>
                <w:rFonts w:ascii="Arial" w:eastAsia="Cambria" w:hAnsi="Arial" w:cs="Arial"/>
                <w:b/>
                <w:sz w:val="22"/>
                <w:szCs w:val="22"/>
                <w:lang w:eastAsia="en-US"/>
              </w:rPr>
            </w:pPr>
            <w:r w:rsidRPr="00337E83">
              <w:rPr>
                <w:rFonts w:ascii="Arial" w:eastAsia="Cambria" w:hAnsi="Arial" w:cs="Arial"/>
                <w:b/>
                <w:sz w:val="22"/>
                <w:szCs w:val="22"/>
                <w:lang w:eastAsia="en-US"/>
              </w:rPr>
              <w:t>20.648</w:t>
            </w:r>
          </w:p>
        </w:tc>
        <w:tc>
          <w:tcPr>
            <w:tcW w:w="2835" w:type="dxa"/>
          </w:tcPr>
          <w:p w:rsidR="00337E83" w:rsidRPr="00337E83" w:rsidRDefault="00337E83" w:rsidP="00337E83">
            <w:pPr>
              <w:autoSpaceDE w:val="0"/>
              <w:autoSpaceDN w:val="0"/>
              <w:adjustRightInd w:val="0"/>
              <w:jc w:val="both"/>
              <w:rPr>
                <w:rFonts w:ascii="Arial" w:eastAsia="Cambria" w:hAnsi="Arial" w:cs="Arial"/>
                <w:sz w:val="22"/>
                <w:szCs w:val="22"/>
                <w:lang w:eastAsia="en-US"/>
              </w:rPr>
            </w:pPr>
            <w:r w:rsidRPr="00337E83">
              <w:rPr>
                <w:rFonts w:ascii="Arial" w:eastAsia="Cambria" w:hAnsi="Arial" w:cs="Arial"/>
                <w:sz w:val="22"/>
                <w:szCs w:val="22"/>
                <w:lang w:eastAsia="en-US"/>
              </w:rPr>
              <w:t>Ley “Adición  un Artículo 100 TER a la Ley de Contratación Administrativa, Ley No. 7494, de 2 de mayo de 1995, y sus Reformas, para Inhabilitar al contratista que incumpla en la Construcción, Reconstrucción, Conservación, Mantenimiento y Rehabilitación de Proyectos de Infraestructura Vial Pública</w:t>
            </w:r>
          </w:p>
        </w:tc>
        <w:tc>
          <w:tcPr>
            <w:tcW w:w="1984" w:type="dxa"/>
          </w:tcPr>
          <w:p w:rsidR="00337E83" w:rsidRPr="00337E83" w:rsidRDefault="00337E83" w:rsidP="00337E83">
            <w:pPr>
              <w:autoSpaceDE w:val="0"/>
              <w:autoSpaceDN w:val="0"/>
              <w:adjustRightInd w:val="0"/>
              <w:ind w:right="-91"/>
              <w:jc w:val="center"/>
              <w:rPr>
                <w:rFonts w:ascii="Arial" w:eastAsia="Cambria" w:hAnsi="Arial" w:cs="Arial"/>
                <w:sz w:val="22"/>
                <w:szCs w:val="22"/>
                <w:lang w:eastAsia="en-US"/>
              </w:rPr>
            </w:pPr>
            <w:r w:rsidRPr="00337E83">
              <w:rPr>
                <w:rFonts w:ascii="Arial" w:eastAsia="Cambria" w:hAnsi="Arial" w:cs="Arial"/>
                <w:sz w:val="22"/>
                <w:szCs w:val="22"/>
                <w:lang w:eastAsia="en-US"/>
              </w:rPr>
              <w:t>No</w:t>
            </w:r>
          </w:p>
        </w:tc>
        <w:tc>
          <w:tcPr>
            <w:tcW w:w="3403" w:type="dxa"/>
          </w:tcPr>
          <w:p w:rsidR="00337E83" w:rsidRPr="00337E83" w:rsidRDefault="00337E83" w:rsidP="00337E83">
            <w:pPr>
              <w:autoSpaceDE w:val="0"/>
              <w:autoSpaceDN w:val="0"/>
              <w:adjustRightInd w:val="0"/>
              <w:ind w:right="-91"/>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Oficina de Asesoría Legal</w:t>
            </w:r>
          </w:p>
          <w:p w:rsidR="00337E83" w:rsidRPr="00337E83" w:rsidRDefault="00337E83" w:rsidP="00337E83">
            <w:pPr>
              <w:jc w:val="both"/>
              <w:rPr>
                <w:rFonts w:ascii="Arial" w:hAnsi="Arial" w:cs="Arial"/>
                <w:b/>
                <w:i/>
                <w:sz w:val="22"/>
                <w:szCs w:val="22"/>
              </w:rPr>
            </w:pPr>
            <w:r w:rsidRPr="00337E83">
              <w:rPr>
                <w:rFonts w:ascii="Arial" w:hAnsi="Arial" w:cs="Arial"/>
                <w:b/>
                <w:i/>
                <w:sz w:val="22"/>
                <w:szCs w:val="22"/>
              </w:rPr>
              <w:t>“II- EXISTENCIA DE ELEMENTOS QUE AMENACEN LA AUTONOMÍA UNIVERSITARIA.</w:t>
            </w:r>
          </w:p>
          <w:p w:rsidR="00337E83" w:rsidRPr="00337E83" w:rsidRDefault="00337E83" w:rsidP="00337E83">
            <w:pPr>
              <w:jc w:val="both"/>
              <w:rPr>
                <w:rFonts w:ascii="Arial" w:hAnsi="Arial" w:cs="Arial"/>
                <w:i/>
                <w:sz w:val="22"/>
                <w:szCs w:val="22"/>
              </w:rPr>
            </w:pPr>
            <w:r w:rsidRPr="00337E83">
              <w:rPr>
                <w:rFonts w:ascii="Arial" w:hAnsi="Arial" w:cs="Arial"/>
                <w:i/>
                <w:sz w:val="22"/>
                <w:szCs w:val="22"/>
              </w:rPr>
              <w:t xml:space="preserve">Se considera que no existen elementos que amenacen la autonomía universitaria. </w:t>
            </w:r>
          </w:p>
          <w:p w:rsidR="00337E83" w:rsidRPr="00337E83" w:rsidRDefault="00337E83" w:rsidP="00337E83">
            <w:pPr>
              <w:jc w:val="both"/>
              <w:rPr>
                <w:rFonts w:ascii="Arial" w:hAnsi="Arial" w:cs="Arial"/>
                <w:i/>
                <w:sz w:val="22"/>
                <w:szCs w:val="22"/>
              </w:rPr>
            </w:pPr>
          </w:p>
          <w:p w:rsidR="00337E83" w:rsidRPr="00337E83" w:rsidRDefault="00337E83" w:rsidP="00337E83">
            <w:pPr>
              <w:jc w:val="both"/>
              <w:rPr>
                <w:rFonts w:ascii="Arial" w:hAnsi="Arial" w:cs="Arial"/>
                <w:b/>
                <w:i/>
                <w:sz w:val="22"/>
                <w:szCs w:val="22"/>
              </w:rPr>
            </w:pPr>
            <w:r w:rsidRPr="00337E83">
              <w:rPr>
                <w:rFonts w:ascii="Arial" w:hAnsi="Arial" w:cs="Arial"/>
                <w:b/>
                <w:i/>
                <w:sz w:val="22"/>
                <w:szCs w:val="22"/>
              </w:rPr>
              <w:t>III-OBSERVACIONES</w:t>
            </w:r>
          </w:p>
          <w:p w:rsidR="00337E83" w:rsidRPr="00337E83" w:rsidRDefault="00337E83" w:rsidP="00337E83">
            <w:pPr>
              <w:contextualSpacing/>
              <w:jc w:val="both"/>
              <w:rPr>
                <w:rFonts w:ascii="Arial" w:hAnsi="Arial" w:cs="Arial"/>
                <w:i/>
                <w:sz w:val="22"/>
                <w:szCs w:val="22"/>
              </w:rPr>
            </w:pPr>
            <w:r w:rsidRPr="00337E83">
              <w:rPr>
                <w:rFonts w:ascii="Arial" w:hAnsi="Arial" w:cs="Arial"/>
                <w:i/>
                <w:sz w:val="22"/>
                <w:szCs w:val="22"/>
              </w:rPr>
              <w:t xml:space="preserve">Llama la atención la diferencia numérica entre el reporte de las observaciones que hace Lanamme de la Universidad de Costa Rica como resultado de las auditorías realizadas a proyectos de ley en el periodo del 2013 a 2018 consistente en 552 hallazgos y observaciones </w:t>
            </w:r>
            <w:r w:rsidRPr="00337E83">
              <w:rPr>
                <w:rFonts w:ascii="Arial" w:hAnsi="Arial" w:cs="Arial"/>
                <w:i/>
                <w:sz w:val="22"/>
                <w:szCs w:val="22"/>
              </w:rPr>
              <w:lastRenderedPageBreak/>
              <w:t xml:space="preserve">de los cuales según se indica el 85% hacen mención a “deficiencias o incumplimientos” y por su parte la Contraloría indica tres inhabilitaciones entre los años 2011 y 2013.( Según las consultas remitidas y correspondientes a la presente iniciativa). </w:t>
            </w:r>
          </w:p>
          <w:p w:rsidR="00337E83" w:rsidRPr="00337E83" w:rsidRDefault="00337E83" w:rsidP="00337E83">
            <w:pPr>
              <w:spacing w:before="100" w:beforeAutospacing="1" w:after="100" w:afterAutospacing="1"/>
              <w:contextualSpacing/>
              <w:jc w:val="both"/>
              <w:rPr>
                <w:rFonts w:ascii="Arial" w:hAnsi="Arial" w:cs="Arial"/>
                <w:i/>
                <w:sz w:val="22"/>
                <w:szCs w:val="22"/>
              </w:rPr>
            </w:pPr>
          </w:p>
          <w:p w:rsidR="00337E83" w:rsidRPr="00337E83" w:rsidRDefault="00337E83" w:rsidP="00337E83">
            <w:pPr>
              <w:spacing w:before="100" w:beforeAutospacing="1" w:after="100" w:afterAutospacing="1"/>
              <w:contextualSpacing/>
              <w:jc w:val="both"/>
              <w:rPr>
                <w:rFonts w:ascii="Arial" w:hAnsi="Arial" w:cs="Arial"/>
                <w:i/>
                <w:sz w:val="22"/>
                <w:szCs w:val="22"/>
              </w:rPr>
            </w:pPr>
            <w:r w:rsidRPr="00337E83">
              <w:rPr>
                <w:rFonts w:ascii="Arial" w:hAnsi="Arial" w:cs="Arial"/>
                <w:i/>
                <w:sz w:val="22"/>
                <w:szCs w:val="22"/>
              </w:rPr>
              <w:t>Debido a lo anterior es lo que se trata solventar con la presente iniciativa no obstante y observando las implicaciones y el persistente problema relacionado con la infraestructura vial, sería recomendable que, en la construcción de este tipo de proyectos de ley, se pueda llevar a cabo por parte de los señores y señoras diputados, un análisis global normativo, práctico, técnico, entre otros.</w:t>
            </w:r>
          </w:p>
          <w:p w:rsidR="00337E83" w:rsidRPr="00337E83" w:rsidRDefault="00337E83" w:rsidP="00337E83">
            <w:pPr>
              <w:autoSpaceDE w:val="0"/>
              <w:autoSpaceDN w:val="0"/>
              <w:adjustRightInd w:val="0"/>
              <w:ind w:right="-91"/>
              <w:rPr>
                <w:rFonts w:ascii="Arial" w:eastAsia="Cambria" w:hAnsi="Arial" w:cs="Arial"/>
                <w:b/>
                <w:sz w:val="22"/>
                <w:szCs w:val="22"/>
                <w:u w:val="single"/>
                <w:lang w:val="es-CR" w:eastAsia="en-US"/>
              </w:rPr>
            </w:pPr>
          </w:p>
          <w:p w:rsidR="00337E83" w:rsidRPr="00337E83" w:rsidRDefault="00337E83" w:rsidP="00337E83">
            <w:pPr>
              <w:autoSpaceDE w:val="0"/>
              <w:autoSpaceDN w:val="0"/>
              <w:adjustRightInd w:val="0"/>
              <w:ind w:right="-91"/>
              <w:jc w:val="both"/>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Escuela de Ingeniería en Construcción</w:t>
            </w:r>
          </w:p>
          <w:p w:rsidR="00337E83" w:rsidRPr="00337E83" w:rsidRDefault="00337E83" w:rsidP="00337E83">
            <w:pPr>
              <w:autoSpaceDE w:val="0"/>
              <w:autoSpaceDN w:val="0"/>
              <w:adjustRightInd w:val="0"/>
              <w:ind w:right="-91"/>
              <w:rPr>
                <w:rFonts w:ascii="Arial" w:eastAsia="Cambria" w:hAnsi="Arial" w:cs="Arial"/>
                <w:b/>
                <w:sz w:val="22"/>
                <w:szCs w:val="22"/>
                <w:u w:val="single"/>
                <w:lang w:val="es-CR" w:eastAsia="en-US"/>
              </w:rPr>
            </w:pPr>
          </w:p>
          <w:p w:rsidR="00337E83" w:rsidRPr="00337E83" w:rsidRDefault="00337E83" w:rsidP="00337E83">
            <w:pPr>
              <w:autoSpaceDE w:val="0"/>
              <w:autoSpaceDN w:val="0"/>
              <w:adjustRightInd w:val="0"/>
              <w:jc w:val="both"/>
              <w:rPr>
                <w:rFonts w:ascii="Arial" w:hAnsi="Arial" w:cs="Arial"/>
                <w:i/>
                <w:sz w:val="22"/>
                <w:szCs w:val="22"/>
              </w:rPr>
            </w:pPr>
            <w:r w:rsidRPr="00337E83">
              <w:rPr>
                <w:rFonts w:ascii="Arial" w:hAnsi="Arial" w:cs="Arial"/>
                <w:i/>
                <w:sz w:val="22"/>
                <w:szCs w:val="22"/>
              </w:rPr>
              <w:t>“Basados en la documentación aportada, nos permitimos externar las siguientes observaciones</w:t>
            </w:r>
            <w:r w:rsidRPr="00337E83">
              <w:rPr>
                <w:rFonts w:ascii="Arial" w:hAnsi="Arial" w:cs="Arial"/>
                <w:i/>
                <w:sz w:val="22"/>
                <w:szCs w:val="22"/>
                <w:vertAlign w:val="superscript"/>
              </w:rPr>
              <w:footnoteReference w:id="1"/>
            </w:r>
            <w:r w:rsidRPr="00337E83">
              <w:rPr>
                <w:rFonts w:ascii="Arial" w:hAnsi="Arial" w:cs="Arial"/>
                <w:i/>
                <w:sz w:val="22"/>
                <w:szCs w:val="22"/>
              </w:rPr>
              <w:t>:</w:t>
            </w:r>
          </w:p>
          <w:p w:rsidR="00337E83" w:rsidRPr="00337E83" w:rsidRDefault="00337E83" w:rsidP="00337E83">
            <w:pPr>
              <w:jc w:val="both"/>
              <w:rPr>
                <w:rFonts w:ascii="Arial" w:hAnsi="Arial" w:cs="Arial"/>
                <w:i/>
                <w:sz w:val="22"/>
                <w:szCs w:val="22"/>
              </w:rPr>
            </w:pPr>
          </w:p>
          <w:p w:rsidR="00337E83" w:rsidRPr="00337E83" w:rsidRDefault="00337E83" w:rsidP="00337E83">
            <w:pPr>
              <w:numPr>
                <w:ilvl w:val="0"/>
                <w:numId w:val="23"/>
              </w:numPr>
              <w:ind w:left="325" w:hanging="283"/>
              <w:jc w:val="both"/>
              <w:rPr>
                <w:rFonts w:ascii="Arial" w:hAnsi="Arial" w:cs="Arial"/>
                <w:i/>
                <w:sz w:val="22"/>
                <w:szCs w:val="22"/>
                <w:lang w:eastAsia="es-CR"/>
              </w:rPr>
            </w:pPr>
            <w:r w:rsidRPr="00337E83">
              <w:rPr>
                <w:rFonts w:ascii="Arial" w:hAnsi="Arial" w:cs="Arial"/>
                <w:i/>
                <w:sz w:val="22"/>
                <w:szCs w:val="22"/>
                <w:lang w:eastAsia="es-CR"/>
              </w:rPr>
              <w:t xml:space="preserve">En general no se muestran los argumentos ni a favor ni en contra de la mayoría de los entes consultados. </w:t>
            </w:r>
          </w:p>
          <w:p w:rsidR="00337E83" w:rsidRPr="00337E83" w:rsidRDefault="00337E83" w:rsidP="00337E83">
            <w:pPr>
              <w:numPr>
                <w:ilvl w:val="0"/>
                <w:numId w:val="23"/>
              </w:numPr>
              <w:ind w:left="325" w:hanging="283"/>
              <w:jc w:val="both"/>
              <w:rPr>
                <w:rFonts w:ascii="Arial" w:hAnsi="Arial" w:cs="Arial"/>
                <w:i/>
                <w:sz w:val="22"/>
                <w:szCs w:val="22"/>
                <w:lang w:eastAsia="es-CR"/>
              </w:rPr>
            </w:pPr>
            <w:r w:rsidRPr="00337E83">
              <w:rPr>
                <w:rFonts w:ascii="Arial" w:hAnsi="Arial" w:cs="Arial"/>
                <w:i/>
                <w:sz w:val="22"/>
                <w:szCs w:val="22"/>
                <w:lang w:eastAsia="es-CR"/>
              </w:rPr>
              <w:t>No se conoce el criterio del sector privado a través de organizaciones como las cámaras de consultores o constructores.</w:t>
            </w:r>
          </w:p>
          <w:p w:rsidR="00337E83" w:rsidRPr="00337E83" w:rsidRDefault="00337E83" w:rsidP="00337E83">
            <w:pPr>
              <w:numPr>
                <w:ilvl w:val="0"/>
                <w:numId w:val="23"/>
              </w:numPr>
              <w:ind w:left="325" w:hanging="283"/>
              <w:jc w:val="both"/>
              <w:rPr>
                <w:rFonts w:ascii="Arial" w:hAnsi="Arial" w:cs="Arial"/>
                <w:i/>
                <w:sz w:val="22"/>
                <w:szCs w:val="22"/>
                <w:lang w:eastAsia="es-CR"/>
              </w:rPr>
            </w:pPr>
            <w:r w:rsidRPr="00337E83">
              <w:rPr>
                <w:rFonts w:ascii="Arial" w:hAnsi="Arial" w:cs="Arial"/>
                <w:i/>
                <w:sz w:val="22"/>
                <w:szCs w:val="22"/>
                <w:lang w:eastAsia="es-CR"/>
              </w:rPr>
              <w:t xml:space="preserve">No queda claro, a no ser que se contemple en otro artículo de dicha ley o en algún reglamento, los criterios para la sanción por inhabilitación para decidir el periodo entre 3 y 10 años, aparentemente dejándolo a criterio de la administración por lo que </w:t>
            </w:r>
            <w:r w:rsidRPr="00337E83">
              <w:rPr>
                <w:rFonts w:ascii="Arial" w:hAnsi="Arial" w:cs="Arial"/>
                <w:i/>
                <w:sz w:val="22"/>
                <w:szCs w:val="22"/>
                <w:lang w:eastAsia="es-CR"/>
              </w:rPr>
              <w:lastRenderedPageBreak/>
              <w:t>puede ser cuestionado en cualquier momento.</w:t>
            </w:r>
          </w:p>
          <w:p w:rsidR="00337E83" w:rsidRPr="00337E83" w:rsidRDefault="00337E83" w:rsidP="00337E83">
            <w:pPr>
              <w:numPr>
                <w:ilvl w:val="0"/>
                <w:numId w:val="23"/>
              </w:numPr>
              <w:ind w:left="325" w:hanging="283"/>
              <w:jc w:val="both"/>
              <w:rPr>
                <w:rFonts w:ascii="Arial" w:hAnsi="Arial" w:cs="Arial"/>
                <w:i/>
                <w:sz w:val="22"/>
                <w:szCs w:val="22"/>
                <w:lang w:eastAsia="es-CR"/>
              </w:rPr>
            </w:pPr>
            <w:r w:rsidRPr="00337E83">
              <w:rPr>
                <w:rFonts w:ascii="Arial" w:hAnsi="Arial" w:cs="Arial"/>
                <w:i/>
                <w:sz w:val="22"/>
                <w:szCs w:val="22"/>
                <w:lang w:eastAsia="es-CR"/>
              </w:rPr>
              <w:t>La reforma propuesta se limita a proyectos de infraestructura vial, cuando debería considerarse cualquier proyecto de obra pública, por las implicaciones que estos proyectos tienen para la sociedad en general.</w:t>
            </w:r>
          </w:p>
          <w:p w:rsidR="00337E83" w:rsidRPr="00337E83" w:rsidRDefault="00337E83" w:rsidP="00337E83">
            <w:pPr>
              <w:ind w:left="1065"/>
              <w:rPr>
                <w:rFonts w:ascii="Arial" w:eastAsia="SimSun" w:hAnsi="Arial" w:cs="Arial"/>
                <w:i/>
                <w:iCs/>
                <w:sz w:val="22"/>
                <w:szCs w:val="22"/>
              </w:rPr>
            </w:pPr>
          </w:p>
          <w:p w:rsidR="00337E83" w:rsidRPr="00337E83" w:rsidRDefault="00337E83" w:rsidP="00337E83">
            <w:pPr>
              <w:rPr>
                <w:rFonts w:ascii="Arial" w:hAnsi="Arial" w:cs="Arial"/>
                <w:b/>
                <w:i/>
                <w:sz w:val="22"/>
                <w:szCs w:val="22"/>
                <w:lang w:eastAsia="es-CR"/>
              </w:rPr>
            </w:pPr>
            <w:r w:rsidRPr="00337E83">
              <w:rPr>
                <w:rFonts w:ascii="Arial" w:hAnsi="Arial" w:cs="Arial"/>
                <w:b/>
                <w:i/>
                <w:sz w:val="22"/>
                <w:szCs w:val="22"/>
                <w:lang w:eastAsia="es-CR"/>
              </w:rPr>
              <w:t>Apoyar o no el Proyecto.</w:t>
            </w:r>
          </w:p>
          <w:p w:rsidR="00337E83" w:rsidRPr="00337E83" w:rsidRDefault="00337E83" w:rsidP="00337E83">
            <w:pPr>
              <w:jc w:val="both"/>
              <w:rPr>
                <w:rFonts w:ascii="Arial" w:eastAsia="SimSun" w:hAnsi="Arial" w:cs="Arial"/>
                <w:i/>
                <w:iCs/>
                <w:sz w:val="22"/>
                <w:szCs w:val="22"/>
              </w:rPr>
            </w:pPr>
            <w:r w:rsidRPr="00337E83">
              <w:rPr>
                <w:rFonts w:ascii="Arial" w:eastAsia="SimSun" w:hAnsi="Arial" w:cs="Arial"/>
                <w:i/>
                <w:iCs/>
                <w:sz w:val="22"/>
                <w:szCs w:val="22"/>
              </w:rPr>
              <w:t>Se apoya la iniciativa si el artículo se generaliza a cualquier proyecto de obra pública.</w:t>
            </w:r>
          </w:p>
          <w:p w:rsidR="00337E83" w:rsidRPr="00337E83" w:rsidRDefault="00337E83" w:rsidP="00337E83">
            <w:pPr>
              <w:rPr>
                <w:rFonts w:ascii="Arial" w:eastAsia="SimSun" w:hAnsi="Arial" w:cs="Arial"/>
                <w:i/>
                <w:iCs/>
                <w:sz w:val="22"/>
                <w:szCs w:val="22"/>
              </w:rPr>
            </w:pPr>
            <w:r w:rsidRPr="00337E83">
              <w:rPr>
                <w:rFonts w:ascii="Arial" w:eastAsia="SimSun" w:hAnsi="Arial" w:cs="Arial"/>
                <w:i/>
                <w:iCs/>
                <w:sz w:val="22"/>
                <w:szCs w:val="22"/>
              </w:rPr>
              <w:t>Además, se debe reglamentar la forma en que se va a aplicar el artículo.”</w:t>
            </w:r>
          </w:p>
          <w:p w:rsidR="00337E83" w:rsidRPr="00337E83" w:rsidRDefault="00337E83" w:rsidP="00337E83">
            <w:pPr>
              <w:autoSpaceDE w:val="0"/>
              <w:autoSpaceDN w:val="0"/>
              <w:adjustRightInd w:val="0"/>
              <w:ind w:right="-91"/>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t>Oficina de Ingeniería</w:t>
            </w:r>
          </w:p>
          <w:p w:rsidR="00337E83" w:rsidRPr="00337E83" w:rsidRDefault="00337E83" w:rsidP="00337E83">
            <w:pPr>
              <w:shd w:val="clear" w:color="auto" w:fill="FFFFFF"/>
              <w:jc w:val="both"/>
              <w:rPr>
                <w:rFonts w:ascii="Arial" w:hAnsi="Arial" w:cs="Arial"/>
                <w:i/>
                <w:color w:val="333333"/>
                <w:sz w:val="22"/>
                <w:szCs w:val="22"/>
                <w:lang w:eastAsia="es-CR"/>
              </w:rPr>
            </w:pPr>
            <w:r w:rsidRPr="00337E83">
              <w:rPr>
                <w:rFonts w:ascii="Arial" w:hAnsi="Arial" w:cs="Arial"/>
                <w:i/>
                <w:color w:val="333333"/>
                <w:sz w:val="22"/>
                <w:szCs w:val="22"/>
                <w:lang w:eastAsia="es-CR"/>
              </w:rPr>
              <w:t xml:space="preserve">“Sobre este particular y luego de haber analizado el texto, concluimos en que no debemos referirnos a la propuesta, en tanto en que la misma no está dirigida al tipo de obra que llevan a cabo las universidades públicas en tanto que se indica: </w:t>
            </w:r>
          </w:p>
          <w:p w:rsidR="00337E83" w:rsidRPr="00337E83" w:rsidRDefault="00337E83" w:rsidP="00337E83">
            <w:pPr>
              <w:shd w:val="clear" w:color="auto" w:fill="FFFFFF"/>
              <w:ind w:left="325" w:right="316"/>
              <w:jc w:val="both"/>
              <w:rPr>
                <w:rFonts w:ascii="Arial" w:hAnsi="Arial" w:cs="Arial"/>
                <w:i/>
                <w:color w:val="333333"/>
                <w:sz w:val="20"/>
                <w:szCs w:val="20"/>
                <w:lang w:eastAsia="es-CR"/>
              </w:rPr>
            </w:pPr>
            <w:r w:rsidRPr="00337E83">
              <w:rPr>
                <w:rFonts w:ascii="Arial" w:hAnsi="Arial" w:cs="Arial"/>
                <w:i/>
                <w:color w:val="333333"/>
                <w:sz w:val="20"/>
                <w:szCs w:val="20"/>
                <w:lang w:eastAsia="es-CR"/>
              </w:rPr>
              <w:t>“Para efectos de este artículo, se entenderá por proyectos de infraestructura vial pública, aquellos que impliquen la construcción, reconstrucción, conservación, mantenimiento y rehabilitación, que sean ejecutados por el Estado y los gobiernos locales en las vías nacionales y cantonales respectivamente, incluyendo cualquier tipo de obras relacionadas con puentes”</w:t>
            </w:r>
          </w:p>
          <w:p w:rsidR="00337E83" w:rsidRPr="00337E83" w:rsidRDefault="00337E83" w:rsidP="00337E83">
            <w:pPr>
              <w:jc w:val="both"/>
              <w:rPr>
                <w:rFonts w:ascii="Arial" w:hAnsi="Arial" w:cs="Arial"/>
                <w:i/>
                <w:color w:val="333333"/>
                <w:sz w:val="22"/>
                <w:szCs w:val="22"/>
                <w:lang w:eastAsia="es-CR"/>
              </w:rPr>
            </w:pPr>
            <w:r w:rsidRPr="00337E83">
              <w:rPr>
                <w:rFonts w:ascii="Arial" w:hAnsi="Arial" w:cs="Arial"/>
                <w:i/>
                <w:color w:val="333333"/>
                <w:sz w:val="22"/>
                <w:szCs w:val="22"/>
                <w:lang w:eastAsia="es-CR"/>
              </w:rPr>
              <w:t>En lo que si estamos de acuerdo es en apoyar toda aquella normativa que tienda establecer mecanismos claros para inhabilitar a aquellas empresas que llevan a cabo obra pública para el estado y sus instituciones, que no cumplen con lo establecido en los contratos, en cuanto a tiempo de entrega, calidad de la obras y compromisos post entrega.”</w:t>
            </w:r>
          </w:p>
          <w:p w:rsidR="00337E83" w:rsidRPr="00337E83" w:rsidRDefault="00337E83" w:rsidP="00337E83">
            <w:pPr>
              <w:jc w:val="both"/>
              <w:rPr>
                <w:rFonts w:ascii="Arial" w:hAnsi="Arial" w:cs="Arial"/>
                <w:i/>
                <w:color w:val="333333"/>
                <w:sz w:val="22"/>
                <w:szCs w:val="22"/>
                <w:lang w:eastAsia="es-CR"/>
              </w:rPr>
            </w:pPr>
          </w:p>
          <w:p w:rsidR="00337E83" w:rsidRPr="00337E83" w:rsidRDefault="00337E83" w:rsidP="00337E83">
            <w:pPr>
              <w:autoSpaceDE w:val="0"/>
              <w:autoSpaceDN w:val="0"/>
              <w:adjustRightInd w:val="0"/>
              <w:ind w:right="-91"/>
              <w:jc w:val="both"/>
              <w:rPr>
                <w:rFonts w:ascii="Arial" w:eastAsia="Cambria" w:hAnsi="Arial" w:cs="Arial"/>
                <w:b/>
                <w:i/>
                <w:sz w:val="22"/>
                <w:szCs w:val="22"/>
                <w:u w:val="single"/>
                <w:lang w:eastAsia="en-US"/>
              </w:rPr>
            </w:pPr>
            <w:r w:rsidRPr="00337E83">
              <w:rPr>
                <w:rFonts w:ascii="Arial" w:eastAsia="Cambria" w:hAnsi="Arial" w:cs="Arial"/>
                <w:b/>
                <w:i/>
                <w:sz w:val="22"/>
                <w:szCs w:val="22"/>
                <w:u w:val="single"/>
                <w:lang w:eastAsia="en-US"/>
              </w:rPr>
              <w:lastRenderedPageBreak/>
              <w:t>Departamento de Aprovisionamiento</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 Esta Dirección no tiene ninguna objeción al proyecto haciendo la salvedad</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que la institución no realiza este tipo de obras.</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 No es claro el proyecto en detallar si la inhabilitación a proveedores será</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únicamente en la rama de la construcción, reconstrucción, conservación,</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mantenimiento y rehabilitación de proyectos de infraestructura vial pública esto por cuanto este tipo de empresas también pudiesen desarrollar</w:t>
            </w:r>
          </w:p>
          <w:p w:rsidR="00337E83" w:rsidRPr="00337E83" w:rsidRDefault="00337E83" w:rsidP="00337E83">
            <w:pPr>
              <w:autoSpaceDE w:val="0"/>
              <w:autoSpaceDN w:val="0"/>
              <w:adjustRightInd w:val="0"/>
              <w:jc w:val="both"/>
              <w:rPr>
                <w:rFonts w:ascii="Arial" w:eastAsiaTheme="minorHAnsi" w:hAnsi="Arial" w:cs="Arial"/>
                <w:i/>
                <w:sz w:val="22"/>
                <w:szCs w:val="22"/>
                <w:lang w:eastAsia="en-US"/>
              </w:rPr>
            </w:pPr>
            <w:r w:rsidRPr="00337E83">
              <w:rPr>
                <w:rFonts w:ascii="Arial" w:eastAsiaTheme="minorHAnsi" w:hAnsi="Arial" w:cs="Arial"/>
                <w:i/>
                <w:sz w:val="22"/>
                <w:szCs w:val="22"/>
                <w:lang w:eastAsia="en-US"/>
              </w:rPr>
              <w:t>infraestructura.”</w:t>
            </w:r>
          </w:p>
        </w:tc>
      </w:tr>
    </w:tbl>
    <w:p w:rsidR="00337E83" w:rsidRPr="00337E83" w:rsidRDefault="00337E83" w:rsidP="00337E83">
      <w:pPr>
        <w:autoSpaceDE w:val="0"/>
        <w:autoSpaceDN w:val="0"/>
        <w:adjustRightInd w:val="0"/>
        <w:ind w:right="-91"/>
        <w:jc w:val="both"/>
        <w:rPr>
          <w:rFonts w:ascii="Arial" w:eastAsia="Cambria" w:hAnsi="Arial" w:cs="Arial"/>
          <w:sz w:val="22"/>
          <w:szCs w:val="22"/>
          <w:u w:val="single"/>
          <w:lang w:val="es-CR" w:eastAsia="en-US"/>
        </w:rPr>
      </w:pPr>
    </w:p>
    <w:p w:rsidR="002E7062" w:rsidRDefault="002E7062" w:rsidP="007742A1">
      <w:pPr>
        <w:jc w:val="both"/>
        <w:rPr>
          <w:rFonts w:ascii="Arial" w:eastAsia="Cambria" w:hAnsi="Arial" w:cs="Arial"/>
          <w:lang w:val="es-ES_tradnl" w:eastAsia="en-US"/>
        </w:rPr>
      </w:pPr>
    </w:p>
    <w:p w:rsidR="00215C41" w:rsidRDefault="00BB6A5E" w:rsidP="00337E83">
      <w:pPr>
        <w:numPr>
          <w:ilvl w:val="0"/>
          <w:numId w:val="19"/>
        </w:numPr>
        <w:ind w:left="426" w:hanging="426"/>
        <w:jc w:val="both"/>
        <w:rPr>
          <w:rFonts w:ascii="Arial" w:hAnsi="Arial" w:cs="Arial"/>
          <w:b/>
          <w:lang w:val="es-CR"/>
        </w:rPr>
      </w:pPr>
      <w:r w:rsidRPr="002E7062">
        <w:rPr>
          <w:rFonts w:ascii="Arial" w:eastAsia="Cambria" w:hAnsi="Arial" w:cs="Arial"/>
          <w:lang w:eastAsia="en-US"/>
        </w:rPr>
        <w:t>Comunicar</w:t>
      </w:r>
      <w:r w:rsidRPr="002E7062">
        <w:rPr>
          <w:rFonts w:ascii="Arial" w:hAnsi="Arial" w:cs="Arial"/>
          <w:lang w:val="es-CR"/>
        </w:rPr>
        <w:t xml:space="preserve">. </w:t>
      </w:r>
      <w:r w:rsidRPr="002E7062">
        <w:rPr>
          <w:rFonts w:ascii="Arial" w:hAnsi="Arial" w:cs="Arial"/>
          <w:b/>
          <w:lang w:val="es-CR"/>
        </w:rPr>
        <w:t xml:space="preserve"> ACUERDO FIRME.</w:t>
      </w:r>
    </w:p>
    <w:p w:rsidR="00337E83" w:rsidRDefault="00337E83" w:rsidP="00337E83">
      <w:pPr>
        <w:jc w:val="both"/>
        <w:rPr>
          <w:rFonts w:ascii="Arial" w:hAnsi="Arial" w:cs="Arial"/>
          <w:b/>
          <w:lang w:val="es-CR"/>
        </w:rPr>
      </w:pPr>
    </w:p>
    <w:p w:rsidR="00084DC2" w:rsidRPr="00337E83" w:rsidRDefault="00337E83" w:rsidP="00337E83">
      <w:pPr>
        <w:autoSpaceDE w:val="0"/>
        <w:autoSpaceDN w:val="0"/>
        <w:adjustRightInd w:val="0"/>
        <w:ind w:right="-91"/>
        <w:jc w:val="both"/>
        <w:rPr>
          <w:rFonts w:ascii="Arial" w:hAnsi="Arial" w:cs="Arial"/>
          <w:b/>
          <w:sz w:val="22"/>
          <w:szCs w:val="22"/>
          <w:lang w:val="es-CR"/>
        </w:rPr>
      </w:pPr>
      <w:r w:rsidRPr="00337E83">
        <w:rPr>
          <w:rFonts w:ascii="Arial" w:hAnsi="Arial" w:cs="Arial"/>
          <w:b/>
          <w:sz w:val="22"/>
          <w:szCs w:val="22"/>
          <w:lang w:val="es-CR"/>
        </w:rPr>
        <w:t xml:space="preserve">PALABRAS CLAVE:   </w:t>
      </w:r>
      <w:r w:rsidRPr="00337E83">
        <w:rPr>
          <w:rFonts w:ascii="Arial" w:hAnsi="Arial" w:cs="Arial"/>
          <w:sz w:val="22"/>
          <w:szCs w:val="22"/>
          <w:lang w:val="es-CR"/>
        </w:rPr>
        <w:t>Proyectos – Ley- Exps. - 20.648 y 20.863</w:t>
      </w:r>
    </w:p>
    <w:p w:rsidR="002E7062" w:rsidRDefault="002E7062" w:rsidP="002E7062">
      <w:pPr>
        <w:autoSpaceDE w:val="0"/>
        <w:autoSpaceDN w:val="0"/>
        <w:adjustRightInd w:val="0"/>
        <w:ind w:left="360"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8F6C51">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337E83">
        <w:rPr>
          <w:rFonts w:ascii="Arial" w:eastAsia="Cambria" w:hAnsi="Arial" w:cs="Arial"/>
          <w:b/>
          <w:sz w:val="16"/>
          <w:szCs w:val="16"/>
          <w:lang w:val="es-CR" w:eastAsia="en-US"/>
        </w:rPr>
        <w:t>Unidad Desconcentrada de la Carrera de Administración de Empresas del Campus Tecnológico Local San Carlos</w:t>
      </w:r>
    </w:p>
    <w:p w:rsidR="00337E83" w:rsidRDefault="00337E83" w:rsidP="008F6C51">
      <w:pPr>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VIE</w:t>
      </w:r>
    </w:p>
    <w:p w:rsidR="00337E83" w:rsidRDefault="00337E83" w:rsidP="008F6C51">
      <w:pPr>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Escuela Ingeniería en Construcción </w:t>
      </w:r>
    </w:p>
    <w:p w:rsidR="00337E83" w:rsidRDefault="00337E83" w:rsidP="008F6C51">
      <w:pPr>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Oficina Ingeniería</w:t>
      </w:r>
    </w:p>
    <w:p w:rsidR="00337E83" w:rsidRDefault="00337E83" w:rsidP="008F6C51">
      <w:pPr>
        <w:jc w:val="both"/>
        <w:rPr>
          <w:rFonts w:ascii="Arial" w:eastAsia="Cambria" w:hAnsi="Arial" w:cs="Arial"/>
          <w:b/>
          <w:sz w:val="16"/>
          <w:szCs w:val="16"/>
          <w:lang w:val="es-CR" w:eastAsia="en-US"/>
        </w:rPr>
      </w:pPr>
      <w:r>
        <w:rPr>
          <w:rFonts w:ascii="Arial" w:eastAsia="Cambria" w:hAnsi="Arial" w:cs="Arial"/>
          <w:b/>
          <w:sz w:val="16"/>
          <w:szCs w:val="16"/>
          <w:lang w:val="es-CR" w:eastAsia="en-US"/>
        </w:rPr>
        <w:t xml:space="preserve">          Departamento de Aprovisionamiento </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7A" w:rsidRDefault="0073757A">
      <w:r>
        <w:separator/>
      </w:r>
    </w:p>
  </w:endnote>
  <w:endnote w:type="continuationSeparator" w:id="0">
    <w:p w:rsidR="0073757A" w:rsidRDefault="00737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7A" w:rsidRDefault="0073757A">
      <w:r>
        <w:separator/>
      </w:r>
    </w:p>
  </w:footnote>
  <w:footnote w:type="continuationSeparator" w:id="0">
    <w:p w:rsidR="0073757A" w:rsidRDefault="0073757A">
      <w:r>
        <w:continuationSeparator/>
      </w:r>
    </w:p>
  </w:footnote>
  <w:footnote w:id="1">
    <w:p w:rsidR="00337E83" w:rsidRPr="00DD4F93" w:rsidRDefault="00337E83" w:rsidP="00337E83">
      <w:pPr>
        <w:rPr>
          <w:sz w:val="16"/>
          <w:szCs w:val="16"/>
        </w:rPr>
      </w:pPr>
      <w:r w:rsidRPr="00DD4F93">
        <w:rPr>
          <w:rStyle w:val="Refdenotaalpie"/>
          <w:rFonts w:eastAsiaTheme="majorEastAsia"/>
          <w:sz w:val="16"/>
          <w:szCs w:val="16"/>
        </w:rPr>
        <w:footnoteRef/>
      </w:r>
      <w:r w:rsidRPr="00DD4F93">
        <w:rPr>
          <w:sz w:val="16"/>
          <w:szCs w:val="16"/>
        </w:rPr>
        <w:t xml:space="preserve"> Se realizan observaciones técnicas en el área de competencia de la Escuela de Ingeniería en Construcción y no legales.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7A1C4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7A1C46">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7A1C46">
      <w:rPr>
        <w:rFonts w:ascii="Arial" w:eastAsia="Cambria" w:hAnsi="Arial" w:cs="Arial"/>
        <w:i/>
        <w:sz w:val="18"/>
        <w:szCs w:val="18"/>
        <w:lang w:val="es-ES_tradnl" w:eastAsia="x-none"/>
      </w:rPr>
      <w:t>20</w:t>
    </w:r>
    <w:r>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53158">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4"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1"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6"/>
  </w:num>
  <w:num w:numId="7">
    <w:abstractNumId w:val="16"/>
  </w:num>
  <w:num w:numId="8">
    <w:abstractNumId w:val="17"/>
  </w:num>
  <w:num w:numId="9">
    <w:abstractNumId w:val="9"/>
  </w:num>
  <w:num w:numId="10">
    <w:abstractNumId w:val="11"/>
  </w:num>
  <w:num w:numId="11">
    <w:abstractNumId w:val="21"/>
  </w:num>
  <w:num w:numId="12">
    <w:abstractNumId w:val="8"/>
  </w:num>
  <w:num w:numId="13">
    <w:abstractNumId w:val="3"/>
  </w:num>
  <w:num w:numId="14">
    <w:abstractNumId w:val="13"/>
  </w:num>
  <w:num w:numId="15">
    <w:abstractNumId w:val="15"/>
  </w:num>
  <w:num w:numId="16">
    <w:abstractNumId w:val="4"/>
  </w:num>
  <w:num w:numId="17">
    <w:abstractNumId w:val="18"/>
  </w:num>
  <w:num w:numId="18">
    <w:abstractNumId w:val="14"/>
  </w:num>
  <w:num w:numId="19">
    <w:abstractNumId w:val="10"/>
  </w:num>
  <w:num w:numId="20">
    <w:abstractNumId w:val="19"/>
  </w:num>
  <w:num w:numId="21">
    <w:abstractNumId w:val="22"/>
  </w:num>
  <w:num w:numId="22">
    <w:abstractNumId w:val="20"/>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5936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2E36-29CB-4940-BE30-9AF876C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6</Pages>
  <Words>1349</Words>
  <Characters>7425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111</cp:revision>
  <cp:lastPrinted>2019-03-20T22:17:00Z</cp:lastPrinted>
  <dcterms:created xsi:type="dcterms:W3CDTF">2018-05-02T21:37:00Z</dcterms:created>
  <dcterms:modified xsi:type="dcterms:W3CDTF">2019-03-21T16:21:00Z</dcterms:modified>
</cp:coreProperties>
</file>