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97601A">
        <w:rPr>
          <w:rFonts w:ascii="Arial" w:hAnsi="Arial" w:cs="Arial"/>
          <w:b/>
          <w:bCs/>
          <w:iCs/>
          <w:sz w:val="26"/>
          <w:szCs w:val="22"/>
          <w:lang w:val="es-CR"/>
        </w:rPr>
        <w:t>248-</w:t>
      </w:r>
      <w:bookmarkStart w:id="0" w:name="_GoBack"/>
      <w:bookmarkEnd w:id="0"/>
      <w:r w:rsidRPr="00D958BC">
        <w:rPr>
          <w:rFonts w:ascii="Arial" w:hAnsi="Arial" w:cs="Arial"/>
          <w:b/>
          <w:bCs/>
          <w:iCs/>
          <w:sz w:val="26"/>
          <w:szCs w:val="22"/>
          <w:lang w:val="es-CR"/>
        </w:rPr>
        <w:t>201</w:t>
      </w:r>
      <w:r w:rsidR="000857E5">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348" w:type="dxa"/>
        <w:tblInd w:w="108" w:type="dxa"/>
        <w:tblLayout w:type="fixed"/>
        <w:tblLook w:val="01E0" w:firstRow="1" w:lastRow="1" w:firstColumn="1" w:lastColumn="1" w:noHBand="0" w:noVBand="0"/>
      </w:tblPr>
      <w:tblGrid>
        <w:gridCol w:w="1374"/>
        <w:gridCol w:w="7974"/>
      </w:tblGrid>
      <w:tr w:rsidR="007742A1" w:rsidRPr="00C413F4" w:rsidTr="00C76420">
        <w:trPr>
          <w:trHeight w:val="588"/>
        </w:trPr>
        <w:tc>
          <w:tcPr>
            <w:tcW w:w="137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974" w:type="dxa"/>
          </w:tcPr>
          <w:p w:rsidR="000C7F00" w:rsidRDefault="007A1C46"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p>
          <w:p w:rsidR="00997041" w:rsidRDefault="0099704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Carlos Alvarado Quesada, Presidente de la República</w:t>
            </w:r>
          </w:p>
          <w:p w:rsidR="00997041" w:rsidRPr="00997041" w:rsidRDefault="00997041" w:rsidP="00E277A1">
            <w:pPr>
              <w:ind w:left="45"/>
              <w:jc w:val="both"/>
              <w:rPr>
                <w:rFonts w:ascii="Arial" w:eastAsia="Cambria" w:hAnsi="Arial" w:cs="Arial"/>
                <w:sz w:val="22"/>
                <w:szCs w:val="22"/>
                <w:lang w:val="es-ES_tradnl" w:eastAsia="en-US"/>
              </w:rPr>
            </w:pPr>
            <w:r w:rsidRPr="00997041">
              <w:rPr>
                <w:rFonts w:ascii="Arial" w:eastAsia="Cambria" w:hAnsi="Arial" w:cs="Arial"/>
                <w:sz w:val="22"/>
                <w:szCs w:val="22"/>
                <w:lang w:val="es-ES_tradnl" w:eastAsia="en-US"/>
              </w:rPr>
              <w:t>Srta. Carolina Hidalgo Herrer</w:t>
            </w:r>
            <w:r w:rsidRPr="00997041">
              <w:rPr>
                <w:rFonts w:ascii="Arial" w:eastAsia="Cambria" w:hAnsi="Arial" w:cs="Arial"/>
                <w:sz w:val="22"/>
                <w:szCs w:val="22"/>
                <w:lang w:val="es-ES_tradnl" w:eastAsia="en-US"/>
              </w:rPr>
              <w:t xml:space="preserve">a, </w:t>
            </w:r>
            <w:r w:rsidRPr="00997041">
              <w:rPr>
                <w:rFonts w:ascii="Arial" w:eastAsia="Cambria" w:hAnsi="Arial" w:cs="Arial"/>
                <w:sz w:val="22"/>
                <w:szCs w:val="22"/>
                <w:lang w:val="es-ES_tradnl" w:eastAsia="en-US"/>
              </w:rPr>
              <w:t>Presidenta</w:t>
            </w:r>
            <w:r w:rsidR="00E277A1">
              <w:rPr>
                <w:rFonts w:ascii="Arial" w:eastAsia="Cambria" w:hAnsi="Arial" w:cs="Arial"/>
                <w:sz w:val="22"/>
                <w:szCs w:val="22"/>
                <w:lang w:val="es-ES_tradnl" w:eastAsia="en-US"/>
              </w:rPr>
              <w:t xml:space="preserve"> </w:t>
            </w:r>
            <w:r w:rsidRPr="00997041">
              <w:rPr>
                <w:rFonts w:ascii="Arial" w:eastAsia="Cambria" w:hAnsi="Arial" w:cs="Arial"/>
                <w:sz w:val="22"/>
                <w:szCs w:val="22"/>
                <w:lang w:val="es-ES_tradnl" w:eastAsia="en-US"/>
              </w:rPr>
              <w:t>Asamblea Legislativa</w:t>
            </w:r>
          </w:p>
          <w:p w:rsidR="00E277A1" w:rsidRPr="00E277A1" w:rsidRDefault="00E277A1" w:rsidP="00E277A1">
            <w:pPr>
              <w:ind w:left="45"/>
              <w:jc w:val="both"/>
              <w:rPr>
                <w:rFonts w:ascii="Arial" w:eastAsia="Cambria" w:hAnsi="Arial" w:cs="Arial"/>
                <w:sz w:val="22"/>
                <w:szCs w:val="22"/>
                <w:lang w:val="es-ES_tradnl" w:eastAsia="en-US"/>
              </w:rPr>
            </w:pPr>
            <w:r w:rsidRPr="00E277A1">
              <w:rPr>
                <w:rFonts w:ascii="Arial" w:eastAsia="Cambria" w:hAnsi="Arial" w:cs="Arial"/>
                <w:sz w:val="22"/>
                <w:szCs w:val="22"/>
                <w:lang w:val="es-ES_tradnl" w:eastAsia="en-US"/>
              </w:rPr>
              <w:t>Lic. Marcelo Prieto Jiménez, Presidente</w:t>
            </w:r>
            <w:r>
              <w:rPr>
                <w:rFonts w:ascii="Arial" w:eastAsia="Cambria" w:hAnsi="Arial" w:cs="Arial"/>
                <w:sz w:val="22"/>
                <w:szCs w:val="22"/>
                <w:lang w:val="es-ES_tradnl" w:eastAsia="en-US"/>
              </w:rPr>
              <w:t xml:space="preserve"> </w:t>
            </w:r>
            <w:r w:rsidRPr="00E277A1">
              <w:rPr>
                <w:rFonts w:ascii="Arial" w:eastAsia="Cambria" w:hAnsi="Arial" w:cs="Arial"/>
                <w:sz w:val="22"/>
                <w:szCs w:val="22"/>
                <w:lang w:val="es-ES_tradnl" w:eastAsia="en-US"/>
              </w:rPr>
              <w:t>Consejo Nacional de Rectores (CONARE)</w:t>
            </w:r>
          </w:p>
          <w:p w:rsidR="00E54B0E" w:rsidRDefault="00E54B0E" w:rsidP="00E54B0E">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E277A1" w:rsidRPr="00F548D2" w:rsidRDefault="00E277A1" w:rsidP="00E818A8">
            <w:pPr>
              <w:jc w:val="both"/>
              <w:rPr>
                <w:rFonts w:ascii="Arial" w:eastAsia="Cambria" w:hAnsi="Arial" w:cs="Arial"/>
                <w:sz w:val="22"/>
                <w:szCs w:val="22"/>
                <w:lang w:val="es-ES_tradnl" w:eastAsia="en-US"/>
              </w:rPr>
            </w:pPr>
          </w:p>
        </w:tc>
      </w:tr>
      <w:tr w:rsidR="007742A1" w:rsidRPr="00D958BC" w:rsidTr="00C76420">
        <w:trPr>
          <w:trHeight w:val="578"/>
        </w:trPr>
        <w:tc>
          <w:tcPr>
            <w:tcW w:w="137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974" w:type="dxa"/>
          </w:tcPr>
          <w:p w:rsidR="00337E83" w:rsidRDefault="00CB0724" w:rsidP="00337E83">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337E83" w:rsidRPr="008E0D8C">
              <w:rPr>
                <w:rFonts w:ascii="Arial" w:eastAsia="Cambria" w:hAnsi="Arial" w:cs="Arial"/>
                <w:sz w:val="22"/>
                <w:szCs w:val="22"/>
                <w:lang w:val="es-ES_tradnl" w:eastAsia="en-US"/>
              </w:rPr>
              <w:t xml:space="preserve">, </w:t>
            </w:r>
            <w:r w:rsidR="00337E83">
              <w:rPr>
                <w:rFonts w:ascii="Arial" w:eastAsia="Cambria" w:hAnsi="Arial" w:cs="Arial"/>
                <w:sz w:val="22"/>
                <w:szCs w:val="22"/>
                <w:lang w:val="es-ES_tradnl" w:eastAsia="en-US"/>
              </w:rPr>
              <w:t>Presidente</w:t>
            </w:r>
            <w:r>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C76420">
        <w:trPr>
          <w:trHeight w:val="251"/>
        </w:trPr>
        <w:tc>
          <w:tcPr>
            <w:tcW w:w="137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974"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E818A8"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03</w:t>
            </w:r>
            <w:r w:rsidR="000857E5">
              <w:rPr>
                <w:rFonts w:ascii="Arial" w:eastAsia="Cambria" w:hAnsi="Arial" w:cs="Arial"/>
                <w:b/>
                <w:sz w:val="22"/>
                <w:szCs w:val="22"/>
                <w:lang w:val="es-ES_tradnl" w:eastAsia="en-US"/>
              </w:rPr>
              <w:t xml:space="preserve"> de </w:t>
            </w:r>
            <w:r>
              <w:rPr>
                <w:rFonts w:ascii="Arial" w:eastAsia="Cambria" w:hAnsi="Arial" w:cs="Arial"/>
                <w:b/>
                <w:sz w:val="22"/>
                <w:szCs w:val="22"/>
                <w:lang w:val="es-ES_tradnl" w:eastAsia="en-US"/>
              </w:rPr>
              <w:t>abril</w:t>
            </w:r>
            <w:r w:rsidR="000857E5">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E818A8" w:rsidTr="00C76420">
        <w:trPr>
          <w:trHeight w:val="251"/>
        </w:trPr>
        <w:tc>
          <w:tcPr>
            <w:tcW w:w="137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974" w:type="dxa"/>
          </w:tcPr>
          <w:p w:rsidR="00821E37" w:rsidRPr="00E818A8" w:rsidRDefault="00FF209C" w:rsidP="00E818A8">
            <w:pPr>
              <w:autoSpaceDE w:val="0"/>
              <w:autoSpaceDN w:val="0"/>
              <w:adjustRightInd w:val="0"/>
              <w:ind w:right="-91"/>
              <w:jc w:val="both"/>
              <w:rPr>
                <w:rFonts w:ascii="Arial" w:hAnsi="Arial" w:cs="Arial"/>
                <w:b/>
                <w:lang w:val="es-CR"/>
              </w:rPr>
            </w:pPr>
            <w:r w:rsidRPr="00E818A8">
              <w:rPr>
                <w:rFonts w:ascii="Arial" w:eastAsia="Calibri" w:hAnsi="Arial" w:cs="Arial"/>
                <w:b/>
                <w:sz w:val="22"/>
                <w:szCs w:val="22"/>
              </w:rPr>
              <w:t>S</w:t>
            </w:r>
            <w:r w:rsidR="007742A1" w:rsidRPr="00E818A8">
              <w:rPr>
                <w:rFonts w:ascii="Arial" w:eastAsia="Calibri" w:hAnsi="Arial" w:cs="Arial"/>
                <w:b/>
                <w:sz w:val="22"/>
                <w:szCs w:val="22"/>
              </w:rPr>
              <w:t xml:space="preserve">esión Ordinaria No. </w:t>
            </w:r>
            <w:r w:rsidR="00337455" w:rsidRPr="00E818A8">
              <w:rPr>
                <w:rFonts w:ascii="Arial" w:eastAsia="Calibri" w:hAnsi="Arial" w:cs="Arial"/>
                <w:b/>
                <w:sz w:val="22"/>
                <w:szCs w:val="22"/>
              </w:rPr>
              <w:t>3</w:t>
            </w:r>
            <w:r w:rsidR="003F3400" w:rsidRPr="00E818A8">
              <w:rPr>
                <w:rFonts w:ascii="Arial" w:eastAsia="Calibri" w:hAnsi="Arial" w:cs="Arial"/>
                <w:b/>
                <w:sz w:val="22"/>
                <w:szCs w:val="22"/>
              </w:rPr>
              <w:t>1</w:t>
            </w:r>
            <w:r w:rsidR="008F6C51" w:rsidRPr="00E818A8">
              <w:rPr>
                <w:rFonts w:ascii="Arial" w:eastAsia="Calibri" w:hAnsi="Arial" w:cs="Arial"/>
                <w:b/>
                <w:sz w:val="22"/>
                <w:szCs w:val="22"/>
              </w:rPr>
              <w:t>1</w:t>
            </w:r>
            <w:r w:rsidR="00E818A8" w:rsidRPr="00E818A8">
              <w:rPr>
                <w:rFonts w:ascii="Arial" w:eastAsia="Calibri" w:hAnsi="Arial" w:cs="Arial"/>
                <w:b/>
                <w:sz w:val="22"/>
                <w:szCs w:val="22"/>
              </w:rPr>
              <w:t>3</w:t>
            </w:r>
            <w:r w:rsidR="007742A1" w:rsidRPr="00E818A8">
              <w:rPr>
                <w:rFonts w:ascii="Arial" w:eastAsia="Calibri" w:hAnsi="Arial" w:cs="Arial"/>
                <w:b/>
                <w:sz w:val="22"/>
                <w:szCs w:val="22"/>
              </w:rPr>
              <w:t>, Artículo</w:t>
            </w:r>
            <w:r w:rsidR="00A5669A" w:rsidRPr="00E818A8">
              <w:rPr>
                <w:rFonts w:ascii="Arial" w:eastAsia="Calibri" w:hAnsi="Arial" w:cs="Arial"/>
                <w:b/>
                <w:sz w:val="22"/>
                <w:szCs w:val="22"/>
              </w:rPr>
              <w:t xml:space="preserve"> </w:t>
            </w:r>
            <w:r w:rsidR="00E818A8" w:rsidRPr="00E818A8">
              <w:rPr>
                <w:rFonts w:ascii="Arial" w:eastAsia="Calibri" w:hAnsi="Arial" w:cs="Arial"/>
                <w:b/>
                <w:sz w:val="22"/>
                <w:szCs w:val="22"/>
              </w:rPr>
              <w:t>7</w:t>
            </w:r>
            <w:r w:rsidR="00FF3C43" w:rsidRPr="00E818A8">
              <w:rPr>
                <w:rFonts w:ascii="Arial" w:eastAsia="Calibri" w:hAnsi="Arial" w:cs="Arial"/>
                <w:b/>
                <w:sz w:val="22"/>
                <w:szCs w:val="22"/>
              </w:rPr>
              <w:t>,</w:t>
            </w:r>
            <w:r w:rsidR="007742A1" w:rsidRPr="00E818A8">
              <w:rPr>
                <w:rFonts w:ascii="Arial" w:eastAsia="Calibri" w:hAnsi="Arial" w:cs="Arial"/>
                <w:b/>
                <w:sz w:val="22"/>
                <w:szCs w:val="22"/>
              </w:rPr>
              <w:t xml:space="preserve"> del </w:t>
            </w:r>
            <w:r w:rsidR="00E818A8" w:rsidRPr="00E818A8">
              <w:rPr>
                <w:rFonts w:ascii="Arial" w:eastAsia="Calibri" w:hAnsi="Arial" w:cs="Arial"/>
                <w:b/>
                <w:sz w:val="22"/>
                <w:szCs w:val="22"/>
              </w:rPr>
              <w:t>03</w:t>
            </w:r>
            <w:r w:rsidR="000857E5" w:rsidRPr="00E818A8">
              <w:rPr>
                <w:rFonts w:ascii="Arial" w:eastAsia="Calibri" w:hAnsi="Arial" w:cs="Arial"/>
                <w:b/>
                <w:sz w:val="22"/>
                <w:szCs w:val="22"/>
              </w:rPr>
              <w:t xml:space="preserve"> de </w:t>
            </w:r>
            <w:r w:rsidR="00E818A8" w:rsidRPr="00E818A8">
              <w:rPr>
                <w:rFonts w:ascii="Arial" w:eastAsia="Calibri" w:hAnsi="Arial" w:cs="Arial"/>
                <w:b/>
                <w:sz w:val="22"/>
                <w:szCs w:val="22"/>
              </w:rPr>
              <w:t xml:space="preserve">abril </w:t>
            </w:r>
            <w:r w:rsidR="00A772EF" w:rsidRPr="00E818A8">
              <w:rPr>
                <w:rFonts w:ascii="Arial" w:eastAsia="Calibri" w:hAnsi="Arial" w:cs="Arial"/>
                <w:b/>
                <w:sz w:val="22"/>
                <w:szCs w:val="22"/>
              </w:rPr>
              <w:t>de 201</w:t>
            </w:r>
            <w:r w:rsidR="00AA61D4" w:rsidRPr="00E818A8">
              <w:rPr>
                <w:rFonts w:ascii="Arial" w:eastAsia="Calibri" w:hAnsi="Arial" w:cs="Arial"/>
                <w:b/>
                <w:sz w:val="22"/>
                <w:szCs w:val="22"/>
              </w:rPr>
              <w:t>9</w:t>
            </w:r>
            <w:r w:rsidR="00925985" w:rsidRPr="00E818A8">
              <w:rPr>
                <w:rFonts w:ascii="Arial" w:eastAsia="Calibri" w:hAnsi="Arial" w:cs="Arial"/>
                <w:b/>
                <w:sz w:val="22"/>
                <w:szCs w:val="22"/>
              </w:rPr>
              <w:t>.</w:t>
            </w:r>
            <w:r w:rsidR="008D4991" w:rsidRPr="00E818A8">
              <w:rPr>
                <w:rFonts w:ascii="Arial" w:eastAsia="Calibri" w:hAnsi="Arial" w:cs="Arial"/>
                <w:b/>
                <w:sz w:val="22"/>
                <w:szCs w:val="22"/>
              </w:rPr>
              <w:t xml:space="preserve"> </w:t>
            </w:r>
            <w:r w:rsidR="004767B5" w:rsidRPr="00E818A8">
              <w:rPr>
                <w:rFonts w:ascii="Arial" w:eastAsia="Calibri" w:hAnsi="Arial" w:cs="Arial"/>
                <w:b/>
                <w:sz w:val="22"/>
                <w:szCs w:val="22"/>
              </w:rPr>
              <w:t xml:space="preserve"> </w:t>
            </w:r>
            <w:r w:rsidR="00E818A8" w:rsidRPr="00E818A8">
              <w:rPr>
                <w:rFonts w:ascii="Arial" w:eastAsia="Cambria" w:hAnsi="Arial" w:cs="Arial"/>
                <w:b/>
                <w:bCs/>
                <w:sz w:val="22"/>
                <w:szCs w:val="22"/>
                <w:lang w:val="es-CR" w:eastAsia="en-US"/>
              </w:rPr>
              <w:t>Solicitud a la Presidencia de la República de Costa Rica de analizar la propuesta de la canasta básica en función de los criterios técnicos emanados por entes especializados</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E54B0E" w:rsidRDefault="00E54B0E" w:rsidP="00E54B0E">
      <w:pPr>
        <w:tabs>
          <w:tab w:val="left" w:pos="3070"/>
        </w:tabs>
        <w:contextualSpacing/>
        <w:jc w:val="both"/>
        <w:outlineLvl w:val="0"/>
        <w:rPr>
          <w:rFonts w:ascii="Arial" w:hAnsi="Arial" w:cs="Arial"/>
          <w:b/>
          <w:lang w:val="es-CR"/>
        </w:rPr>
      </w:pPr>
    </w:p>
    <w:p w:rsidR="00E54B0E" w:rsidRPr="00E54B0E" w:rsidRDefault="00E54B0E" w:rsidP="00E54B0E">
      <w:pPr>
        <w:tabs>
          <w:tab w:val="left" w:pos="3070"/>
        </w:tabs>
        <w:contextualSpacing/>
        <w:jc w:val="both"/>
        <w:outlineLvl w:val="0"/>
        <w:rPr>
          <w:rFonts w:ascii="Arial" w:hAnsi="Arial" w:cs="Arial"/>
          <w:b/>
          <w:lang w:val="es-CR"/>
        </w:rPr>
      </w:pPr>
      <w:r w:rsidRPr="00E54B0E">
        <w:rPr>
          <w:rFonts w:ascii="Arial" w:hAnsi="Arial" w:cs="Arial"/>
          <w:b/>
          <w:lang w:val="es-CR"/>
        </w:rPr>
        <w:t>RESULTANDO QUE:</w:t>
      </w:r>
    </w:p>
    <w:p w:rsidR="00E54B0E" w:rsidRPr="00E54B0E" w:rsidRDefault="00E54B0E" w:rsidP="00E54B0E">
      <w:pPr>
        <w:ind w:left="1320" w:hanging="1320"/>
        <w:jc w:val="both"/>
        <w:rPr>
          <w:rFonts w:ascii="Arial" w:hAnsi="Arial" w:cs="Arial"/>
          <w:lang w:val="es-CR"/>
        </w:rPr>
      </w:pPr>
    </w:p>
    <w:p w:rsidR="00E54B0E" w:rsidRPr="00E54B0E" w:rsidRDefault="00E54B0E" w:rsidP="00E54B0E">
      <w:pPr>
        <w:numPr>
          <w:ilvl w:val="0"/>
          <w:numId w:val="28"/>
        </w:numPr>
        <w:overflowPunct w:val="0"/>
        <w:autoSpaceDE w:val="0"/>
        <w:autoSpaceDN w:val="0"/>
        <w:adjustRightInd w:val="0"/>
        <w:contextualSpacing/>
        <w:jc w:val="both"/>
        <w:textAlignment w:val="baseline"/>
        <w:rPr>
          <w:rFonts w:ascii="Arial" w:hAnsi="Arial" w:cs="Arial"/>
          <w:lang w:val="es-CR"/>
        </w:rPr>
      </w:pPr>
      <w:r w:rsidRPr="00E54B0E">
        <w:rPr>
          <w:rFonts w:ascii="Arial" w:hAnsi="Arial" w:cs="Arial"/>
          <w:lang w:val="es-CR"/>
        </w:rPr>
        <w:t xml:space="preserve">El Estatuto Orgánico de esta universidad establece: </w:t>
      </w:r>
    </w:p>
    <w:p w:rsidR="00E54B0E" w:rsidRPr="00E54B0E" w:rsidRDefault="00E54B0E" w:rsidP="00E54B0E">
      <w:pPr>
        <w:ind w:left="360"/>
        <w:jc w:val="both"/>
        <w:rPr>
          <w:rFonts w:ascii="Arial" w:hAnsi="Arial" w:cs="Arial"/>
          <w:lang w:val="es-CR"/>
        </w:rPr>
      </w:pPr>
    </w:p>
    <w:p w:rsidR="00E54B0E" w:rsidRPr="00E54B0E" w:rsidRDefault="00E54B0E" w:rsidP="00E54B0E">
      <w:pPr>
        <w:ind w:left="360" w:firstLine="348"/>
        <w:jc w:val="both"/>
        <w:rPr>
          <w:rFonts w:ascii="Arial" w:hAnsi="Arial" w:cs="Arial"/>
          <w:lang w:val="es-CR"/>
        </w:rPr>
      </w:pPr>
      <w:r w:rsidRPr="00E54B0E">
        <w:rPr>
          <w:rFonts w:ascii="Arial" w:hAnsi="Arial" w:cs="Arial"/>
          <w:lang w:val="es-CR"/>
        </w:rPr>
        <w:t>En el artículo 18, inciso i, como función del Consejo Institucional, la siguiente:</w:t>
      </w:r>
    </w:p>
    <w:p w:rsidR="00E54B0E" w:rsidRPr="00E54B0E" w:rsidRDefault="00E54B0E" w:rsidP="00E54B0E">
      <w:pPr>
        <w:rPr>
          <w:rFonts w:ascii="Arial" w:hAnsi="Arial" w:cs="Arial"/>
          <w:lang w:val="es-CR"/>
        </w:rPr>
      </w:pPr>
    </w:p>
    <w:p w:rsidR="00E54B0E" w:rsidRPr="00E54B0E" w:rsidRDefault="00E54B0E" w:rsidP="00E54B0E">
      <w:pPr>
        <w:ind w:left="709" w:right="333"/>
        <w:jc w:val="both"/>
        <w:rPr>
          <w:rFonts w:ascii="Arial" w:hAnsi="Arial" w:cs="Arial"/>
          <w:i/>
          <w:lang w:val="es-CR"/>
        </w:rPr>
      </w:pPr>
      <w:r w:rsidRPr="00E54B0E">
        <w:rPr>
          <w:rFonts w:ascii="Arial" w:hAnsi="Arial" w:cs="Arial"/>
          <w:i/>
          <w:lang w:val="es-CR"/>
        </w:rPr>
        <w:t>Evacuar las consultas a que se refiere el Artículo 88 de la Constitución Política de la República</w:t>
      </w:r>
    </w:p>
    <w:p w:rsidR="00E54B0E" w:rsidRPr="00E54B0E" w:rsidRDefault="00E54B0E" w:rsidP="00E54B0E">
      <w:pPr>
        <w:ind w:left="709" w:right="333"/>
        <w:jc w:val="both"/>
        <w:rPr>
          <w:rFonts w:ascii="Arial" w:hAnsi="Arial" w:cs="Arial"/>
          <w:i/>
          <w:lang w:val="es-CR"/>
        </w:rPr>
      </w:pPr>
    </w:p>
    <w:p w:rsidR="00E54B0E" w:rsidRPr="00E54B0E" w:rsidRDefault="00E54B0E" w:rsidP="00E54B0E">
      <w:pPr>
        <w:ind w:left="708"/>
        <w:jc w:val="both"/>
        <w:rPr>
          <w:rFonts w:ascii="Arial" w:hAnsi="Arial" w:cs="Arial"/>
          <w:color w:val="000000"/>
          <w:lang w:val="es-CR"/>
        </w:rPr>
      </w:pPr>
      <w:r w:rsidRPr="00E54B0E">
        <w:rPr>
          <w:rFonts w:ascii="Arial" w:hAnsi="Arial" w:cs="Arial"/>
          <w:color w:val="000000"/>
          <w:lang w:val="es-CR"/>
        </w:rPr>
        <w:t>En el artículo 2, inciso c, como fin institucional, el siguiente:</w:t>
      </w:r>
    </w:p>
    <w:p w:rsidR="00E54B0E" w:rsidRPr="00E54B0E" w:rsidRDefault="00E54B0E" w:rsidP="00E54B0E">
      <w:pPr>
        <w:ind w:left="708"/>
        <w:rPr>
          <w:rFonts w:ascii="Arial" w:hAnsi="Arial" w:cs="Arial"/>
          <w:color w:val="000000"/>
          <w:lang w:val="es-CR"/>
        </w:rPr>
      </w:pPr>
    </w:p>
    <w:p w:rsidR="00E54B0E" w:rsidRPr="00E54B0E" w:rsidRDefault="00E54B0E" w:rsidP="00E54B0E">
      <w:pPr>
        <w:ind w:left="709" w:right="333"/>
        <w:jc w:val="both"/>
        <w:rPr>
          <w:rFonts w:ascii="Arial" w:hAnsi="Arial" w:cs="Arial"/>
          <w:i/>
          <w:lang w:val="es-CR"/>
        </w:rPr>
      </w:pPr>
      <w:r w:rsidRPr="00E54B0E">
        <w:rPr>
          <w:rFonts w:ascii="Arial" w:hAnsi="Arial" w:cs="Arial"/>
          <w:i/>
          <w:lang w:val="es-CR"/>
        </w:rPr>
        <w:t>Contribuir al mejoramiento de la calidad de vida del pueblo costarricense mediante la proyección de sus actividades a la atención y solución de los problemas priorita</w:t>
      </w:r>
      <w:r w:rsidRPr="00E54B0E">
        <w:rPr>
          <w:rFonts w:ascii="Arial" w:hAnsi="Arial" w:cs="Arial"/>
          <w:i/>
          <w:lang w:val="es-CR"/>
        </w:rPr>
        <w:softHyphen/>
        <w:t>rios del país, a fin de edificar una sociedad más justa</w:t>
      </w:r>
    </w:p>
    <w:p w:rsidR="00E54B0E" w:rsidRPr="00E54B0E" w:rsidRDefault="00E54B0E" w:rsidP="00E54B0E">
      <w:pPr>
        <w:rPr>
          <w:rFonts w:ascii="Arial" w:hAnsi="Arial" w:cs="Arial"/>
          <w:lang w:val="es-CR"/>
        </w:rPr>
      </w:pPr>
    </w:p>
    <w:p w:rsidR="00E54B0E" w:rsidRPr="00E54B0E" w:rsidRDefault="00E54B0E" w:rsidP="00E54B0E">
      <w:pPr>
        <w:numPr>
          <w:ilvl w:val="0"/>
          <w:numId w:val="28"/>
        </w:numPr>
        <w:overflowPunct w:val="0"/>
        <w:autoSpaceDE w:val="0"/>
        <w:autoSpaceDN w:val="0"/>
        <w:adjustRightInd w:val="0"/>
        <w:contextualSpacing/>
        <w:jc w:val="both"/>
        <w:textAlignment w:val="baseline"/>
        <w:rPr>
          <w:rFonts w:ascii="Arial" w:hAnsi="Arial" w:cs="Arial"/>
          <w:i/>
          <w:color w:val="000000"/>
          <w:sz w:val="20"/>
          <w:szCs w:val="20"/>
        </w:rPr>
      </w:pPr>
      <w:r w:rsidRPr="00E54B0E">
        <w:rPr>
          <w:rFonts w:ascii="Arial" w:hAnsi="Arial" w:cs="Arial"/>
          <w:color w:val="000000"/>
          <w:lang w:val="es-CR"/>
        </w:rPr>
        <w:t>La Asamblea Institucional Representativa aprobó las siguientes políticas:</w:t>
      </w:r>
    </w:p>
    <w:p w:rsidR="00E54B0E" w:rsidRPr="00E54B0E" w:rsidRDefault="00E54B0E" w:rsidP="00E54B0E">
      <w:pPr>
        <w:ind w:left="708"/>
        <w:rPr>
          <w:rFonts w:ascii="Arial" w:hAnsi="Arial" w:cs="Arial"/>
          <w:color w:val="000000"/>
          <w:lang w:val="es-CR"/>
        </w:rPr>
      </w:pPr>
    </w:p>
    <w:p w:rsidR="00E54B0E" w:rsidRPr="00E54B0E" w:rsidRDefault="00E54B0E" w:rsidP="00E54B0E">
      <w:pPr>
        <w:ind w:left="1080"/>
        <w:jc w:val="both"/>
        <w:rPr>
          <w:rFonts w:ascii="Arial" w:hAnsi="Arial" w:cs="Arial"/>
          <w:color w:val="000000"/>
          <w:sz w:val="20"/>
          <w:szCs w:val="20"/>
        </w:rPr>
      </w:pPr>
      <w:r w:rsidRPr="00E54B0E">
        <w:rPr>
          <w:rFonts w:ascii="Arial" w:hAnsi="Arial" w:cs="Arial"/>
          <w:color w:val="000000"/>
          <w:lang w:val="es-CR"/>
        </w:rPr>
        <w:t>La Política General No. 17 establece lo siguiente: “Se desarrollarán acciones en distintas regiones para ampliar el acceso a la educación superior y contribuir</w:t>
      </w:r>
      <w:r w:rsidRPr="00E54B0E">
        <w:rPr>
          <w:rFonts w:ascii="Arial" w:hAnsi="Arial" w:cs="Arial"/>
          <w:i/>
          <w:color w:val="000000"/>
          <w:lang w:val="es-CR"/>
        </w:rPr>
        <w:t xml:space="preserve"> con el desarrollo integral de la población, con atención a necesidades de grupos vulnerables, en condición de desventaja social</w:t>
      </w:r>
      <w:r w:rsidRPr="00E54B0E">
        <w:rPr>
          <w:rFonts w:ascii="Arial" w:hAnsi="Arial" w:cs="Arial"/>
          <w:color w:val="000000"/>
          <w:lang w:val="es-CR"/>
        </w:rPr>
        <w:t>”</w:t>
      </w:r>
      <w:r w:rsidRPr="00E54B0E">
        <w:rPr>
          <w:rFonts w:ascii="Arial" w:hAnsi="Arial" w:cs="Arial"/>
          <w:color w:val="000000"/>
          <w:sz w:val="20"/>
          <w:szCs w:val="20"/>
        </w:rPr>
        <w:t xml:space="preserve">.   </w:t>
      </w:r>
    </w:p>
    <w:p w:rsidR="00E54B0E" w:rsidRPr="00E54B0E" w:rsidRDefault="00E54B0E" w:rsidP="00E54B0E">
      <w:pPr>
        <w:ind w:left="1320" w:hanging="1320"/>
        <w:jc w:val="both"/>
        <w:rPr>
          <w:rFonts w:ascii="Arial" w:hAnsi="Arial" w:cs="Arial"/>
        </w:rPr>
      </w:pPr>
    </w:p>
    <w:p w:rsidR="00E54B0E" w:rsidRPr="00E54B0E" w:rsidRDefault="00E54B0E" w:rsidP="00E54B0E">
      <w:pPr>
        <w:numPr>
          <w:ilvl w:val="0"/>
          <w:numId w:val="28"/>
        </w:numPr>
        <w:overflowPunct w:val="0"/>
        <w:autoSpaceDE w:val="0"/>
        <w:autoSpaceDN w:val="0"/>
        <w:adjustRightInd w:val="0"/>
        <w:contextualSpacing/>
        <w:jc w:val="both"/>
        <w:textAlignment w:val="baseline"/>
        <w:rPr>
          <w:rFonts w:ascii="Arial" w:hAnsi="Arial" w:cs="Arial"/>
          <w:lang w:val="es-CR"/>
        </w:rPr>
      </w:pPr>
      <w:r w:rsidRPr="00E54B0E">
        <w:rPr>
          <w:rFonts w:ascii="Arial" w:hAnsi="Arial" w:cs="Arial"/>
          <w:lang w:val="es-CR"/>
        </w:rPr>
        <w:t xml:space="preserve">El </w:t>
      </w:r>
      <w:r w:rsidRPr="00E54B0E">
        <w:rPr>
          <w:rFonts w:ascii="Arial" w:hAnsi="Arial" w:cs="Arial"/>
          <w:color w:val="000000"/>
          <w:lang w:val="es-CR"/>
        </w:rPr>
        <w:t>Modelo</w:t>
      </w:r>
      <w:r w:rsidRPr="00E54B0E">
        <w:rPr>
          <w:rFonts w:ascii="Arial" w:hAnsi="Arial" w:cs="Arial"/>
          <w:lang w:val="es-CR"/>
        </w:rPr>
        <w:t xml:space="preserve"> Académico aprobado por el III Congreso Institucional estableció:</w:t>
      </w:r>
    </w:p>
    <w:p w:rsidR="00E54B0E" w:rsidRPr="00E54B0E" w:rsidRDefault="00E54B0E" w:rsidP="00E54B0E">
      <w:pPr>
        <w:ind w:left="1320" w:hanging="1320"/>
        <w:jc w:val="both"/>
        <w:rPr>
          <w:rFonts w:ascii="Arial" w:hAnsi="Arial" w:cs="Arial"/>
          <w:lang w:val="es-CR"/>
        </w:rPr>
      </w:pPr>
    </w:p>
    <w:p w:rsidR="00E54B0E" w:rsidRPr="00E54B0E" w:rsidRDefault="00E54B0E" w:rsidP="00E54B0E">
      <w:pPr>
        <w:numPr>
          <w:ilvl w:val="0"/>
          <w:numId w:val="12"/>
        </w:numPr>
        <w:tabs>
          <w:tab w:val="num" w:pos="540"/>
        </w:tabs>
        <w:ind w:left="540" w:right="286" w:hanging="114"/>
        <w:jc w:val="both"/>
        <w:rPr>
          <w:rFonts w:ascii="Arial" w:hAnsi="Arial" w:cs="Arial"/>
          <w:b/>
          <w:lang w:val="es-CR"/>
        </w:rPr>
      </w:pPr>
      <w:r w:rsidRPr="00E54B0E">
        <w:rPr>
          <w:rFonts w:ascii="Arial" w:hAnsi="Arial" w:cs="Arial"/>
          <w:b/>
          <w:lang w:val="es-CR"/>
        </w:rPr>
        <w:t>SOBRE EL MARCO DE REFERENCIA DEL MODELO ACADÉMICO</w:t>
      </w:r>
    </w:p>
    <w:p w:rsidR="00E54B0E" w:rsidRPr="00E54B0E" w:rsidRDefault="00E54B0E" w:rsidP="00E54B0E">
      <w:pPr>
        <w:spacing w:before="120" w:after="120"/>
        <w:ind w:left="540" w:right="286"/>
        <w:jc w:val="both"/>
        <w:rPr>
          <w:rFonts w:ascii="Arial" w:hAnsi="Arial" w:cs="Arial"/>
          <w:sz w:val="22"/>
          <w:szCs w:val="22"/>
          <w:lang w:val="es-CR"/>
        </w:rPr>
      </w:pPr>
      <w:r w:rsidRPr="00E54B0E">
        <w:rPr>
          <w:rFonts w:ascii="Arial" w:hAnsi="Arial" w:cs="Arial"/>
          <w:sz w:val="22"/>
          <w:szCs w:val="22"/>
          <w:lang w:val="es-CR"/>
        </w:rPr>
        <w:t xml:space="preserve">El Instituto Tecnológico de Costa Rica, con el compromiso de construir un modelo académico que lo distinga por la excelencia, la pertinencia social, la igualdad de oportunidades y el liderazgo tecnológico en los campos de su quehacer, en favor de </w:t>
      </w:r>
      <w:r w:rsidRPr="00E54B0E">
        <w:rPr>
          <w:rFonts w:ascii="Arial" w:hAnsi="Arial" w:cs="Arial"/>
          <w:sz w:val="22"/>
          <w:szCs w:val="22"/>
          <w:lang w:val="es-CR"/>
        </w:rPr>
        <w:lastRenderedPageBreak/>
        <w:t>una sociedad costarricense soberana, solidaria, justa, democrática e igualitaria, mantiene:</w:t>
      </w:r>
    </w:p>
    <w:p w:rsidR="00E54B0E" w:rsidRPr="00E54B0E" w:rsidRDefault="00E54B0E" w:rsidP="00E54B0E">
      <w:pPr>
        <w:ind w:left="540" w:right="286"/>
        <w:jc w:val="both"/>
        <w:rPr>
          <w:rFonts w:ascii="Arial" w:hAnsi="Arial" w:cs="Arial"/>
          <w:sz w:val="28"/>
          <w:szCs w:val="20"/>
          <w:lang w:val="es-CR"/>
        </w:rPr>
      </w:pPr>
    </w:p>
    <w:p w:rsidR="00E54B0E" w:rsidRPr="00E54B0E" w:rsidRDefault="00E54B0E" w:rsidP="00E54B0E">
      <w:pPr>
        <w:numPr>
          <w:ilvl w:val="0"/>
          <w:numId w:val="12"/>
        </w:numPr>
        <w:tabs>
          <w:tab w:val="num" w:pos="540"/>
        </w:tabs>
        <w:ind w:left="540" w:right="286" w:hanging="540"/>
        <w:jc w:val="both"/>
        <w:rPr>
          <w:rFonts w:ascii="Arial" w:hAnsi="Arial" w:cs="Arial"/>
          <w:b/>
          <w:lang w:val="es-CR"/>
        </w:rPr>
      </w:pPr>
      <w:r w:rsidRPr="00E54B0E">
        <w:rPr>
          <w:rFonts w:ascii="Arial" w:hAnsi="Arial" w:cs="Arial"/>
          <w:b/>
          <w:lang w:val="es-CR"/>
        </w:rPr>
        <w:t xml:space="preserve">UNA PERMANENTE VOCACIÓN DE SERVICIO Y DESARROLLO SOCIAL, TENIENDO COMO GRANDES COMPROMISOS </w:t>
      </w:r>
      <w:proofErr w:type="gramStart"/>
      <w:r w:rsidRPr="00E54B0E">
        <w:rPr>
          <w:rFonts w:ascii="Arial" w:hAnsi="Arial" w:cs="Arial"/>
          <w:b/>
          <w:lang w:val="es-CR"/>
        </w:rPr>
        <w:t>SOCIALES  LOS</w:t>
      </w:r>
      <w:proofErr w:type="gramEnd"/>
      <w:r w:rsidRPr="00E54B0E">
        <w:rPr>
          <w:rFonts w:ascii="Arial" w:hAnsi="Arial" w:cs="Arial"/>
          <w:b/>
          <w:lang w:val="es-CR"/>
        </w:rPr>
        <w:t xml:space="preserve"> SIGUIENTES:</w:t>
      </w:r>
    </w:p>
    <w:p w:rsidR="00E54B0E" w:rsidRPr="00E54B0E" w:rsidRDefault="00E54B0E" w:rsidP="00E54B0E">
      <w:pPr>
        <w:ind w:left="540" w:right="286"/>
        <w:jc w:val="both"/>
        <w:rPr>
          <w:rFonts w:ascii="Arial" w:hAnsi="Arial" w:cs="Arial"/>
          <w:b/>
          <w:sz w:val="26"/>
          <w:szCs w:val="20"/>
          <w:lang w:val="es-CR"/>
        </w:rPr>
      </w:pPr>
    </w:p>
    <w:p w:rsidR="00E54B0E" w:rsidRPr="00E54B0E" w:rsidRDefault="00E54B0E" w:rsidP="00E54B0E">
      <w:pPr>
        <w:numPr>
          <w:ilvl w:val="0"/>
          <w:numId w:val="11"/>
        </w:numPr>
        <w:tabs>
          <w:tab w:val="num" w:pos="897"/>
        </w:tabs>
        <w:ind w:left="897" w:right="286" w:hanging="357"/>
        <w:jc w:val="both"/>
        <w:rPr>
          <w:rFonts w:ascii="Arial" w:hAnsi="Arial" w:cs="Arial"/>
          <w:sz w:val="22"/>
          <w:szCs w:val="22"/>
          <w:lang w:val="es-CR"/>
        </w:rPr>
      </w:pPr>
      <w:r w:rsidRPr="00E54B0E">
        <w:rPr>
          <w:rFonts w:ascii="Arial" w:hAnsi="Arial" w:cs="Arial"/>
          <w:sz w:val="22"/>
          <w:szCs w:val="22"/>
          <w:lang w:val="es-CR"/>
        </w:rPr>
        <w:t xml:space="preserve">El Instituto Tecnológico de Costa Rica es un elemento insustituible en la búsqueda permanente del progreso nacional, </w:t>
      </w:r>
      <w:r w:rsidRPr="00E54B0E">
        <w:rPr>
          <w:rFonts w:ascii="Arial" w:hAnsi="Arial" w:cs="Arial"/>
          <w:b/>
          <w:sz w:val="22"/>
          <w:szCs w:val="22"/>
          <w:u w:val="single"/>
          <w:lang w:val="es-CR"/>
        </w:rPr>
        <w:t>en el mejoramiento de la calidad de vida de la población, en la lucha contra la pobreza</w:t>
      </w:r>
      <w:r w:rsidRPr="00E54B0E">
        <w:rPr>
          <w:rFonts w:ascii="Arial" w:hAnsi="Arial" w:cs="Arial"/>
          <w:sz w:val="22"/>
          <w:szCs w:val="22"/>
          <w:lang w:val="es-CR"/>
        </w:rPr>
        <w:t>, en el mantenimiento del equilibrio ambiental, en el fortalecimiento de la identidad cultural, en la potenciación de la participación colectiva, en la igualdad de oportunidades sin diferencias, entre</w:t>
      </w:r>
      <w:r w:rsidRPr="00E54B0E">
        <w:rPr>
          <w:rFonts w:ascii="Arial" w:hAnsi="Arial" w:cs="Arial"/>
          <w:b/>
          <w:sz w:val="22"/>
          <w:szCs w:val="22"/>
          <w:lang w:val="es-CR"/>
        </w:rPr>
        <w:t xml:space="preserve"> </w:t>
      </w:r>
      <w:r w:rsidRPr="00E54B0E">
        <w:rPr>
          <w:rFonts w:ascii="Arial" w:hAnsi="Arial" w:cs="Arial"/>
          <w:sz w:val="22"/>
          <w:szCs w:val="22"/>
          <w:lang w:val="es-CR"/>
        </w:rPr>
        <w:t>otras, de género, extracción social, necesidades especiales, etnia, religión, preferencia sexual y formas de aprender, en el respeto de la libertad de expresión, en la promoción de la cultura de paz y en el fortalecimiento de las instituciones democráticas del país.</w:t>
      </w:r>
    </w:p>
    <w:p w:rsidR="00E54B0E" w:rsidRPr="00E54B0E" w:rsidRDefault="00E54B0E" w:rsidP="00E54B0E">
      <w:pPr>
        <w:ind w:left="897" w:right="286"/>
        <w:jc w:val="both"/>
        <w:rPr>
          <w:rFonts w:ascii="Arial" w:hAnsi="Arial" w:cs="Arial"/>
          <w:sz w:val="22"/>
          <w:szCs w:val="22"/>
          <w:lang w:val="es-CR"/>
        </w:rPr>
      </w:pPr>
    </w:p>
    <w:p w:rsidR="00E54B0E" w:rsidRPr="00E54B0E" w:rsidRDefault="00E54B0E" w:rsidP="00E54B0E">
      <w:pPr>
        <w:numPr>
          <w:ilvl w:val="0"/>
          <w:numId w:val="11"/>
        </w:numPr>
        <w:tabs>
          <w:tab w:val="num" w:pos="897"/>
        </w:tabs>
        <w:ind w:left="897" w:right="286" w:hanging="357"/>
        <w:jc w:val="both"/>
        <w:rPr>
          <w:rFonts w:ascii="Arial" w:hAnsi="Arial" w:cs="Arial"/>
          <w:sz w:val="22"/>
          <w:szCs w:val="22"/>
          <w:lang w:val="es-CR"/>
        </w:rPr>
      </w:pPr>
      <w:r w:rsidRPr="00E54B0E">
        <w:rPr>
          <w:rFonts w:ascii="Arial" w:hAnsi="Arial" w:cs="Arial"/>
          <w:sz w:val="22"/>
          <w:szCs w:val="22"/>
          <w:lang w:val="es-CR"/>
        </w:rPr>
        <w:t xml:space="preserve">… </w:t>
      </w:r>
      <w:r w:rsidRPr="00E54B0E">
        <w:rPr>
          <w:rFonts w:ascii="Arial" w:hAnsi="Arial" w:cs="Arial"/>
          <w:b/>
          <w:sz w:val="22"/>
          <w:szCs w:val="22"/>
          <w:lang w:val="es-CR"/>
        </w:rPr>
        <w:t>(Subrayado nuestro)</w:t>
      </w:r>
    </w:p>
    <w:p w:rsidR="00E54B0E" w:rsidRPr="00E54B0E" w:rsidRDefault="00E54B0E" w:rsidP="00E54B0E">
      <w:pPr>
        <w:ind w:left="1320" w:hanging="1320"/>
        <w:jc w:val="both"/>
        <w:rPr>
          <w:rFonts w:ascii="Arial" w:hAnsi="Arial" w:cs="Arial"/>
          <w:lang w:val="es-CR"/>
        </w:rPr>
      </w:pPr>
    </w:p>
    <w:p w:rsidR="00E54B0E" w:rsidRPr="00E54B0E" w:rsidRDefault="00E54B0E" w:rsidP="00E54B0E">
      <w:pPr>
        <w:numPr>
          <w:ilvl w:val="0"/>
          <w:numId w:val="28"/>
        </w:numPr>
        <w:overflowPunct w:val="0"/>
        <w:autoSpaceDE w:val="0"/>
        <w:autoSpaceDN w:val="0"/>
        <w:adjustRightInd w:val="0"/>
        <w:contextualSpacing/>
        <w:jc w:val="both"/>
        <w:textAlignment w:val="baseline"/>
        <w:rPr>
          <w:rFonts w:ascii="Arial" w:hAnsi="Arial" w:cs="Arial"/>
          <w:lang w:val="es-CR" w:eastAsia="es-CR"/>
        </w:rPr>
      </w:pPr>
      <w:r w:rsidRPr="00E54B0E">
        <w:rPr>
          <w:rFonts w:ascii="Arial" w:hAnsi="Arial" w:cs="Arial"/>
          <w:lang w:val="es-CR"/>
        </w:rPr>
        <w:t>El Ministerio de Hacienda, desde este martes 19 de marzo, puso en consulta pública el proyecto final del “Reglamento del Título I de la Ley Nº 9635 del 3 de diciembre de 2018, denominado “Ley de Impuesto sobre el Valor Agregado”, con el objetivo de la ciudadanía exponga sus inquietudes sobre este documento.</w:t>
      </w:r>
    </w:p>
    <w:p w:rsidR="00E54B0E" w:rsidRPr="00E54B0E" w:rsidRDefault="00E54B0E" w:rsidP="00E54B0E">
      <w:pPr>
        <w:overflowPunct w:val="0"/>
        <w:autoSpaceDE w:val="0"/>
        <w:autoSpaceDN w:val="0"/>
        <w:adjustRightInd w:val="0"/>
        <w:ind w:left="360"/>
        <w:contextualSpacing/>
        <w:jc w:val="both"/>
        <w:textAlignment w:val="baseline"/>
        <w:rPr>
          <w:rFonts w:ascii="Arial" w:hAnsi="Arial" w:cs="Arial"/>
          <w:sz w:val="20"/>
          <w:szCs w:val="20"/>
          <w:lang w:val="es-CR"/>
        </w:rPr>
      </w:pPr>
    </w:p>
    <w:p w:rsidR="00E54B0E" w:rsidRPr="00E54B0E" w:rsidRDefault="00E54B0E" w:rsidP="00E54B0E">
      <w:pPr>
        <w:overflowPunct w:val="0"/>
        <w:autoSpaceDE w:val="0"/>
        <w:autoSpaceDN w:val="0"/>
        <w:adjustRightInd w:val="0"/>
        <w:ind w:left="360"/>
        <w:contextualSpacing/>
        <w:jc w:val="both"/>
        <w:textAlignment w:val="baseline"/>
        <w:rPr>
          <w:rFonts w:ascii="Arial" w:hAnsi="Arial" w:cs="Arial"/>
          <w:sz w:val="20"/>
          <w:szCs w:val="20"/>
          <w:lang w:val="es-CR" w:eastAsia="es-CR"/>
        </w:rPr>
      </w:pPr>
      <w:r w:rsidRPr="00E54B0E">
        <w:rPr>
          <w:rFonts w:ascii="Arial" w:hAnsi="Arial" w:cs="Arial"/>
          <w:sz w:val="20"/>
          <w:szCs w:val="20"/>
          <w:lang w:val="es-CR"/>
        </w:rPr>
        <w:t>Con respecto a la Canasta Básica Tributaria se indica:</w:t>
      </w:r>
    </w:p>
    <w:p w:rsidR="00E54B0E" w:rsidRPr="00E54B0E" w:rsidRDefault="00E54B0E" w:rsidP="00E54B0E">
      <w:pPr>
        <w:autoSpaceDE w:val="0"/>
        <w:autoSpaceDN w:val="0"/>
        <w:adjustRightInd w:val="0"/>
        <w:rPr>
          <w:rFonts w:ascii="Arial" w:eastAsia="Calibri" w:hAnsi="Arial" w:cs="Arial"/>
          <w:sz w:val="20"/>
          <w:szCs w:val="20"/>
          <w:lang w:val="es-CR" w:eastAsia="en-US"/>
        </w:rPr>
      </w:pPr>
    </w:p>
    <w:p w:rsidR="00E54B0E" w:rsidRPr="00E54B0E" w:rsidRDefault="00E54B0E" w:rsidP="00E54B0E">
      <w:pPr>
        <w:autoSpaceDE w:val="0"/>
        <w:autoSpaceDN w:val="0"/>
        <w:adjustRightInd w:val="0"/>
        <w:ind w:left="708"/>
        <w:rPr>
          <w:rFonts w:ascii="Arial" w:eastAsia="Calibri" w:hAnsi="Arial" w:cs="Arial"/>
          <w:i/>
          <w:sz w:val="20"/>
          <w:szCs w:val="20"/>
          <w:lang w:eastAsia="en-US"/>
        </w:rPr>
      </w:pPr>
      <w:r w:rsidRPr="00E54B0E">
        <w:rPr>
          <w:rFonts w:ascii="Arial" w:eastAsia="Calibri" w:hAnsi="Arial" w:cs="Arial"/>
          <w:i/>
          <w:sz w:val="20"/>
          <w:szCs w:val="20"/>
          <w:lang w:eastAsia="en-US"/>
        </w:rPr>
        <w:t xml:space="preserve">a) </w:t>
      </w:r>
      <w:r w:rsidRPr="00E54B0E">
        <w:rPr>
          <w:rFonts w:ascii="Arial" w:eastAsia="Calibri" w:hAnsi="Arial" w:cs="Arial"/>
          <w:b/>
          <w:bCs/>
          <w:i/>
          <w:sz w:val="20"/>
          <w:szCs w:val="20"/>
          <w:lang w:eastAsia="en-US"/>
        </w:rPr>
        <w:t xml:space="preserve">Canasta Básica Tributaria: </w:t>
      </w:r>
    </w:p>
    <w:p w:rsidR="00E54B0E" w:rsidRPr="00E54B0E" w:rsidRDefault="00E54B0E" w:rsidP="00E54B0E">
      <w:pPr>
        <w:autoSpaceDE w:val="0"/>
        <w:autoSpaceDN w:val="0"/>
        <w:adjustRightInd w:val="0"/>
        <w:ind w:left="708"/>
        <w:rPr>
          <w:rFonts w:ascii="Arial" w:eastAsia="Calibri" w:hAnsi="Arial" w:cs="Arial"/>
          <w:i/>
          <w:sz w:val="20"/>
          <w:szCs w:val="20"/>
          <w:lang w:eastAsia="en-US"/>
        </w:rPr>
      </w:pPr>
      <w:r w:rsidRPr="00E54B0E">
        <w:rPr>
          <w:rFonts w:ascii="Arial" w:eastAsia="Calibri" w:hAnsi="Arial" w:cs="Arial"/>
          <w:i/>
          <w:sz w:val="20"/>
          <w:szCs w:val="20"/>
          <w:lang w:eastAsia="en-US"/>
        </w:rPr>
        <w:t xml:space="preserve">Para los efectos de establecer la Lista de la Canasta Básica Tributaria, el Ministerio de Hacienda en coordinación con el Ministerio de Economía, Industria y Comercio, emitirá el Decreto Ejecutivo correspondiente, de conformidad con lo establecido en el artículo 11, numeral 3° inciso a) de la Ley. </w:t>
      </w:r>
    </w:p>
    <w:p w:rsidR="00E54B0E" w:rsidRPr="00E54B0E" w:rsidRDefault="00E54B0E" w:rsidP="00E54B0E">
      <w:pPr>
        <w:autoSpaceDE w:val="0"/>
        <w:autoSpaceDN w:val="0"/>
        <w:adjustRightInd w:val="0"/>
        <w:ind w:left="708"/>
        <w:jc w:val="both"/>
        <w:rPr>
          <w:rFonts w:ascii="Arial" w:eastAsia="Calibri" w:hAnsi="Arial" w:cs="Arial"/>
          <w:i/>
          <w:color w:val="000000"/>
          <w:sz w:val="20"/>
          <w:szCs w:val="20"/>
          <w:lang w:eastAsia="en-US"/>
        </w:rPr>
      </w:pPr>
      <w:r w:rsidRPr="00E54B0E">
        <w:rPr>
          <w:rFonts w:ascii="Arial" w:eastAsia="Calibri" w:hAnsi="Arial" w:cs="Arial"/>
          <w:i/>
          <w:sz w:val="20"/>
          <w:szCs w:val="20"/>
          <w:lang w:eastAsia="en-US"/>
        </w:rPr>
        <w:t xml:space="preserve">Para todos los efectos, esta canasta básica tributaria será revisada y actualizada cada vez que se publiquen los resultados de una nueva encuesta nacional de ingresos y gastos de los hogares. Esta canasta se definirá con base en el consumo efectivo de bienes y servicios de </w:t>
      </w:r>
      <w:r w:rsidRPr="00E54B0E">
        <w:rPr>
          <w:rFonts w:ascii="Arial" w:eastAsia="Calibri" w:hAnsi="Arial" w:cs="Arial"/>
          <w:i/>
          <w:color w:val="000000"/>
          <w:sz w:val="20"/>
          <w:szCs w:val="20"/>
          <w:lang w:eastAsia="en-US"/>
        </w:rPr>
        <w:t xml:space="preserve">primera necesidad de los hogares que se encuentren en los dos primeros </w:t>
      </w:r>
      <w:proofErr w:type="spellStart"/>
      <w:r w:rsidRPr="00E54B0E">
        <w:rPr>
          <w:rFonts w:ascii="Arial" w:eastAsia="Calibri" w:hAnsi="Arial" w:cs="Arial"/>
          <w:i/>
          <w:color w:val="000000"/>
          <w:sz w:val="20"/>
          <w:szCs w:val="20"/>
          <w:lang w:eastAsia="en-US"/>
        </w:rPr>
        <w:t>deciles</w:t>
      </w:r>
      <w:proofErr w:type="spellEnd"/>
      <w:r w:rsidRPr="00E54B0E">
        <w:rPr>
          <w:rFonts w:ascii="Arial" w:eastAsia="Calibri" w:hAnsi="Arial" w:cs="Arial"/>
          <w:i/>
          <w:color w:val="000000"/>
          <w:sz w:val="20"/>
          <w:szCs w:val="20"/>
          <w:lang w:eastAsia="en-US"/>
        </w:rPr>
        <w:t xml:space="preserve"> de ingresos, de acuerdo con los estudios efectuados por el Instituto Nacional de Estadística y Censos (INEC).</w:t>
      </w:r>
    </w:p>
    <w:p w:rsidR="00E54B0E" w:rsidRPr="00E54B0E" w:rsidRDefault="00E54B0E" w:rsidP="00E54B0E">
      <w:pPr>
        <w:tabs>
          <w:tab w:val="left" w:pos="2404"/>
        </w:tabs>
        <w:ind w:left="1320" w:hanging="1320"/>
        <w:jc w:val="both"/>
        <w:rPr>
          <w:rFonts w:ascii="Roboto" w:hAnsi="Roboto"/>
          <w:color w:val="000000"/>
          <w:sz w:val="27"/>
          <w:szCs w:val="27"/>
          <w:shd w:val="clear" w:color="auto" w:fill="FFFFFF"/>
        </w:rPr>
      </w:pPr>
      <w:r w:rsidRPr="00E54B0E">
        <w:rPr>
          <w:rFonts w:ascii="Roboto" w:hAnsi="Roboto"/>
          <w:color w:val="000000"/>
          <w:sz w:val="27"/>
          <w:szCs w:val="27"/>
          <w:shd w:val="clear" w:color="auto" w:fill="FFFFFF"/>
        </w:rPr>
        <w:tab/>
      </w:r>
      <w:r w:rsidRPr="00E54B0E">
        <w:rPr>
          <w:rFonts w:ascii="Roboto" w:hAnsi="Roboto"/>
          <w:color w:val="000000"/>
          <w:sz w:val="27"/>
          <w:szCs w:val="27"/>
          <w:shd w:val="clear" w:color="auto" w:fill="FFFFFF"/>
        </w:rPr>
        <w:tab/>
      </w:r>
    </w:p>
    <w:p w:rsidR="00E54B0E" w:rsidRPr="00E54B0E" w:rsidRDefault="00E54B0E" w:rsidP="00E54B0E">
      <w:pPr>
        <w:numPr>
          <w:ilvl w:val="0"/>
          <w:numId w:val="28"/>
        </w:numPr>
        <w:overflowPunct w:val="0"/>
        <w:autoSpaceDE w:val="0"/>
        <w:autoSpaceDN w:val="0"/>
        <w:adjustRightInd w:val="0"/>
        <w:contextualSpacing/>
        <w:jc w:val="both"/>
        <w:textAlignment w:val="baseline"/>
        <w:rPr>
          <w:rFonts w:ascii="Arial" w:hAnsi="Arial" w:cs="Arial"/>
          <w:lang w:val="es-CR"/>
        </w:rPr>
      </w:pPr>
      <w:r w:rsidRPr="00E54B0E">
        <w:rPr>
          <w:rFonts w:ascii="Arial" w:hAnsi="Arial" w:cs="Arial"/>
          <w:lang w:val="es-CR"/>
        </w:rPr>
        <w:t xml:space="preserve">El Ministerio de Hacienda anunció la nueva lista de bienes que integran la canasta básica tributaria excluyendo 29 productos de la canasta básica tributaria el 14 de marzo. Esta lista rige una vez aprobado el Reglamento del Título I de la Ley Nº 9635 del 3 de diciembre de 2018, denominado “Ley de Impuesto sobre el Valor Agregado”.  Entre esos productos están apio, arracache, arroz integral, arvejas, atún en agua, brócoli, embutidos de pavo, fresa, granadilla, harinas integrales, mandarina, natilla light, níspero, panes integrales, zapallo, zapote y </w:t>
      </w:r>
      <w:proofErr w:type="spellStart"/>
      <w:r w:rsidRPr="00E54B0E">
        <w:rPr>
          <w:rFonts w:ascii="Arial" w:hAnsi="Arial" w:cs="Arial"/>
          <w:lang w:val="es-CR"/>
        </w:rPr>
        <w:t>zuchini</w:t>
      </w:r>
      <w:proofErr w:type="spellEnd"/>
      <w:r w:rsidRPr="00E54B0E">
        <w:rPr>
          <w:rFonts w:ascii="Arial" w:hAnsi="Arial" w:cs="Arial"/>
          <w:lang w:val="es-CR"/>
        </w:rPr>
        <w:t>.</w:t>
      </w:r>
    </w:p>
    <w:p w:rsidR="00E54B0E" w:rsidRPr="00E54B0E" w:rsidRDefault="00E54B0E" w:rsidP="00E54B0E">
      <w:pPr>
        <w:overflowPunct w:val="0"/>
        <w:autoSpaceDE w:val="0"/>
        <w:autoSpaceDN w:val="0"/>
        <w:adjustRightInd w:val="0"/>
        <w:ind w:left="360"/>
        <w:contextualSpacing/>
        <w:jc w:val="both"/>
        <w:textAlignment w:val="baseline"/>
        <w:rPr>
          <w:rFonts w:ascii="Arial" w:hAnsi="Arial" w:cs="Arial"/>
          <w:lang w:val="es-CR"/>
        </w:rPr>
      </w:pPr>
    </w:p>
    <w:p w:rsidR="00E54B0E" w:rsidRPr="00E54B0E" w:rsidRDefault="00E54B0E" w:rsidP="00E54B0E">
      <w:pPr>
        <w:shd w:val="clear" w:color="auto" w:fill="FFFFFF"/>
        <w:ind w:left="357"/>
        <w:jc w:val="both"/>
        <w:rPr>
          <w:rFonts w:ascii="Arial" w:hAnsi="Arial" w:cs="Arial"/>
          <w:lang w:val="es-CR" w:eastAsia="es-CR"/>
        </w:rPr>
      </w:pPr>
      <w:r w:rsidRPr="00E54B0E">
        <w:rPr>
          <w:rFonts w:ascii="Arial" w:hAnsi="Arial" w:cs="Arial"/>
          <w:lang w:val="es-CR" w:eastAsia="es-CR"/>
        </w:rPr>
        <w:t>Eso significa que estos productos empezarán a pagar, a partir de abril, el 13% del impuesto al valor agregado (IVA), en lugar del 1% que pagarán los bienes que sí están dentro de la canasta, a partir de julio del 2020.</w:t>
      </w:r>
    </w:p>
    <w:p w:rsidR="00E54B0E" w:rsidRPr="00E54B0E" w:rsidRDefault="00E54B0E" w:rsidP="00E54B0E">
      <w:pPr>
        <w:shd w:val="clear" w:color="auto" w:fill="FFFFFF"/>
        <w:ind w:left="357"/>
        <w:jc w:val="both"/>
        <w:rPr>
          <w:rFonts w:ascii="Arial" w:hAnsi="Arial" w:cs="Arial"/>
          <w:lang w:val="es-CR" w:eastAsia="es-CR"/>
        </w:rPr>
      </w:pPr>
    </w:p>
    <w:p w:rsidR="00E54B0E" w:rsidRPr="00E54B0E" w:rsidRDefault="00E54B0E" w:rsidP="00E54B0E">
      <w:pPr>
        <w:shd w:val="clear" w:color="auto" w:fill="FFFFFF"/>
        <w:ind w:left="357"/>
        <w:jc w:val="both"/>
        <w:rPr>
          <w:rFonts w:ascii="Arial" w:hAnsi="Arial" w:cs="Arial"/>
          <w:i/>
          <w:shd w:val="clear" w:color="auto" w:fill="FFFFFF"/>
          <w:lang w:val="es-CR" w:eastAsia="es-CR"/>
        </w:rPr>
      </w:pPr>
      <w:r w:rsidRPr="00E54B0E">
        <w:rPr>
          <w:rFonts w:ascii="Arial" w:hAnsi="Arial" w:cs="Arial"/>
          <w:lang w:val="es-CR" w:eastAsia="es-CR"/>
        </w:rPr>
        <w:lastRenderedPageBreak/>
        <w:t>“…</w:t>
      </w:r>
      <w:r w:rsidRPr="00E54B0E">
        <w:rPr>
          <w:rFonts w:ascii="Arial" w:hAnsi="Arial" w:cs="Arial"/>
          <w:i/>
          <w:lang w:val="es-CR" w:eastAsia="es-CR"/>
        </w:rPr>
        <w:t xml:space="preserve">Los técnicos hacendarios han señalado que la exclusión obedece </w:t>
      </w:r>
      <w:proofErr w:type="gramStart"/>
      <w:r w:rsidRPr="00E54B0E">
        <w:rPr>
          <w:rFonts w:ascii="Arial" w:hAnsi="Arial" w:cs="Arial"/>
          <w:i/>
          <w:shd w:val="clear" w:color="auto" w:fill="FFFFFF"/>
          <w:lang w:val="es-CR" w:eastAsia="es-CR"/>
        </w:rPr>
        <w:t>Se  ha</w:t>
      </w:r>
      <w:proofErr w:type="gramEnd"/>
      <w:r w:rsidRPr="00E54B0E">
        <w:rPr>
          <w:rFonts w:ascii="Arial" w:hAnsi="Arial" w:cs="Arial"/>
          <w:i/>
          <w:shd w:val="clear" w:color="auto" w:fill="FFFFFF"/>
          <w:lang w:val="es-CR" w:eastAsia="es-CR"/>
        </w:rPr>
        <w:t xml:space="preserve"> definido con base en el consumo efectivo de bienes y servicios de primera necesidad,  de los hogares que se encuentren en los dos primeros </w:t>
      </w:r>
      <w:proofErr w:type="spellStart"/>
      <w:r w:rsidRPr="00E54B0E">
        <w:rPr>
          <w:rFonts w:ascii="Arial" w:hAnsi="Arial" w:cs="Arial"/>
          <w:i/>
          <w:shd w:val="clear" w:color="auto" w:fill="FFFFFF"/>
          <w:lang w:val="es-CR" w:eastAsia="es-CR"/>
        </w:rPr>
        <w:t>deciles</w:t>
      </w:r>
      <w:proofErr w:type="spellEnd"/>
      <w:r w:rsidRPr="00E54B0E">
        <w:rPr>
          <w:rFonts w:ascii="Arial" w:hAnsi="Arial" w:cs="Arial"/>
          <w:i/>
          <w:shd w:val="clear" w:color="auto" w:fill="FFFFFF"/>
          <w:lang w:val="es-CR" w:eastAsia="es-CR"/>
        </w:rPr>
        <w:t xml:space="preserve"> de ingresos, de acuerdo con los estudios efectuados por el Instituto Nacional de Estadística y Censos (INEC).  Entrará en vigencia a partir del </w:t>
      </w:r>
      <w:proofErr w:type="gramStart"/>
      <w:r w:rsidRPr="00E54B0E">
        <w:rPr>
          <w:rFonts w:ascii="Arial" w:hAnsi="Arial" w:cs="Arial"/>
          <w:i/>
          <w:shd w:val="clear" w:color="auto" w:fill="FFFFFF"/>
          <w:lang w:val="es-CR" w:eastAsia="es-CR"/>
        </w:rPr>
        <w:t>01  de</w:t>
      </w:r>
      <w:proofErr w:type="gramEnd"/>
      <w:r w:rsidRPr="00E54B0E">
        <w:rPr>
          <w:rFonts w:ascii="Arial" w:hAnsi="Arial" w:cs="Arial"/>
          <w:i/>
          <w:shd w:val="clear" w:color="auto" w:fill="FFFFFF"/>
          <w:lang w:val="es-CR" w:eastAsia="es-CR"/>
        </w:rPr>
        <w:t xml:space="preserve"> julio de este año y los productos que la conforman estarán exentos del pago de impuesto sobre el valor agregado (IVA) hasta julio de 2020, cuando se gravarán con una tarifa reducida del 1%.</w:t>
      </w:r>
    </w:p>
    <w:p w:rsidR="00E54B0E" w:rsidRPr="00E54B0E" w:rsidRDefault="00E54B0E" w:rsidP="00E54B0E">
      <w:pPr>
        <w:shd w:val="clear" w:color="auto" w:fill="FFFFFF"/>
        <w:ind w:left="357"/>
        <w:jc w:val="both"/>
        <w:rPr>
          <w:rFonts w:ascii="Arial" w:hAnsi="Arial" w:cs="Arial"/>
          <w:i/>
          <w:lang w:val="es-CR" w:eastAsia="es-CR"/>
        </w:rPr>
      </w:pPr>
    </w:p>
    <w:p w:rsidR="00E54B0E" w:rsidRPr="00E54B0E" w:rsidRDefault="00E54B0E" w:rsidP="00E54B0E">
      <w:pPr>
        <w:shd w:val="clear" w:color="auto" w:fill="FFFFFF"/>
        <w:ind w:left="357"/>
        <w:jc w:val="both"/>
        <w:rPr>
          <w:rFonts w:ascii="Arial" w:hAnsi="Arial" w:cs="Arial"/>
          <w:lang w:val="es-CR" w:eastAsia="es-CR"/>
        </w:rPr>
      </w:pPr>
      <w:r w:rsidRPr="00E54B0E">
        <w:rPr>
          <w:rFonts w:ascii="Arial" w:hAnsi="Arial" w:cs="Arial"/>
          <w:i/>
          <w:lang w:val="es-CR" w:eastAsia="es-CR"/>
        </w:rPr>
        <w:t xml:space="preserve">De esta manera, la nueva lista de productos contempla: banano verde, bombillo de filamento, chiverre, flor de itabo, gelatina en polvo, harina en soya, harina en yuca y pejibaye, hojas de plátano, horchata, leche de cabra, </w:t>
      </w:r>
      <w:proofErr w:type="spellStart"/>
      <w:r w:rsidRPr="00E54B0E">
        <w:rPr>
          <w:rFonts w:ascii="Arial" w:hAnsi="Arial" w:cs="Arial"/>
          <w:i/>
          <w:lang w:val="es-CR" w:eastAsia="es-CR"/>
        </w:rPr>
        <w:t>lactocrema</w:t>
      </w:r>
      <w:proofErr w:type="spellEnd"/>
      <w:r w:rsidRPr="00E54B0E">
        <w:rPr>
          <w:rFonts w:ascii="Arial" w:hAnsi="Arial" w:cs="Arial"/>
          <w:i/>
          <w:lang w:val="es-CR" w:eastAsia="es-CR"/>
        </w:rPr>
        <w:t>, naranja agria y tapa de dulce.”</w:t>
      </w:r>
      <w:r w:rsidRPr="00E54B0E">
        <w:rPr>
          <w:rFonts w:ascii="Arial" w:hAnsi="Arial" w:cs="Arial"/>
          <w:lang w:val="es-CR" w:eastAsia="es-CR"/>
        </w:rPr>
        <w:t xml:space="preserve">  (</w:t>
      </w:r>
      <w:proofErr w:type="spellStart"/>
      <w:r w:rsidRPr="00E54B0E">
        <w:rPr>
          <w:rFonts w:ascii="Arial" w:hAnsi="Arial" w:cs="Arial"/>
          <w:lang w:val="es-CR" w:eastAsia="es-CR"/>
        </w:rPr>
        <w:t>Períodico</w:t>
      </w:r>
      <w:proofErr w:type="spellEnd"/>
      <w:r w:rsidRPr="00E54B0E">
        <w:rPr>
          <w:rFonts w:ascii="Arial" w:hAnsi="Arial" w:cs="Arial"/>
          <w:lang w:val="es-CR" w:eastAsia="es-CR"/>
        </w:rPr>
        <w:t xml:space="preserve"> La Nación, 23 de marzo del 2019)</w:t>
      </w:r>
    </w:p>
    <w:p w:rsidR="00E54B0E" w:rsidRPr="00E54B0E" w:rsidRDefault="00E54B0E" w:rsidP="00E54B0E">
      <w:pPr>
        <w:jc w:val="both"/>
        <w:rPr>
          <w:rFonts w:ascii="Arial" w:hAnsi="Arial" w:cs="Arial"/>
          <w:lang w:val="es-CR"/>
        </w:rPr>
      </w:pPr>
    </w:p>
    <w:p w:rsidR="00E54B0E" w:rsidRPr="00E54B0E" w:rsidRDefault="00E54B0E" w:rsidP="00E54B0E">
      <w:pPr>
        <w:tabs>
          <w:tab w:val="left" w:pos="3070"/>
        </w:tabs>
        <w:contextualSpacing/>
        <w:jc w:val="both"/>
        <w:outlineLvl w:val="0"/>
        <w:rPr>
          <w:rFonts w:ascii="Arial" w:hAnsi="Arial" w:cs="Arial"/>
          <w:b/>
          <w:lang w:val="es-CR"/>
        </w:rPr>
      </w:pPr>
      <w:r w:rsidRPr="00E54B0E">
        <w:rPr>
          <w:rFonts w:ascii="Arial" w:hAnsi="Arial" w:cs="Arial"/>
          <w:b/>
          <w:lang w:val="es-CR"/>
        </w:rPr>
        <w:t>CONSIDERANDO QUE:</w:t>
      </w:r>
    </w:p>
    <w:p w:rsidR="00E54B0E" w:rsidRPr="00E54B0E" w:rsidRDefault="00E54B0E" w:rsidP="00E54B0E">
      <w:pPr>
        <w:ind w:left="1320" w:hanging="1320"/>
        <w:jc w:val="both"/>
        <w:rPr>
          <w:rFonts w:ascii="Arial" w:hAnsi="Arial" w:cs="Arial"/>
          <w:lang w:val="es-CR"/>
        </w:rPr>
      </w:pPr>
    </w:p>
    <w:p w:rsidR="00E54B0E" w:rsidRPr="00E54B0E" w:rsidRDefault="00E54B0E" w:rsidP="00E54B0E">
      <w:pPr>
        <w:numPr>
          <w:ilvl w:val="0"/>
          <w:numId w:val="26"/>
        </w:numPr>
        <w:ind w:left="426" w:hanging="426"/>
        <w:jc w:val="both"/>
        <w:rPr>
          <w:rFonts w:ascii="Arial" w:hAnsi="Arial" w:cs="Arial"/>
          <w:lang w:val="es-CR"/>
        </w:rPr>
      </w:pPr>
      <w:r w:rsidRPr="00E54B0E">
        <w:rPr>
          <w:rFonts w:ascii="Arial" w:hAnsi="Arial" w:cs="Arial"/>
          <w:lang w:val="es-CR"/>
        </w:rPr>
        <w:t>El Observatorio de la Coyuntura Económica y Social en su informe denominado: “</w:t>
      </w:r>
      <w:r w:rsidRPr="00E54B0E">
        <w:rPr>
          <w:rFonts w:ascii="Arial" w:hAnsi="Arial" w:cs="Arial"/>
          <w:b/>
          <w:i/>
          <w:lang w:val="es-CR"/>
        </w:rPr>
        <w:t>Nueva propuesta de canasta básica tributaria no implicaría cambios sustanciales con respecto a la canasta vigente”</w:t>
      </w:r>
      <w:r w:rsidRPr="00E54B0E">
        <w:rPr>
          <w:rFonts w:ascii="Arial" w:hAnsi="Arial" w:cs="Arial"/>
          <w:lang w:val="es-CR"/>
        </w:rPr>
        <w:t>, publicado el 19 de febrero de 2019, señala lo siguiente:</w:t>
      </w:r>
    </w:p>
    <w:p w:rsidR="00E54B0E" w:rsidRPr="00E54B0E" w:rsidRDefault="00E54B0E" w:rsidP="00E54B0E">
      <w:pPr>
        <w:ind w:left="426"/>
        <w:jc w:val="both"/>
        <w:rPr>
          <w:rFonts w:ascii="Arial" w:hAnsi="Arial" w:cs="Arial"/>
          <w:sz w:val="20"/>
          <w:szCs w:val="20"/>
          <w:lang w:val="es-CR"/>
        </w:rPr>
      </w:pPr>
    </w:p>
    <w:p w:rsidR="00E54B0E" w:rsidRPr="00E54B0E" w:rsidRDefault="00E54B0E" w:rsidP="00E54B0E">
      <w:pPr>
        <w:ind w:left="708"/>
        <w:jc w:val="both"/>
        <w:rPr>
          <w:rFonts w:ascii="Arial" w:hAnsi="Arial" w:cs="Arial"/>
          <w:i/>
          <w:sz w:val="20"/>
          <w:szCs w:val="20"/>
          <w:lang w:val="es-CR"/>
        </w:rPr>
      </w:pPr>
      <w:r w:rsidRPr="00E54B0E">
        <w:rPr>
          <w:rFonts w:ascii="Arial" w:hAnsi="Arial" w:cs="Arial"/>
          <w:i/>
          <w:sz w:val="20"/>
          <w:szCs w:val="20"/>
          <w:lang w:val="es-CR"/>
        </w:rPr>
        <w:t>“Considerando que:</w:t>
      </w:r>
    </w:p>
    <w:p w:rsidR="00E54B0E" w:rsidRPr="00E54B0E" w:rsidRDefault="00E54B0E" w:rsidP="00E54B0E">
      <w:pPr>
        <w:ind w:left="708"/>
        <w:jc w:val="both"/>
        <w:rPr>
          <w:rFonts w:ascii="Arial" w:hAnsi="Arial" w:cs="Arial"/>
          <w:i/>
          <w:sz w:val="20"/>
          <w:szCs w:val="20"/>
          <w:lang w:val="es-CR"/>
        </w:rPr>
      </w:pPr>
    </w:p>
    <w:p w:rsidR="00E54B0E" w:rsidRPr="00E54B0E" w:rsidRDefault="00E54B0E" w:rsidP="00E54B0E">
      <w:pPr>
        <w:ind w:left="1416"/>
        <w:jc w:val="both"/>
        <w:rPr>
          <w:rFonts w:ascii="Arial" w:hAnsi="Arial" w:cs="Arial"/>
          <w:i/>
          <w:sz w:val="20"/>
          <w:szCs w:val="20"/>
          <w:lang w:val="es-CR"/>
        </w:rPr>
      </w:pPr>
      <w:r w:rsidRPr="00E54B0E">
        <w:rPr>
          <w:rFonts w:ascii="Arial" w:hAnsi="Arial" w:cs="Arial"/>
          <w:i/>
          <w:sz w:val="20"/>
          <w:szCs w:val="20"/>
          <w:lang w:val="es-CR"/>
        </w:rPr>
        <w:t>El Ministerio de Hacienda puso en consulta pública una nueva propuesta de Canasta Básica Tributaria (CBT) (lista de productos que serían gravados con un 1%) en la que se excluyen varios bienes que actualmente están exonerados y que, por tanto, pasarán a gravarse con un 13% a partir del 1 de julio del presente año. Además, se incluyen en dicha canasta, algunos bienes que hoy están gravados y que estarán exentos del 1° de julio de 2019 al 30 de junio del 2020 y, a partir del 01 de julio de 2020 pasarán a gravarse con un 1%.</w:t>
      </w:r>
    </w:p>
    <w:p w:rsidR="00E54B0E" w:rsidRPr="00E54B0E" w:rsidRDefault="00E54B0E" w:rsidP="00E54B0E">
      <w:pPr>
        <w:ind w:left="426"/>
        <w:jc w:val="both"/>
        <w:rPr>
          <w:rFonts w:ascii="Arial" w:hAnsi="Arial" w:cs="Arial"/>
          <w:i/>
          <w:lang w:val="es-CR"/>
        </w:rPr>
      </w:pPr>
    </w:p>
    <w:p w:rsidR="00E54B0E" w:rsidRPr="00E54B0E" w:rsidRDefault="00E54B0E" w:rsidP="00E54B0E">
      <w:pPr>
        <w:ind w:left="708"/>
        <w:jc w:val="both"/>
        <w:rPr>
          <w:rFonts w:ascii="Arial" w:hAnsi="Arial" w:cs="Arial"/>
          <w:i/>
          <w:sz w:val="20"/>
          <w:szCs w:val="20"/>
          <w:lang w:val="es-CR"/>
        </w:rPr>
      </w:pPr>
      <w:r w:rsidRPr="00E54B0E">
        <w:rPr>
          <w:rFonts w:ascii="Arial" w:hAnsi="Arial" w:cs="Arial"/>
          <w:i/>
          <w:sz w:val="20"/>
          <w:szCs w:val="20"/>
          <w:lang w:val="es-CR"/>
        </w:rPr>
        <w:t>Del análisis realizado por el Observatorio Económico y Social (OES-UNA) sobre el impacto de la implementación del Impuesto al Valor Agregado (IVA) sobre el gasto de los hogares costarricenses, se concluye que:</w:t>
      </w:r>
    </w:p>
    <w:p w:rsidR="00E54B0E" w:rsidRPr="00E54B0E" w:rsidRDefault="00E54B0E" w:rsidP="00E54B0E">
      <w:pPr>
        <w:ind w:left="708"/>
        <w:jc w:val="both"/>
        <w:rPr>
          <w:rFonts w:ascii="Arial" w:hAnsi="Arial" w:cs="Arial"/>
          <w:i/>
          <w:sz w:val="20"/>
          <w:szCs w:val="20"/>
          <w:lang w:val="es-CR"/>
        </w:rPr>
      </w:pPr>
    </w:p>
    <w:p w:rsidR="00E54B0E" w:rsidRPr="00E54B0E" w:rsidRDefault="00E54B0E" w:rsidP="00E54B0E">
      <w:pPr>
        <w:numPr>
          <w:ilvl w:val="0"/>
          <w:numId w:val="29"/>
        </w:numPr>
        <w:ind w:left="1134"/>
        <w:jc w:val="both"/>
        <w:rPr>
          <w:rFonts w:ascii="Arial" w:hAnsi="Arial" w:cs="Arial"/>
          <w:i/>
          <w:sz w:val="20"/>
          <w:szCs w:val="20"/>
          <w:lang w:val="es-CR"/>
        </w:rPr>
      </w:pPr>
      <w:r w:rsidRPr="00E54B0E">
        <w:rPr>
          <w:rFonts w:ascii="Arial" w:hAnsi="Arial" w:cs="Arial"/>
          <w:i/>
          <w:sz w:val="20"/>
          <w:szCs w:val="20"/>
          <w:lang w:val="es-CR"/>
        </w:rPr>
        <w:t xml:space="preserve">Al comparar los ingresos y los gastos promedio de los hogares para los diferentes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se observa que, según la ENIG, sólo los primeros tres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tienen gastos mayores que sus ingresos, mientras que los demás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son superavitarios (sus ingresos alcanzan para cubrir sus gastos). Pero, al aplicar el efecto del IVA (considerando además la nueva CBT), el </w:t>
      </w:r>
      <w:proofErr w:type="spellStart"/>
      <w:r w:rsidRPr="00E54B0E">
        <w:rPr>
          <w:rFonts w:ascii="Arial" w:hAnsi="Arial" w:cs="Arial"/>
          <w:i/>
          <w:sz w:val="20"/>
          <w:szCs w:val="20"/>
          <w:lang w:val="es-CR"/>
        </w:rPr>
        <w:t>decil</w:t>
      </w:r>
      <w:proofErr w:type="spellEnd"/>
      <w:r w:rsidRPr="00E54B0E">
        <w:rPr>
          <w:rFonts w:ascii="Arial" w:hAnsi="Arial" w:cs="Arial"/>
          <w:i/>
          <w:sz w:val="20"/>
          <w:szCs w:val="20"/>
          <w:lang w:val="es-CR"/>
        </w:rPr>
        <w:t xml:space="preserve"> cuatro que era superavitario pasaría a ser deficitario, es decir, ya sus ingresos no alcanzarían para cubrir sus gastos, lo que significa que estos hogares tendrían que reducir su consumo, recurrir a endeudamiento o </w:t>
      </w:r>
      <w:proofErr w:type="spellStart"/>
      <w:r w:rsidRPr="00E54B0E">
        <w:rPr>
          <w:rFonts w:ascii="Arial" w:hAnsi="Arial" w:cs="Arial"/>
          <w:i/>
          <w:sz w:val="20"/>
          <w:szCs w:val="20"/>
          <w:lang w:val="es-CR"/>
        </w:rPr>
        <w:t>desahorrar</w:t>
      </w:r>
      <w:proofErr w:type="spellEnd"/>
      <w:r w:rsidRPr="00E54B0E">
        <w:rPr>
          <w:rFonts w:ascii="Arial" w:hAnsi="Arial" w:cs="Arial"/>
          <w:i/>
          <w:sz w:val="20"/>
          <w:szCs w:val="20"/>
          <w:lang w:val="es-CR"/>
        </w:rPr>
        <w:t xml:space="preserve"> para seguir consumiendo lo mismo (Ver Tabla 2). Además, estos hogares podrían no ser sujetos de ayudas y transferencias por parte del Estado, lo que los hace más vulnerables.</w:t>
      </w:r>
    </w:p>
    <w:p w:rsidR="00E54B0E" w:rsidRPr="00E54B0E" w:rsidRDefault="00E54B0E" w:rsidP="00E54B0E">
      <w:pPr>
        <w:ind w:left="1428"/>
        <w:jc w:val="both"/>
        <w:rPr>
          <w:rFonts w:ascii="Arial" w:hAnsi="Arial" w:cs="Arial"/>
          <w:i/>
          <w:sz w:val="20"/>
          <w:szCs w:val="20"/>
          <w:lang w:val="es-CR"/>
        </w:rPr>
      </w:pPr>
    </w:p>
    <w:p w:rsidR="00E54B0E" w:rsidRPr="00E54B0E" w:rsidRDefault="00E54B0E" w:rsidP="00E54B0E">
      <w:pPr>
        <w:ind w:left="709"/>
        <w:jc w:val="both"/>
        <w:rPr>
          <w:rFonts w:ascii="Arial" w:hAnsi="Arial" w:cs="Arial"/>
          <w:i/>
          <w:sz w:val="20"/>
          <w:szCs w:val="20"/>
          <w:lang w:val="es-CR"/>
        </w:rPr>
      </w:pPr>
      <w:r w:rsidRPr="00E54B0E">
        <w:rPr>
          <w:rFonts w:ascii="Arial" w:hAnsi="Arial" w:cs="Arial"/>
          <w:i/>
          <w:noProof/>
          <w:sz w:val="20"/>
          <w:szCs w:val="20"/>
          <w:lang w:val="es-CR" w:eastAsia="es-CR"/>
        </w:rPr>
        <w:lastRenderedPageBreak/>
        <w:drawing>
          <wp:inline distT="0" distB="0" distL="0" distR="0" wp14:anchorId="49A6CB6F" wp14:editId="1ED73060">
            <wp:extent cx="5605780" cy="29895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2989580"/>
                    </a:xfrm>
                    <a:prstGeom prst="rect">
                      <a:avLst/>
                    </a:prstGeom>
                    <a:noFill/>
                    <a:ln>
                      <a:noFill/>
                    </a:ln>
                  </pic:spPr>
                </pic:pic>
              </a:graphicData>
            </a:graphic>
          </wp:inline>
        </w:drawing>
      </w:r>
    </w:p>
    <w:p w:rsidR="00E54B0E" w:rsidRPr="00E54B0E" w:rsidRDefault="00E54B0E" w:rsidP="00E54B0E">
      <w:pPr>
        <w:ind w:left="708"/>
        <w:jc w:val="both"/>
        <w:rPr>
          <w:rFonts w:ascii="Arial" w:hAnsi="Arial" w:cs="Arial"/>
          <w:i/>
          <w:sz w:val="20"/>
          <w:szCs w:val="20"/>
          <w:lang w:val="es-CR"/>
        </w:rPr>
      </w:pPr>
    </w:p>
    <w:p w:rsidR="00E54B0E" w:rsidRPr="00E54B0E" w:rsidRDefault="00E54B0E" w:rsidP="00E54B0E">
      <w:pPr>
        <w:numPr>
          <w:ilvl w:val="0"/>
          <w:numId w:val="29"/>
        </w:numPr>
        <w:jc w:val="both"/>
        <w:rPr>
          <w:rFonts w:ascii="Arial" w:hAnsi="Arial" w:cs="Arial"/>
          <w:i/>
          <w:sz w:val="20"/>
          <w:szCs w:val="20"/>
          <w:lang w:val="es-CR"/>
        </w:rPr>
      </w:pPr>
      <w:r w:rsidRPr="00E54B0E">
        <w:rPr>
          <w:rFonts w:ascii="Arial" w:hAnsi="Arial" w:cs="Arial"/>
          <w:i/>
          <w:sz w:val="20"/>
          <w:szCs w:val="20"/>
          <w:lang w:val="es-CR"/>
        </w:rPr>
        <w:t xml:space="preserve">Es llamativo que, a pesar de que no debería existir mucha diferencia entre los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de ingresos cercanos con respecto al impacto del IVA, lo cierto es que sí las hay. Por ejemplo, los hogares del </w:t>
      </w:r>
      <w:proofErr w:type="spellStart"/>
      <w:r w:rsidRPr="00E54B0E">
        <w:rPr>
          <w:rFonts w:ascii="Arial" w:hAnsi="Arial" w:cs="Arial"/>
          <w:i/>
          <w:sz w:val="20"/>
          <w:szCs w:val="20"/>
          <w:lang w:val="es-CR"/>
        </w:rPr>
        <w:t>decil</w:t>
      </w:r>
      <w:proofErr w:type="spellEnd"/>
      <w:r w:rsidRPr="00E54B0E">
        <w:rPr>
          <w:rFonts w:ascii="Arial" w:hAnsi="Arial" w:cs="Arial"/>
          <w:i/>
          <w:sz w:val="20"/>
          <w:szCs w:val="20"/>
          <w:lang w:val="es-CR"/>
        </w:rPr>
        <w:t xml:space="preserve"> 2 harían un gasto adicional debido a la reforma, mayor que los hogares de los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1 y 3, mientras que los hogares del </w:t>
      </w:r>
      <w:proofErr w:type="spellStart"/>
      <w:r w:rsidRPr="00E54B0E">
        <w:rPr>
          <w:rFonts w:ascii="Arial" w:hAnsi="Arial" w:cs="Arial"/>
          <w:i/>
          <w:sz w:val="20"/>
          <w:szCs w:val="20"/>
          <w:lang w:val="es-CR"/>
        </w:rPr>
        <w:t>decil</w:t>
      </w:r>
      <w:proofErr w:type="spellEnd"/>
      <w:r w:rsidRPr="00E54B0E">
        <w:rPr>
          <w:rFonts w:ascii="Arial" w:hAnsi="Arial" w:cs="Arial"/>
          <w:i/>
          <w:sz w:val="20"/>
          <w:szCs w:val="20"/>
          <w:lang w:val="es-CR"/>
        </w:rPr>
        <w:t xml:space="preserve"> 4 harían un esfuerzo mayor que los hogares de los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3 y 5, y los hogares del </w:t>
      </w:r>
      <w:proofErr w:type="spellStart"/>
      <w:r w:rsidRPr="00E54B0E">
        <w:rPr>
          <w:rFonts w:ascii="Arial" w:hAnsi="Arial" w:cs="Arial"/>
          <w:i/>
          <w:sz w:val="20"/>
          <w:szCs w:val="20"/>
          <w:lang w:val="es-CR"/>
        </w:rPr>
        <w:t>decil</w:t>
      </w:r>
      <w:proofErr w:type="spellEnd"/>
      <w:r w:rsidRPr="00E54B0E">
        <w:rPr>
          <w:rFonts w:ascii="Arial" w:hAnsi="Arial" w:cs="Arial"/>
          <w:i/>
          <w:sz w:val="20"/>
          <w:szCs w:val="20"/>
          <w:lang w:val="es-CR"/>
        </w:rPr>
        <w:t xml:space="preserve"> 8 harían un gasto adicional mayor que los de los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7 y 9. Pareciera que la existencia de diversos tratamientos tributarios en grupos importantes de bienes y servicios lleva a las diferencias descritas (algunos bienes y servicios exentos y otros gravados con tasas diferenciadas: 13%, 4%, 2% y 1%) y, que a pesar de que esta diferenciación busca reducir el impacto negativo que tendría la aplicación de las medidas tributarias, e incluso tratar de restar regresividad a un impuesto que es regresivo por definición, no se logró de la misma forma para todos los grupos familiares según su nivel de ingreso y particularmente en los </w:t>
      </w:r>
      <w:proofErr w:type="spellStart"/>
      <w:r w:rsidRPr="00E54B0E">
        <w:rPr>
          <w:rFonts w:ascii="Arial" w:hAnsi="Arial" w:cs="Arial"/>
          <w:i/>
          <w:sz w:val="20"/>
          <w:szCs w:val="20"/>
          <w:lang w:val="es-CR"/>
        </w:rPr>
        <w:t>deciles</w:t>
      </w:r>
      <w:proofErr w:type="spellEnd"/>
      <w:r w:rsidRPr="00E54B0E">
        <w:rPr>
          <w:rFonts w:ascii="Arial" w:hAnsi="Arial" w:cs="Arial"/>
          <w:i/>
          <w:sz w:val="20"/>
          <w:szCs w:val="20"/>
          <w:lang w:val="es-CR"/>
        </w:rPr>
        <w:t xml:space="preserve"> 2 y 4, lo que podría ser señal de que se requieren ajustes adicionales para poder corregir esta situación.</w:t>
      </w:r>
    </w:p>
    <w:p w:rsidR="00E54B0E" w:rsidRPr="00E54B0E" w:rsidRDefault="00E54B0E" w:rsidP="00E54B0E">
      <w:pPr>
        <w:ind w:left="1428"/>
        <w:jc w:val="both"/>
        <w:rPr>
          <w:rFonts w:ascii="Arial" w:hAnsi="Arial" w:cs="Arial"/>
          <w:i/>
          <w:sz w:val="20"/>
          <w:szCs w:val="20"/>
          <w:lang w:val="es-CR"/>
        </w:rPr>
      </w:pPr>
    </w:p>
    <w:p w:rsidR="00E54B0E" w:rsidRPr="00E54B0E" w:rsidRDefault="00E54B0E" w:rsidP="00E54B0E">
      <w:pPr>
        <w:numPr>
          <w:ilvl w:val="0"/>
          <w:numId w:val="29"/>
        </w:numPr>
        <w:jc w:val="both"/>
        <w:rPr>
          <w:rFonts w:ascii="Arial" w:hAnsi="Arial" w:cs="Arial"/>
          <w:i/>
          <w:sz w:val="20"/>
          <w:szCs w:val="20"/>
          <w:lang w:val="es-CR"/>
        </w:rPr>
      </w:pPr>
      <w:r w:rsidRPr="00E54B0E">
        <w:rPr>
          <w:rFonts w:ascii="Arial" w:hAnsi="Arial" w:cs="Arial"/>
          <w:i/>
          <w:sz w:val="20"/>
          <w:szCs w:val="20"/>
          <w:lang w:val="es-CR"/>
        </w:rPr>
        <w:t xml:space="preserve">Aunque esos ajustes eventualmente deberían ser de legislación (modificaciones a la Ley N.º 9635 recién aprobada), una recomendación del Observatorio Económico y Social es que el Ministerio de Hacienda </w:t>
      </w:r>
      <w:r w:rsidRPr="00E54B0E">
        <w:rPr>
          <w:rFonts w:ascii="Arial" w:hAnsi="Arial" w:cs="Arial"/>
          <w:i/>
          <w:sz w:val="20"/>
          <w:szCs w:val="20"/>
          <w:u w:val="single"/>
          <w:lang w:val="es-CR"/>
        </w:rPr>
        <w:t xml:space="preserve">revise nuevamente el reglamento de la Canasta Básica Tributaria que ha puesto en consulta, de manera que pueda tratar de corregir parte de estas diferencias, es decir, que se incluyan en la CBT otros productos de alto consumo de los hogares de los </w:t>
      </w:r>
      <w:proofErr w:type="spellStart"/>
      <w:r w:rsidRPr="00E54B0E">
        <w:rPr>
          <w:rFonts w:ascii="Arial" w:hAnsi="Arial" w:cs="Arial"/>
          <w:i/>
          <w:sz w:val="20"/>
          <w:szCs w:val="20"/>
          <w:u w:val="single"/>
          <w:lang w:val="es-CR"/>
        </w:rPr>
        <w:t>deciles</w:t>
      </w:r>
      <w:proofErr w:type="spellEnd"/>
      <w:r w:rsidRPr="00E54B0E">
        <w:rPr>
          <w:rFonts w:ascii="Arial" w:hAnsi="Arial" w:cs="Arial"/>
          <w:i/>
          <w:sz w:val="20"/>
          <w:szCs w:val="20"/>
          <w:u w:val="single"/>
          <w:lang w:val="es-CR"/>
        </w:rPr>
        <w:t xml:space="preserve"> de menores ingresos</w:t>
      </w:r>
      <w:r w:rsidRPr="00E54B0E">
        <w:rPr>
          <w:rFonts w:ascii="Arial" w:hAnsi="Arial" w:cs="Arial"/>
          <w:i/>
          <w:sz w:val="20"/>
          <w:szCs w:val="20"/>
          <w:lang w:val="es-CR"/>
        </w:rPr>
        <w:t>.</w:t>
      </w:r>
    </w:p>
    <w:p w:rsidR="00E54B0E" w:rsidRPr="00E54B0E" w:rsidRDefault="00E54B0E" w:rsidP="00E54B0E">
      <w:pPr>
        <w:ind w:left="708"/>
        <w:rPr>
          <w:rFonts w:ascii="Arial" w:hAnsi="Arial" w:cs="Arial"/>
          <w:i/>
          <w:sz w:val="20"/>
          <w:szCs w:val="20"/>
          <w:lang w:val="es-CR"/>
        </w:rPr>
      </w:pPr>
    </w:p>
    <w:p w:rsidR="00E54B0E" w:rsidRPr="00E54B0E" w:rsidRDefault="00E54B0E" w:rsidP="00E54B0E">
      <w:pPr>
        <w:numPr>
          <w:ilvl w:val="0"/>
          <w:numId w:val="29"/>
        </w:numPr>
        <w:jc w:val="both"/>
        <w:rPr>
          <w:rFonts w:ascii="Arial" w:hAnsi="Arial" w:cs="Arial"/>
          <w:i/>
          <w:sz w:val="20"/>
          <w:szCs w:val="20"/>
          <w:lang w:val="es-CR"/>
        </w:rPr>
      </w:pPr>
      <w:r w:rsidRPr="00E54B0E">
        <w:rPr>
          <w:rFonts w:ascii="Arial" w:hAnsi="Arial" w:cs="Arial"/>
          <w:i/>
          <w:sz w:val="20"/>
          <w:szCs w:val="20"/>
          <w:lang w:val="es-CR"/>
        </w:rPr>
        <w:t>…”  (Subrayado nuestro)</w:t>
      </w:r>
    </w:p>
    <w:p w:rsidR="00E54B0E" w:rsidRPr="00E54B0E" w:rsidRDefault="00E54B0E" w:rsidP="00E54B0E">
      <w:pPr>
        <w:ind w:left="708"/>
        <w:jc w:val="both"/>
        <w:rPr>
          <w:rFonts w:ascii="Arial" w:hAnsi="Arial" w:cs="Arial"/>
          <w:lang w:val="es-CR"/>
        </w:rPr>
      </w:pPr>
    </w:p>
    <w:p w:rsidR="00E54B0E" w:rsidRPr="00E54B0E" w:rsidRDefault="00E54B0E" w:rsidP="00E54B0E">
      <w:pPr>
        <w:numPr>
          <w:ilvl w:val="0"/>
          <w:numId w:val="26"/>
        </w:numPr>
        <w:ind w:left="426" w:hanging="426"/>
        <w:jc w:val="both"/>
        <w:rPr>
          <w:rFonts w:ascii="Arial" w:hAnsi="Arial" w:cs="Arial"/>
          <w:lang w:val="es-CR"/>
        </w:rPr>
      </w:pPr>
      <w:r w:rsidRPr="00E54B0E">
        <w:rPr>
          <w:rFonts w:ascii="Arial" w:hAnsi="Arial" w:cs="Arial"/>
          <w:lang w:val="es-CR"/>
        </w:rPr>
        <w:t>La Escuela de Nutrición de la Universidad de Costa Rica cuestiona los criterios técnicos que se utilizaron para definir la lista de la canasta básica.  Los especialistas señalan que “</w:t>
      </w:r>
      <w:r w:rsidRPr="00E54B0E">
        <w:rPr>
          <w:rFonts w:ascii="Arial" w:hAnsi="Arial" w:cs="Arial"/>
          <w:i/>
          <w:color w:val="000000"/>
          <w:shd w:val="clear" w:color="auto" w:fill="FFFFFF"/>
          <w:lang w:val="es-CR"/>
        </w:rPr>
        <w:t>El perfil epidemiológico de Costa Rica refleja que la población requiere un mayor consumo de vegetales, frutas y semillas, que son los que más están excluidos</w:t>
      </w:r>
      <w:r w:rsidRPr="00E54B0E">
        <w:rPr>
          <w:rFonts w:ascii="Arial" w:hAnsi="Arial" w:cs="Arial"/>
          <w:lang w:val="es-CR"/>
        </w:rPr>
        <w:t>”, por tanto, recomiendan ajustar los criterios.</w:t>
      </w:r>
    </w:p>
    <w:p w:rsidR="00E54B0E" w:rsidRPr="00E54B0E" w:rsidRDefault="00E54B0E" w:rsidP="00E54B0E">
      <w:pPr>
        <w:rPr>
          <w:rFonts w:ascii="Arial" w:hAnsi="Arial" w:cs="Arial"/>
          <w:lang w:val="es-CR"/>
        </w:rPr>
      </w:pPr>
    </w:p>
    <w:p w:rsidR="00E54B0E" w:rsidRPr="00E54B0E" w:rsidRDefault="00E54B0E" w:rsidP="00E54B0E">
      <w:pPr>
        <w:jc w:val="both"/>
        <w:rPr>
          <w:rFonts w:ascii="Arial" w:hAnsi="Arial" w:cs="Arial"/>
          <w:b/>
          <w:lang w:val="es-CR"/>
        </w:rPr>
      </w:pPr>
      <w:r w:rsidRPr="00E54B0E">
        <w:rPr>
          <w:rFonts w:ascii="Arial" w:hAnsi="Arial" w:cs="Arial"/>
          <w:b/>
          <w:lang w:val="es-CR"/>
        </w:rPr>
        <w:t xml:space="preserve">SE </w:t>
      </w:r>
      <w:r>
        <w:rPr>
          <w:rFonts w:ascii="Arial" w:hAnsi="Arial" w:cs="Arial"/>
          <w:b/>
          <w:lang w:val="es-CR"/>
        </w:rPr>
        <w:t>ACUERDA</w:t>
      </w:r>
      <w:r w:rsidRPr="00E54B0E">
        <w:rPr>
          <w:rFonts w:ascii="Arial" w:hAnsi="Arial" w:cs="Arial"/>
          <w:b/>
          <w:lang w:val="es-CR"/>
        </w:rPr>
        <w:t>:</w:t>
      </w:r>
    </w:p>
    <w:p w:rsidR="00E54B0E" w:rsidRPr="00E54B0E" w:rsidRDefault="00E54B0E" w:rsidP="00E54B0E">
      <w:pPr>
        <w:ind w:left="708"/>
        <w:rPr>
          <w:rFonts w:ascii="Arial" w:hAnsi="Arial" w:cs="Arial"/>
          <w:lang w:val="es-CR"/>
        </w:rPr>
      </w:pPr>
    </w:p>
    <w:p w:rsidR="00E54B0E" w:rsidRPr="00E54B0E" w:rsidRDefault="00E54B0E" w:rsidP="00E54B0E">
      <w:pPr>
        <w:numPr>
          <w:ilvl w:val="0"/>
          <w:numId w:val="27"/>
        </w:numPr>
        <w:ind w:left="284" w:hanging="284"/>
        <w:jc w:val="both"/>
        <w:rPr>
          <w:rFonts w:ascii="Arial" w:hAnsi="Arial" w:cs="Arial"/>
        </w:rPr>
      </w:pPr>
      <w:r w:rsidRPr="00E54B0E">
        <w:rPr>
          <w:rFonts w:ascii="Arial" w:hAnsi="Arial" w:cs="Arial"/>
        </w:rPr>
        <w:t>Solicitar a la Presidencia de la República:</w:t>
      </w:r>
    </w:p>
    <w:p w:rsidR="00E54B0E" w:rsidRPr="00E54B0E" w:rsidRDefault="00E54B0E" w:rsidP="00E54B0E">
      <w:pPr>
        <w:ind w:left="360"/>
        <w:jc w:val="both"/>
        <w:rPr>
          <w:rFonts w:ascii="Arial" w:hAnsi="Arial" w:cs="Arial"/>
        </w:rPr>
      </w:pPr>
    </w:p>
    <w:p w:rsidR="00E54B0E" w:rsidRPr="00E54B0E" w:rsidRDefault="00E54B0E" w:rsidP="00E54B0E">
      <w:pPr>
        <w:numPr>
          <w:ilvl w:val="1"/>
          <w:numId w:val="30"/>
        </w:numPr>
        <w:ind w:left="709"/>
        <w:jc w:val="both"/>
        <w:rPr>
          <w:rFonts w:ascii="Arial" w:hAnsi="Arial" w:cs="Arial"/>
        </w:rPr>
      </w:pPr>
      <w:r w:rsidRPr="00E54B0E">
        <w:rPr>
          <w:rFonts w:ascii="Arial" w:hAnsi="Arial" w:cs="Arial"/>
        </w:rPr>
        <w:t>Analizar los criterios de las Universidades Públicas que consideran los siguientes aspectos:</w:t>
      </w:r>
    </w:p>
    <w:p w:rsidR="00E54B0E" w:rsidRPr="00E54B0E" w:rsidRDefault="00E54B0E" w:rsidP="00E54B0E">
      <w:pPr>
        <w:ind w:left="709" w:firstLine="60"/>
        <w:jc w:val="both"/>
        <w:rPr>
          <w:rFonts w:ascii="Arial" w:hAnsi="Arial" w:cs="Arial"/>
          <w:sz w:val="16"/>
          <w:szCs w:val="16"/>
        </w:rPr>
      </w:pPr>
    </w:p>
    <w:p w:rsidR="00E54B0E" w:rsidRPr="00E54B0E" w:rsidRDefault="00E54B0E" w:rsidP="00E54B0E">
      <w:pPr>
        <w:numPr>
          <w:ilvl w:val="2"/>
          <w:numId w:val="30"/>
        </w:numPr>
        <w:ind w:left="993"/>
        <w:jc w:val="both"/>
        <w:rPr>
          <w:rFonts w:ascii="Arial" w:hAnsi="Arial" w:cs="Arial"/>
        </w:rPr>
      </w:pPr>
      <w:r w:rsidRPr="00E54B0E">
        <w:rPr>
          <w:rFonts w:ascii="Arial" w:hAnsi="Arial" w:cs="Arial"/>
        </w:rPr>
        <w:t xml:space="preserve">Revisar el reglamento, para que incluyan en la Canasta Básica Tributaria otros productos de consumo de los hogares de los </w:t>
      </w:r>
      <w:proofErr w:type="spellStart"/>
      <w:r w:rsidRPr="00E54B0E">
        <w:rPr>
          <w:rFonts w:ascii="Arial" w:hAnsi="Arial" w:cs="Arial"/>
        </w:rPr>
        <w:t>deciles</w:t>
      </w:r>
      <w:proofErr w:type="spellEnd"/>
      <w:r w:rsidRPr="00E54B0E">
        <w:rPr>
          <w:rFonts w:ascii="Arial" w:hAnsi="Arial" w:cs="Arial"/>
        </w:rPr>
        <w:t xml:space="preserve"> de menores ingresos.</w:t>
      </w:r>
    </w:p>
    <w:p w:rsidR="00E54B0E" w:rsidRPr="00E54B0E" w:rsidRDefault="00E54B0E" w:rsidP="00E54B0E">
      <w:pPr>
        <w:ind w:left="709" w:firstLine="60"/>
        <w:jc w:val="both"/>
        <w:rPr>
          <w:rFonts w:ascii="Arial" w:hAnsi="Arial" w:cs="Arial"/>
          <w:sz w:val="16"/>
          <w:szCs w:val="16"/>
        </w:rPr>
      </w:pPr>
    </w:p>
    <w:p w:rsidR="00E54B0E" w:rsidRPr="00E54B0E" w:rsidRDefault="00E54B0E" w:rsidP="00E54B0E">
      <w:pPr>
        <w:numPr>
          <w:ilvl w:val="2"/>
          <w:numId w:val="30"/>
        </w:numPr>
        <w:ind w:left="993"/>
        <w:jc w:val="both"/>
        <w:rPr>
          <w:rFonts w:ascii="Arial" w:hAnsi="Arial" w:cs="Arial"/>
        </w:rPr>
      </w:pPr>
      <w:r w:rsidRPr="00E54B0E">
        <w:rPr>
          <w:rFonts w:ascii="Arial" w:hAnsi="Arial" w:cs="Arial"/>
        </w:rPr>
        <w:t>Considerar dentro de los criterios de la lista de productos en la canasta básica el perfil epidemiológico de Costa Rica</w:t>
      </w:r>
    </w:p>
    <w:p w:rsidR="00E54B0E" w:rsidRPr="00E54B0E" w:rsidRDefault="00E54B0E" w:rsidP="00E54B0E">
      <w:pPr>
        <w:ind w:left="709" w:firstLine="60"/>
        <w:jc w:val="both"/>
        <w:rPr>
          <w:rFonts w:ascii="Arial" w:hAnsi="Arial" w:cs="Arial"/>
          <w:sz w:val="16"/>
          <w:szCs w:val="16"/>
        </w:rPr>
      </w:pPr>
    </w:p>
    <w:p w:rsidR="00E54B0E" w:rsidRPr="00E54B0E" w:rsidRDefault="00E54B0E" w:rsidP="00E54B0E">
      <w:pPr>
        <w:numPr>
          <w:ilvl w:val="1"/>
          <w:numId w:val="30"/>
        </w:numPr>
        <w:ind w:left="709"/>
        <w:jc w:val="both"/>
        <w:rPr>
          <w:rFonts w:ascii="Arial" w:hAnsi="Arial" w:cs="Arial"/>
          <w:lang w:val="es-CR"/>
        </w:rPr>
      </w:pPr>
      <w:r w:rsidRPr="00E54B0E">
        <w:rPr>
          <w:rFonts w:ascii="Arial" w:hAnsi="Arial" w:cs="Arial"/>
          <w:lang w:val="es-CR"/>
        </w:rPr>
        <w:t xml:space="preserve">Analizar si estos criterios requieren de ajustes o modificaciones en la </w:t>
      </w:r>
      <w:r w:rsidRPr="00E54B0E">
        <w:rPr>
          <w:rFonts w:ascii="Arial" w:hAnsi="Arial" w:cs="Arial"/>
        </w:rPr>
        <w:t>Ley N.º 9635, en particular el concepto de la Canasta Básica Tributaria.</w:t>
      </w:r>
    </w:p>
    <w:p w:rsidR="00E54B0E" w:rsidRPr="00E54B0E" w:rsidRDefault="00E54B0E" w:rsidP="00E54B0E">
      <w:pPr>
        <w:ind w:left="709"/>
        <w:jc w:val="both"/>
        <w:rPr>
          <w:rFonts w:ascii="Arial" w:hAnsi="Arial" w:cs="Arial"/>
          <w:lang w:val="es-CR"/>
        </w:rPr>
      </w:pPr>
    </w:p>
    <w:p w:rsidR="00E54B0E" w:rsidRPr="00E54B0E" w:rsidRDefault="00E54B0E" w:rsidP="007742A1">
      <w:pPr>
        <w:numPr>
          <w:ilvl w:val="1"/>
          <w:numId w:val="30"/>
        </w:numPr>
        <w:ind w:left="709"/>
        <w:jc w:val="both"/>
        <w:rPr>
          <w:rFonts w:ascii="Arial" w:hAnsi="Arial" w:cs="Arial"/>
          <w:lang w:val="es-CR"/>
        </w:rPr>
      </w:pPr>
      <w:r w:rsidRPr="00E54B0E">
        <w:rPr>
          <w:rFonts w:ascii="Arial" w:hAnsi="Arial" w:cs="Arial"/>
        </w:rPr>
        <w:t>Comunicar a la Presidencia de la República de Costa Rica, Asamblea Legislativa y CONARE.</w:t>
      </w:r>
    </w:p>
    <w:p w:rsidR="002E7062" w:rsidRDefault="002E7062" w:rsidP="007742A1">
      <w:pPr>
        <w:jc w:val="both"/>
        <w:rPr>
          <w:rFonts w:ascii="Arial" w:eastAsia="Cambria" w:hAnsi="Arial" w:cs="Arial"/>
          <w:lang w:val="es-ES_tradnl" w:eastAsia="en-US"/>
        </w:rPr>
      </w:pPr>
    </w:p>
    <w:p w:rsidR="00215C41" w:rsidRDefault="00BB6A5E" w:rsidP="00E54B0E">
      <w:pPr>
        <w:numPr>
          <w:ilvl w:val="0"/>
          <w:numId w:val="27"/>
        </w:numPr>
        <w:ind w:left="284" w:hanging="284"/>
        <w:jc w:val="both"/>
        <w:rPr>
          <w:rFonts w:ascii="Arial" w:hAnsi="Arial" w:cs="Arial"/>
          <w:b/>
          <w:lang w:val="es-CR"/>
        </w:rPr>
      </w:pPr>
      <w:r w:rsidRPr="002E7062">
        <w:rPr>
          <w:rFonts w:ascii="Arial" w:eastAsia="Cambria" w:hAnsi="Arial" w:cs="Arial"/>
          <w:lang w:eastAsia="en-US"/>
        </w:rPr>
        <w:t>Comunicar</w:t>
      </w:r>
      <w:r w:rsidRPr="002E7062">
        <w:rPr>
          <w:rFonts w:ascii="Arial" w:hAnsi="Arial" w:cs="Arial"/>
          <w:lang w:val="es-CR"/>
        </w:rPr>
        <w:t xml:space="preserve">. </w:t>
      </w:r>
      <w:r w:rsidRPr="002E7062">
        <w:rPr>
          <w:rFonts w:ascii="Arial" w:hAnsi="Arial" w:cs="Arial"/>
          <w:b/>
          <w:lang w:val="es-CR"/>
        </w:rPr>
        <w:t xml:space="preserve"> ACUERDO FIRME.</w:t>
      </w:r>
    </w:p>
    <w:p w:rsidR="00D5420C" w:rsidRDefault="00D5420C" w:rsidP="00D5420C">
      <w:pPr>
        <w:jc w:val="both"/>
        <w:rPr>
          <w:rFonts w:ascii="Arial" w:hAnsi="Arial" w:cs="Arial"/>
          <w:b/>
          <w:lang w:val="es-CR"/>
        </w:rPr>
      </w:pPr>
    </w:p>
    <w:p w:rsidR="00E54B0E" w:rsidRDefault="00E54B0E" w:rsidP="00D5420C">
      <w:pPr>
        <w:jc w:val="both"/>
        <w:rPr>
          <w:rFonts w:ascii="Arial" w:hAnsi="Arial" w:cs="Arial"/>
          <w:b/>
          <w:lang w:val="es-CR"/>
        </w:rPr>
      </w:pPr>
    </w:p>
    <w:p w:rsidR="00E54B0E" w:rsidRPr="00E54B0E" w:rsidRDefault="00E54B0E" w:rsidP="00E54B0E">
      <w:pPr>
        <w:jc w:val="both"/>
        <w:rPr>
          <w:rFonts w:ascii="Arial" w:hAnsi="Arial" w:cs="Arial"/>
          <w:b/>
          <w:sz w:val="22"/>
          <w:szCs w:val="22"/>
          <w:lang w:val="es-CR"/>
        </w:rPr>
      </w:pPr>
      <w:r w:rsidRPr="00E54B0E">
        <w:rPr>
          <w:rFonts w:ascii="Arial" w:hAnsi="Arial" w:cs="Arial"/>
          <w:b/>
          <w:sz w:val="22"/>
          <w:szCs w:val="22"/>
          <w:lang w:val="es-CR"/>
        </w:rPr>
        <w:t xml:space="preserve">PALABRAS CLAVE: Solicitud – Criterios - técnicos – Presidencia de Costa Rica - Canasta Básica - </w:t>
      </w:r>
    </w:p>
    <w:p w:rsidR="00084DC2" w:rsidRPr="00337E83" w:rsidRDefault="00084DC2" w:rsidP="00337E83">
      <w:pPr>
        <w:autoSpaceDE w:val="0"/>
        <w:autoSpaceDN w:val="0"/>
        <w:adjustRightInd w:val="0"/>
        <w:ind w:right="-91"/>
        <w:jc w:val="both"/>
        <w:rPr>
          <w:rFonts w:ascii="Arial" w:hAnsi="Arial" w:cs="Arial"/>
          <w:b/>
          <w:sz w:val="22"/>
          <w:szCs w:val="22"/>
          <w:lang w:val="es-CR"/>
        </w:rPr>
      </w:pPr>
    </w:p>
    <w:p w:rsidR="002E7062" w:rsidRDefault="002E7062" w:rsidP="002E7062">
      <w:pPr>
        <w:autoSpaceDE w:val="0"/>
        <w:autoSpaceDN w:val="0"/>
        <w:adjustRightInd w:val="0"/>
        <w:ind w:left="360" w:right="-91"/>
        <w:jc w:val="both"/>
        <w:rPr>
          <w:rFonts w:ascii="Arial" w:hAnsi="Arial" w:cs="Arial"/>
          <w:b/>
          <w:sz w:val="22"/>
          <w:szCs w:val="22"/>
          <w:lang w:val="es-CR"/>
        </w:rPr>
      </w:pPr>
    </w:p>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337E83" w:rsidRPr="000F50B9" w:rsidRDefault="00337E83" w:rsidP="00CB0724">
      <w:pPr>
        <w:jc w:val="both"/>
        <w:rPr>
          <w:rFonts w:ascii="Arial" w:eastAsia="Cambria" w:hAnsi="Arial" w:cs="Arial"/>
          <w:b/>
          <w:sz w:val="18"/>
          <w:szCs w:val="18"/>
          <w:lang w:eastAsia="en-US"/>
        </w:rPr>
      </w:pPr>
    </w:p>
    <w:p w:rsidR="00337E83" w:rsidRDefault="00337E83" w:rsidP="008F6C51">
      <w:pPr>
        <w:jc w:val="both"/>
        <w:rPr>
          <w:rFonts w:ascii="Arial" w:eastAsia="Cambria" w:hAnsi="Arial" w:cs="Arial"/>
          <w:sz w:val="22"/>
          <w:szCs w:val="22"/>
          <w:lang w:val="es-CR" w:eastAsia="en-US"/>
        </w:rPr>
      </w:pPr>
      <w:r>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9"/>
      <w:foot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25" w:rsidRDefault="00DF2525">
      <w:r>
        <w:separator/>
      </w:r>
    </w:p>
  </w:endnote>
  <w:endnote w:type="continuationSeparator" w:id="0">
    <w:p w:rsidR="00DF2525" w:rsidRDefault="00DF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Default="00082329">
    <w:pPr>
      <w:pStyle w:val="Piedepgina"/>
      <w:jc w:val="center"/>
    </w:pPr>
  </w:p>
  <w:p w:rsidR="00082329" w:rsidRDefault="00082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25" w:rsidRDefault="00DF2525">
      <w:r>
        <w:separator/>
      </w:r>
    </w:p>
  </w:footnote>
  <w:footnote w:type="continuationSeparator" w:id="0">
    <w:p w:rsidR="00DF2525" w:rsidRDefault="00DF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29" w:rsidRPr="00D958BC" w:rsidRDefault="00082329"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082329" w:rsidRPr="00D958BC"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w:t>
    </w:r>
    <w:r w:rsidR="008F6C51">
      <w:rPr>
        <w:rFonts w:ascii="Arial" w:eastAsia="Cambria" w:hAnsi="Arial" w:cs="Arial"/>
        <w:i/>
        <w:sz w:val="18"/>
        <w:szCs w:val="18"/>
        <w:lang w:val="es-ES_tradnl" w:eastAsia="x-none"/>
      </w:rPr>
      <w:t>1</w:t>
    </w:r>
    <w:r w:rsidR="00E818A8">
      <w:rPr>
        <w:rFonts w:ascii="Arial" w:eastAsia="Cambria" w:hAnsi="Arial" w:cs="Arial"/>
        <w:i/>
        <w:sz w:val="18"/>
        <w:szCs w:val="18"/>
        <w:lang w:val="es-ES_tradnl" w:eastAsia="x-none"/>
      </w:rPr>
      <w:t>3</w:t>
    </w:r>
    <w:r w:rsidRPr="00D958BC">
      <w:rPr>
        <w:rFonts w:ascii="Arial" w:eastAsia="Cambria" w:hAnsi="Arial" w:cs="Arial"/>
        <w:i/>
        <w:sz w:val="18"/>
        <w:szCs w:val="18"/>
        <w:lang w:val="es-ES_tradnl" w:eastAsia="x-none"/>
      </w:rPr>
      <w:t xml:space="preserve">, Artículo </w:t>
    </w:r>
    <w:r w:rsidR="00E818A8">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E818A8">
      <w:rPr>
        <w:rFonts w:ascii="Arial" w:eastAsia="Cambria" w:hAnsi="Arial" w:cs="Arial"/>
        <w:i/>
        <w:sz w:val="18"/>
        <w:szCs w:val="18"/>
        <w:lang w:val="es-ES_tradnl" w:eastAsia="x-none"/>
      </w:rPr>
      <w:t>03</w:t>
    </w:r>
    <w:r>
      <w:rPr>
        <w:rFonts w:ascii="Arial" w:eastAsia="Cambria" w:hAnsi="Arial" w:cs="Arial"/>
        <w:i/>
        <w:sz w:val="18"/>
        <w:szCs w:val="18"/>
        <w:lang w:val="es-ES_tradnl" w:eastAsia="x-none"/>
      </w:rPr>
      <w:t xml:space="preserve"> de </w:t>
    </w:r>
    <w:r w:rsidR="00E818A8">
      <w:rPr>
        <w:rFonts w:ascii="Arial" w:eastAsia="Cambria" w:hAnsi="Arial" w:cs="Arial"/>
        <w:i/>
        <w:sz w:val="18"/>
        <w:szCs w:val="18"/>
        <w:lang w:val="es-ES_tradnl" w:eastAsia="x-none"/>
      </w:rPr>
      <w:t>abril</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9</w:t>
    </w:r>
  </w:p>
  <w:p w:rsidR="00082329" w:rsidRDefault="00082329"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97601A">
      <w:rPr>
        <w:rFonts w:ascii="Arial" w:eastAsia="Cambria" w:hAnsi="Arial" w:cs="Arial"/>
        <w:i/>
        <w:noProof/>
        <w:sz w:val="18"/>
        <w:szCs w:val="18"/>
        <w:lang w:val="es-ES_tradnl" w:eastAsia="x-none"/>
      </w:rPr>
      <w:t>5</w:t>
    </w:r>
    <w:r w:rsidRPr="00D958BC">
      <w:rPr>
        <w:rFonts w:ascii="Arial" w:eastAsia="Cambria" w:hAnsi="Arial" w:cs="Arial"/>
        <w:i/>
        <w:sz w:val="18"/>
        <w:szCs w:val="18"/>
        <w:lang w:val="es-ES_tradnl" w:eastAsia="x-none"/>
      </w:rPr>
      <w:fldChar w:fldCharType="end"/>
    </w:r>
  </w:p>
  <w:p w:rsidR="00082329" w:rsidRDefault="00082329"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743888"/>
    <w:multiLevelType w:val="hybridMultilevel"/>
    <w:tmpl w:val="F1608752"/>
    <w:lvl w:ilvl="0" w:tplc="DC727E2E">
      <w:start w:val="1"/>
      <w:numFmt w:val="decimal"/>
      <w:lvlText w:val="%1."/>
      <w:lvlJc w:val="left"/>
      <w:pPr>
        <w:ind w:left="360" w:hanging="360"/>
      </w:pPr>
      <w:rPr>
        <w:b/>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8AA13C6"/>
    <w:multiLevelType w:val="hybridMultilevel"/>
    <w:tmpl w:val="A36AAFC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0EC13582"/>
    <w:multiLevelType w:val="hybridMultilevel"/>
    <w:tmpl w:val="8DD00CE6"/>
    <w:lvl w:ilvl="0" w:tplc="7910F70E">
      <w:start w:val="1"/>
      <w:numFmt w:val="lowerLetter"/>
      <w:lvlText w:val="%1)"/>
      <w:lvlJc w:val="left"/>
      <w:pPr>
        <w:ind w:left="1108" w:hanging="360"/>
      </w:pPr>
      <w:rPr>
        <w:rFonts w:hint="default"/>
      </w:rPr>
    </w:lvl>
    <w:lvl w:ilvl="1" w:tplc="140A0019" w:tentative="1">
      <w:start w:val="1"/>
      <w:numFmt w:val="lowerLetter"/>
      <w:lvlText w:val="%2."/>
      <w:lvlJc w:val="left"/>
      <w:pPr>
        <w:ind w:left="1828" w:hanging="360"/>
      </w:pPr>
    </w:lvl>
    <w:lvl w:ilvl="2" w:tplc="140A001B" w:tentative="1">
      <w:start w:val="1"/>
      <w:numFmt w:val="lowerRoman"/>
      <w:lvlText w:val="%3."/>
      <w:lvlJc w:val="right"/>
      <w:pPr>
        <w:ind w:left="2548" w:hanging="180"/>
      </w:pPr>
    </w:lvl>
    <w:lvl w:ilvl="3" w:tplc="140A000F" w:tentative="1">
      <w:start w:val="1"/>
      <w:numFmt w:val="decimal"/>
      <w:lvlText w:val="%4."/>
      <w:lvlJc w:val="left"/>
      <w:pPr>
        <w:ind w:left="3268" w:hanging="360"/>
      </w:pPr>
    </w:lvl>
    <w:lvl w:ilvl="4" w:tplc="140A0019" w:tentative="1">
      <w:start w:val="1"/>
      <w:numFmt w:val="lowerLetter"/>
      <w:lvlText w:val="%5."/>
      <w:lvlJc w:val="left"/>
      <w:pPr>
        <w:ind w:left="3988" w:hanging="360"/>
      </w:pPr>
    </w:lvl>
    <w:lvl w:ilvl="5" w:tplc="140A001B" w:tentative="1">
      <w:start w:val="1"/>
      <w:numFmt w:val="lowerRoman"/>
      <w:lvlText w:val="%6."/>
      <w:lvlJc w:val="right"/>
      <w:pPr>
        <w:ind w:left="4708" w:hanging="180"/>
      </w:pPr>
    </w:lvl>
    <w:lvl w:ilvl="6" w:tplc="140A000F" w:tentative="1">
      <w:start w:val="1"/>
      <w:numFmt w:val="decimal"/>
      <w:lvlText w:val="%7."/>
      <w:lvlJc w:val="left"/>
      <w:pPr>
        <w:ind w:left="5428" w:hanging="360"/>
      </w:pPr>
    </w:lvl>
    <w:lvl w:ilvl="7" w:tplc="140A0019" w:tentative="1">
      <w:start w:val="1"/>
      <w:numFmt w:val="lowerLetter"/>
      <w:lvlText w:val="%8."/>
      <w:lvlJc w:val="left"/>
      <w:pPr>
        <w:ind w:left="6148" w:hanging="360"/>
      </w:pPr>
    </w:lvl>
    <w:lvl w:ilvl="8" w:tplc="140A001B" w:tentative="1">
      <w:start w:val="1"/>
      <w:numFmt w:val="lowerRoman"/>
      <w:lvlText w:val="%9."/>
      <w:lvlJc w:val="right"/>
      <w:pPr>
        <w:ind w:left="6868" w:hanging="180"/>
      </w:pPr>
    </w:lvl>
  </w:abstractNum>
  <w:abstractNum w:abstractNumId="5" w15:restartNumberingAfterBreak="0">
    <w:nsid w:val="14FD5102"/>
    <w:multiLevelType w:val="hybridMultilevel"/>
    <w:tmpl w:val="0472F944"/>
    <w:lvl w:ilvl="0" w:tplc="3ED000D8">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7135D97"/>
    <w:multiLevelType w:val="hybridMultilevel"/>
    <w:tmpl w:val="BE569880"/>
    <w:lvl w:ilvl="0" w:tplc="DD7A21C2">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98258D"/>
    <w:multiLevelType w:val="hybridMultilevel"/>
    <w:tmpl w:val="206C2AAA"/>
    <w:lvl w:ilvl="0" w:tplc="DC727E2E">
      <w:start w:val="1"/>
      <w:numFmt w:val="decimal"/>
      <w:lvlText w:val="%1."/>
      <w:lvlJc w:val="left"/>
      <w:pPr>
        <w:ind w:left="720" w:hanging="360"/>
      </w:pPr>
      <w:rPr>
        <w:b/>
      </w:rPr>
    </w:lvl>
    <w:lvl w:ilvl="1" w:tplc="225210E6">
      <w:start w:val="1"/>
      <w:numFmt w:val="decimal"/>
      <w:lvlText w:val="%2."/>
      <w:lvlJc w:val="left"/>
      <w:pPr>
        <w:ind w:left="1440" w:hanging="360"/>
      </w:pPr>
      <w:rPr>
        <w:b/>
        <w:i w:val="0"/>
        <w:sz w:val="22"/>
        <w:szCs w:val="22"/>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186392"/>
    <w:multiLevelType w:val="hybridMultilevel"/>
    <w:tmpl w:val="D2EE82A0"/>
    <w:lvl w:ilvl="0" w:tplc="0C0A0019">
      <w:start w:val="1"/>
      <w:numFmt w:val="lowerLetter"/>
      <w:lvlText w:val="%1."/>
      <w:lvlJc w:val="left"/>
      <w:pPr>
        <w:ind w:left="360" w:hanging="360"/>
      </w:pPr>
      <w:rPr>
        <w:rFonts w:hint="default"/>
        <w:b/>
        <w:sz w:val="22"/>
        <w:szCs w:val="22"/>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0A76CDF"/>
    <w:multiLevelType w:val="multilevel"/>
    <w:tmpl w:val="BDB43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53FA2"/>
    <w:multiLevelType w:val="multilevel"/>
    <w:tmpl w:val="8F7020B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2A6D497A"/>
    <w:multiLevelType w:val="hybridMultilevel"/>
    <w:tmpl w:val="FFC2789E"/>
    <w:lvl w:ilvl="0" w:tplc="9E48C048">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2B3832C3"/>
    <w:multiLevelType w:val="hybridMultilevel"/>
    <w:tmpl w:val="3B908574"/>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D1F483B"/>
    <w:multiLevelType w:val="hybridMultilevel"/>
    <w:tmpl w:val="795882F4"/>
    <w:lvl w:ilvl="0" w:tplc="FFFFFFFF">
      <w:start w:val="1"/>
      <w:numFmt w:val="bullet"/>
      <w:lvlText w:val="-"/>
      <w:lvlJc w:val="left"/>
      <w:pPr>
        <w:ind w:left="720" w:hanging="360"/>
      </w:pPr>
      <w:rPr>
        <w:rFonts w:ascii="Sylfaen" w:hAnsi="Sylfaen" w:hint="default"/>
      </w:rPr>
    </w:lvl>
    <w:lvl w:ilvl="1" w:tplc="FFFFFFFF">
      <w:start w:val="1"/>
      <w:numFmt w:val="bullet"/>
      <w:lvlText w:val="-"/>
      <w:lvlJc w:val="left"/>
      <w:pPr>
        <w:ind w:left="1440" w:hanging="360"/>
      </w:pPr>
      <w:rPr>
        <w:rFonts w:ascii="Sylfaen" w:hAnsi="Sylfaen"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1A01BF"/>
    <w:multiLevelType w:val="hybridMultilevel"/>
    <w:tmpl w:val="39CCA3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0916520"/>
    <w:multiLevelType w:val="singleLevel"/>
    <w:tmpl w:val="2A4278DE"/>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16" w15:restartNumberingAfterBreak="0">
    <w:nsid w:val="34BA7C37"/>
    <w:multiLevelType w:val="hybridMultilevel"/>
    <w:tmpl w:val="6BCA9E00"/>
    <w:lvl w:ilvl="0" w:tplc="FD52B58C">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3E2BAF"/>
    <w:multiLevelType w:val="hybridMultilevel"/>
    <w:tmpl w:val="2CAE703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15:restartNumberingAfterBreak="0">
    <w:nsid w:val="422250AA"/>
    <w:multiLevelType w:val="hybridMultilevel"/>
    <w:tmpl w:val="969EDA0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0" w15:restartNumberingAfterBreak="0">
    <w:nsid w:val="46DB14D2"/>
    <w:multiLevelType w:val="hybridMultilevel"/>
    <w:tmpl w:val="77D47004"/>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CC46C7"/>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B7AE8"/>
    <w:multiLevelType w:val="multilevel"/>
    <w:tmpl w:val="C4EAB8B2"/>
    <w:lvl w:ilvl="0">
      <w:start w:val="1"/>
      <w:numFmt w:val="decimal"/>
      <w:lvlText w:val="%1)"/>
      <w:lvlJc w:val="left"/>
      <w:pPr>
        <w:ind w:left="360" w:hanging="360"/>
      </w:pPr>
      <w:rPr>
        <w:rFonts w:hint="default"/>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E81E83"/>
    <w:multiLevelType w:val="hybridMultilevel"/>
    <w:tmpl w:val="9C48E862"/>
    <w:lvl w:ilvl="0" w:tplc="FDE4C5FA">
      <w:start w:val="1"/>
      <w:numFmt w:val="lowerLetter"/>
      <w:lvlText w:val="%1."/>
      <w:lvlJc w:val="left"/>
      <w:pPr>
        <w:ind w:left="436" w:hanging="360"/>
      </w:pPr>
      <w:rPr>
        <w:rFonts w:cs="TTE1865388t00" w:hint="default"/>
        <w:b/>
        <w:i w:val="0"/>
        <w:sz w:val="24"/>
        <w:szCs w:val="24"/>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24"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D75DAD"/>
    <w:multiLevelType w:val="hybridMultilevel"/>
    <w:tmpl w:val="C392701C"/>
    <w:lvl w:ilvl="0" w:tplc="2ED40224">
      <w:start w:val="1"/>
      <w:numFmt w:val="lowerLetter"/>
      <w:lvlText w:val="%1."/>
      <w:lvlJc w:val="left"/>
      <w:pPr>
        <w:ind w:left="720" w:hanging="360"/>
      </w:pPr>
      <w:rPr>
        <w:b/>
      </w:rPr>
    </w:lvl>
    <w:lvl w:ilvl="1" w:tplc="140A0013">
      <w:start w:val="1"/>
      <w:numFmt w:val="upp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8444B5D"/>
    <w:multiLevelType w:val="hybridMultilevel"/>
    <w:tmpl w:val="07768248"/>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0345397"/>
    <w:multiLevelType w:val="hybridMultilevel"/>
    <w:tmpl w:val="DBC81622"/>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4DA320A"/>
    <w:multiLevelType w:val="hybridMultilevel"/>
    <w:tmpl w:val="C3F41444"/>
    <w:lvl w:ilvl="0" w:tplc="DC727E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8"/>
  </w:num>
  <w:num w:numId="7">
    <w:abstractNumId w:val="18"/>
  </w:num>
  <w:num w:numId="8">
    <w:abstractNumId w:val="20"/>
  </w:num>
  <w:num w:numId="9">
    <w:abstractNumId w:val="11"/>
  </w:num>
  <w:num w:numId="10">
    <w:abstractNumId w:val="13"/>
  </w:num>
  <w:num w:numId="11">
    <w:abstractNumId w:val="26"/>
  </w:num>
  <w:num w:numId="12">
    <w:abstractNumId w:val="10"/>
  </w:num>
  <w:num w:numId="13">
    <w:abstractNumId w:val="3"/>
  </w:num>
  <w:num w:numId="14">
    <w:abstractNumId w:val="15"/>
  </w:num>
  <w:num w:numId="15">
    <w:abstractNumId w:val="17"/>
  </w:num>
  <w:num w:numId="16">
    <w:abstractNumId w:val="4"/>
  </w:num>
  <w:num w:numId="17">
    <w:abstractNumId w:val="21"/>
  </w:num>
  <w:num w:numId="18">
    <w:abstractNumId w:val="16"/>
  </w:num>
  <w:num w:numId="19">
    <w:abstractNumId w:val="12"/>
  </w:num>
  <w:num w:numId="20">
    <w:abstractNumId w:val="22"/>
  </w:num>
  <w:num w:numId="21">
    <w:abstractNumId w:val="28"/>
  </w:num>
  <w:num w:numId="22">
    <w:abstractNumId w:val="23"/>
  </w:num>
  <w:num w:numId="23">
    <w:abstractNumId w:val="14"/>
  </w:num>
  <w:num w:numId="24">
    <w:abstractNumId w:val="27"/>
  </w:num>
  <w:num w:numId="25">
    <w:abstractNumId w:val="24"/>
  </w:num>
  <w:num w:numId="26">
    <w:abstractNumId w:val="29"/>
  </w:num>
  <w:num w:numId="27">
    <w:abstractNumId w:val="25"/>
  </w:num>
  <w:num w:numId="28">
    <w:abstractNumId w:val="5"/>
  </w:num>
  <w:num w:numId="29">
    <w:abstractNumId w:val="19"/>
  </w:num>
  <w:num w:numId="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52427"/>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2329"/>
    <w:rsid w:val="000846DF"/>
    <w:rsid w:val="00084DC2"/>
    <w:rsid w:val="00084FDD"/>
    <w:rsid w:val="000856DA"/>
    <w:rsid w:val="000857E5"/>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0B9"/>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6AA4"/>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3ED6"/>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E7062"/>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37E83"/>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4443"/>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7B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158"/>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25A1"/>
    <w:rsid w:val="006B3AB9"/>
    <w:rsid w:val="006B3AF3"/>
    <w:rsid w:val="006B4FBB"/>
    <w:rsid w:val="006B5024"/>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6A88"/>
    <w:rsid w:val="006F7054"/>
    <w:rsid w:val="006F736E"/>
    <w:rsid w:val="006F7C62"/>
    <w:rsid w:val="00700643"/>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757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3CB5"/>
    <w:rsid w:val="007742A1"/>
    <w:rsid w:val="00774600"/>
    <w:rsid w:val="00777FF4"/>
    <w:rsid w:val="00781332"/>
    <w:rsid w:val="007819B0"/>
    <w:rsid w:val="007837C1"/>
    <w:rsid w:val="007848E0"/>
    <w:rsid w:val="0078514D"/>
    <w:rsid w:val="00791713"/>
    <w:rsid w:val="00791D2B"/>
    <w:rsid w:val="00794454"/>
    <w:rsid w:val="00795377"/>
    <w:rsid w:val="007A1C46"/>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28F"/>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8F6C51"/>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845"/>
    <w:rsid w:val="00931FBC"/>
    <w:rsid w:val="00932C87"/>
    <w:rsid w:val="009401C7"/>
    <w:rsid w:val="00945C56"/>
    <w:rsid w:val="009462DD"/>
    <w:rsid w:val="009526A4"/>
    <w:rsid w:val="00952F8F"/>
    <w:rsid w:val="00953265"/>
    <w:rsid w:val="00953CA5"/>
    <w:rsid w:val="009546D0"/>
    <w:rsid w:val="009561A9"/>
    <w:rsid w:val="00956670"/>
    <w:rsid w:val="0096004A"/>
    <w:rsid w:val="009600BB"/>
    <w:rsid w:val="00961770"/>
    <w:rsid w:val="00961D14"/>
    <w:rsid w:val="00962660"/>
    <w:rsid w:val="00963F04"/>
    <w:rsid w:val="00964B8E"/>
    <w:rsid w:val="009651B9"/>
    <w:rsid w:val="00967CC7"/>
    <w:rsid w:val="00971830"/>
    <w:rsid w:val="0097202A"/>
    <w:rsid w:val="00972E3C"/>
    <w:rsid w:val="00974D66"/>
    <w:rsid w:val="009750E5"/>
    <w:rsid w:val="0097601A"/>
    <w:rsid w:val="0097636F"/>
    <w:rsid w:val="009766BD"/>
    <w:rsid w:val="00976EA8"/>
    <w:rsid w:val="009775C5"/>
    <w:rsid w:val="0098075C"/>
    <w:rsid w:val="0098130D"/>
    <w:rsid w:val="00985EBE"/>
    <w:rsid w:val="009860F5"/>
    <w:rsid w:val="00990B7F"/>
    <w:rsid w:val="009912AB"/>
    <w:rsid w:val="00992545"/>
    <w:rsid w:val="00994C10"/>
    <w:rsid w:val="00995F34"/>
    <w:rsid w:val="00997041"/>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3A87"/>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6420"/>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724"/>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545F"/>
    <w:rsid w:val="00D111F5"/>
    <w:rsid w:val="00D12861"/>
    <w:rsid w:val="00D136B7"/>
    <w:rsid w:val="00D13A88"/>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903"/>
    <w:rsid w:val="00D43FD9"/>
    <w:rsid w:val="00D4408D"/>
    <w:rsid w:val="00D44CBD"/>
    <w:rsid w:val="00D45874"/>
    <w:rsid w:val="00D46755"/>
    <w:rsid w:val="00D479AF"/>
    <w:rsid w:val="00D500A1"/>
    <w:rsid w:val="00D51BB1"/>
    <w:rsid w:val="00D5420C"/>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654"/>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525"/>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277A1"/>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4B0E"/>
    <w:rsid w:val="00E5768A"/>
    <w:rsid w:val="00E5779F"/>
    <w:rsid w:val="00E57A60"/>
    <w:rsid w:val="00E61736"/>
    <w:rsid w:val="00E61CDC"/>
    <w:rsid w:val="00E6487C"/>
    <w:rsid w:val="00E64C9D"/>
    <w:rsid w:val="00E6544B"/>
    <w:rsid w:val="00E65876"/>
    <w:rsid w:val="00E70574"/>
    <w:rsid w:val="00E718A6"/>
    <w:rsid w:val="00E80FBE"/>
    <w:rsid w:val="00E818A8"/>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607"/>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B1F33"/>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iPriority w:val="99"/>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E706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37E8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697390857">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AC84-158F-4F30-9050-69A39700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119</cp:revision>
  <cp:lastPrinted>2019-03-27T19:34:00Z</cp:lastPrinted>
  <dcterms:created xsi:type="dcterms:W3CDTF">2018-05-02T21:37:00Z</dcterms:created>
  <dcterms:modified xsi:type="dcterms:W3CDTF">2019-04-03T19:09:00Z</dcterms:modified>
</cp:coreProperties>
</file>