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A45F7">
        <w:rPr>
          <w:rFonts w:ascii="Arial" w:hAnsi="Arial" w:cs="Arial"/>
          <w:b/>
          <w:bCs/>
          <w:iCs/>
          <w:sz w:val="26"/>
          <w:szCs w:val="22"/>
          <w:lang w:val="es-CR"/>
        </w:rPr>
        <w:t>323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BC497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AA45F7" w:rsidRPr="00AC372A" w:rsidRDefault="00AA45F7" w:rsidP="00AA45F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AA45F7" w:rsidRPr="00AC372A" w:rsidRDefault="00AA45F7" w:rsidP="00AA45F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AA45F7" w:rsidRDefault="00AA45F7" w:rsidP="00AA45F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AA45F7" w:rsidRDefault="00AA45F7" w:rsidP="00AA45F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AA45F7" w:rsidRDefault="00AA45F7" w:rsidP="00AA45F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Araya, Directora Departamento Financiero Contable </w:t>
            </w:r>
          </w:p>
          <w:p w:rsidR="008D5D01" w:rsidRDefault="008D5D01" w:rsidP="007528B7">
            <w:pPr>
              <w:jc w:val="both"/>
              <w:rPr>
                <w:rFonts w:ascii="Arial" w:eastAsia="Cambria" w:hAnsi="Arial" w:cs="Arial"/>
                <w:sz w:val="22"/>
                <w:szCs w:val="22"/>
                <w:lang w:val="es-ES_tradnl" w:eastAsia="en-US"/>
              </w:rPr>
            </w:pPr>
          </w:p>
          <w:p w:rsidR="00AA45F7" w:rsidRPr="00F548D2" w:rsidRDefault="00AA45F7" w:rsidP="007528B7">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528B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A7222">
              <w:rPr>
                <w:rFonts w:ascii="Arial" w:eastAsia="Cambria" w:hAnsi="Arial" w:cs="Arial"/>
                <w:b/>
                <w:sz w:val="22"/>
                <w:szCs w:val="22"/>
                <w:lang w:val="es-ES_tradnl" w:eastAsia="en-US"/>
              </w:rPr>
              <w:t>abril</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A45F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7528B7">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528B7">
              <w:rPr>
                <w:rFonts w:ascii="Arial" w:eastAsia="Calibri" w:hAnsi="Arial" w:cs="Arial"/>
                <w:b/>
                <w:sz w:val="22"/>
                <w:szCs w:val="22"/>
              </w:rPr>
              <w:t>1</w:t>
            </w:r>
            <w:r w:rsidR="00AA45F7">
              <w:rPr>
                <w:rFonts w:ascii="Arial" w:eastAsia="Calibri" w:hAnsi="Arial" w:cs="Arial"/>
                <w:b/>
                <w:sz w:val="22"/>
                <w:szCs w:val="22"/>
              </w:rPr>
              <w:t>2</w:t>
            </w:r>
            <w:r w:rsidR="007742A1" w:rsidRPr="008F0835">
              <w:rPr>
                <w:rFonts w:ascii="Arial" w:eastAsia="Calibri" w:hAnsi="Arial" w:cs="Arial"/>
                <w:b/>
                <w:sz w:val="22"/>
                <w:szCs w:val="22"/>
              </w:rPr>
              <w:t xml:space="preserve"> del </w:t>
            </w:r>
            <w:r w:rsidR="007528B7">
              <w:rPr>
                <w:rFonts w:ascii="Arial" w:eastAsia="Calibri" w:hAnsi="Arial" w:cs="Arial"/>
                <w:b/>
                <w:sz w:val="22"/>
                <w:szCs w:val="22"/>
              </w:rPr>
              <w:t>30</w:t>
            </w:r>
            <w:r w:rsidR="005A7222">
              <w:rPr>
                <w:rFonts w:ascii="Arial" w:eastAsia="Calibri" w:hAnsi="Arial" w:cs="Arial"/>
                <w:b/>
                <w:sz w:val="22"/>
                <w:szCs w:val="22"/>
              </w:rPr>
              <w:t xml:space="preserve"> de abril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528B7" w:rsidRPr="007528B7">
              <w:rPr>
                <w:rFonts w:ascii="Arial" w:eastAsia="Cambria" w:hAnsi="Arial" w:cs="Arial"/>
                <w:b/>
                <w:bCs/>
                <w:sz w:val="22"/>
                <w:szCs w:val="22"/>
                <w:lang w:val="es-CR" w:eastAsia="en-US"/>
              </w:rPr>
              <w:t>Subsanación del acuerdo de la Sesión Ordinaria No. 3097, Artículo 9, del 14 de noviembre de 2018. Detalle de la Renovación y Reconversión de plazas 2019 Fondos Mixtos, según Acuerdo del Consejo Institucional en Sesión No. 3087, Artículo 10, del 12 de setiembre de 2018.</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00F6" w:rsidRDefault="00A000F6" w:rsidP="007742A1">
      <w:pPr>
        <w:jc w:val="both"/>
        <w:rPr>
          <w:rFonts w:ascii="Arial" w:eastAsia="Cambria" w:hAnsi="Arial" w:cs="Arial"/>
          <w:lang w:val="es-ES_tradnl" w:eastAsia="en-US"/>
        </w:rPr>
      </w:pPr>
    </w:p>
    <w:p w:rsidR="004406B7" w:rsidRPr="00E76103" w:rsidRDefault="004406B7" w:rsidP="004406B7">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4406B7" w:rsidRPr="00BD09BC" w:rsidRDefault="004406B7" w:rsidP="004406B7">
      <w:pPr>
        <w:rPr>
          <w:rFonts w:ascii="Arial" w:eastAsia="Calibri" w:hAnsi="Arial" w:cs="Arial"/>
          <w:sz w:val="16"/>
          <w:szCs w:val="16"/>
        </w:rPr>
      </w:pPr>
    </w:p>
    <w:p w:rsidR="004406B7" w:rsidRPr="00E76103" w:rsidRDefault="004406B7" w:rsidP="004406B7">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4406B7" w:rsidRPr="00DB3904" w:rsidRDefault="004406B7" w:rsidP="004406B7">
      <w:pPr>
        <w:jc w:val="both"/>
        <w:rPr>
          <w:rFonts w:ascii="Arial" w:eastAsia="Cambria" w:hAnsi="Arial" w:cs="Arial"/>
          <w:lang w:eastAsia="en-US"/>
        </w:rPr>
      </w:pPr>
    </w:p>
    <w:p w:rsidR="004406B7" w:rsidRPr="00E76103" w:rsidRDefault="004406B7" w:rsidP="004406B7">
      <w:pPr>
        <w:pStyle w:val="Default"/>
        <w:ind w:left="851" w:right="333"/>
        <w:jc w:val="both"/>
        <w:rPr>
          <w:i/>
          <w:sz w:val="20"/>
          <w:szCs w:val="20"/>
        </w:rPr>
      </w:pPr>
      <w:r w:rsidRPr="00E76103">
        <w:rPr>
          <w:b/>
          <w:bCs/>
          <w:i/>
          <w:sz w:val="20"/>
          <w:szCs w:val="20"/>
        </w:rPr>
        <w:t xml:space="preserve">“Artículo 136 </w:t>
      </w:r>
    </w:p>
    <w:p w:rsidR="004406B7" w:rsidRDefault="004406B7" w:rsidP="004406B7">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4406B7" w:rsidRPr="00E76103" w:rsidRDefault="004406B7" w:rsidP="004406B7">
      <w:pPr>
        <w:pStyle w:val="Default"/>
        <w:ind w:left="851" w:right="333"/>
        <w:jc w:val="both"/>
        <w:rPr>
          <w:i/>
          <w:sz w:val="20"/>
          <w:szCs w:val="20"/>
        </w:rPr>
      </w:pPr>
    </w:p>
    <w:p w:rsidR="004406B7" w:rsidRPr="00E76103" w:rsidRDefault="004406B7" w:rsidP="004406B7">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4406B7" w:rsidRPr="00E76103" w:rsidRDefault="004406B7" w:rsidP="004406B7">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4406B7" w:rsidRPr="00B511E8" w:rsidRDefault="004406B7" w:rsidP="004406B7">
      <w:pPr>
        <w:pStyle w:val="Default"/>
        <w:ind w:left="851" w:right="333"/>
        <w:jc w:val="both"/>
        <w:rPr>
          <w:i/>
          <w:sz w:val="16"/>
          <w:szCs w:val="16"/>
        </w:rPr>
      </w:pPr>
    </w:p>
    <w:p w:rsidR="004406B7" w:rsidRPr="00E76103" w:rsidRDefault="004406B7" w:rsidP="004406B7">
      <w:pPr>
        <w:pStyle w:val="Default"/>
        <w:ind w:left="851" w:right="333"/>
        <w:jc w:val="both"/>
        <w:rPr>
          <w:i/>
          <w:sz w:val="20"/>
          <w:szCs w:val="20"/>
        </w:rPr>
      </w:pPr>
      <w:r w:rsidRPr="00E76103">
        <w:rPr>
          <w:b/>
          <w:bCs/>
          <w:i/>
          <w:sz w:val="20"/>
          <w:szCs w:val="20"/>
        </w:rPr>
        <w:t xml:space="preserve">Artículo 137 </w:t>
      </w:r>
    </w:p>
    <w:p w:rsidR="004406B7" w:rsidRPr="00E76103" w:rsidRDefault="004406B7" w:rsidP="004406B7">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4406B7" w:rsidRPr="00BD09BC" w:rsidRDefault="004406B7" w:rsidP="004406B7">
      <w:pPr>
        <w:jc w:val="both"/>
        <w:rPr>
          <w:rFonts w:ascii="Arial" w:eastAsia="Cambria" w:hAnsi="Arial" w:cs="Arial"/>
          <w:sz w:val="16"/>
          <w:szCs w:val="16"/>
          <w:lang w:eastAsia="en-US"/>
        </w:rPr>
      </w:pPr>
    </w:p>
    <w:p w:rsidR="004406B7" w:rsidRPr="001B5928" w:rsidRDefault="004406B7" w:rsidP="004406B7">
      <w:pPr>
        <w:pStyle w:val="Prrafodelista"/>
        <w:numPr>
          <w:ilvl w:val="0"/>
          <w:numId w:val="4"/>
        </w:numPr>
        <w:contextualSpacing/>
        <w:jc w:val="both"/>
        <w:rPr>
          <w:rFonts w:ascii="Arial" w:eastAsia="Calibri" w:hAnsi="Arial" w:cs="Arial"/>
          <w:sz w:val="22"/>
          <w:szCs w:val="22"/>
        </w:rPr>
      </w:pPr>
      <w:r w:rsidRPr="001B5928">
        <w:rPr>
          <w:rFonts w:ascii="Arial" w:eastAsia="Calibri" w:hAnsi="Arial" w:cs="Arial"/>
          <w:sz w:val="22"/>
          <w:szCs w:val="22"/>
        </w:rPr>
        <w:t>En la Sesión Ordinaria No. 3097, Artículo 9, del 14 de noviembre de 2018 se adoptó el acuerdo “</w:t>
      </w:r>
      <w:r w:rsidRPr="001B5928">
        <w:rPr>
          <w:rFonts w:ascii="Arial" w:hAnsi="Arial" w:cs="Arial"/>
          <w:sz w:val="22"/>
          <w:szCs w:val="22"/>
        </w:rPr>
        <w:t>Detalle de la Renovación y Reconversión de plazas 2019 Fondos Mixtos, según Acuerdo del Consejo Institucional en Sesión No. 3087, Artículo 10, del 12 de setiembre de 2018”</w:t>
      </w:r>
      <w:r w:rsidRPr="001B5928">
        <w:rPr>
          <w:rFonts w:ascii="Arial" w:eastAsia="Calibri" w:hAnsi="Arial" w:cs="Arial"/>
          <w:i/>
          <w:sz w:val="22"/>
          <w:szCs w:val="22"/>
        </w:rPr>
        <w:t>.</w:t>
      </w:r>
    </w:p>
    <w:p w:rsidR="004406B7" w:rsidRPr="00BD09BC" w:rsidRDefault="004406B7" w:rsidP="004406B7">
      <w:pPr>
        <w:jc w:val="both"/>
        <w:rPr>
          <w:rFonts w:ascii="Arial" w:eastAsia="Cambria" w:hAnsi="Arial" w:cs="Arial"/>
          <w:sz w:val="16"/>
          <w:szCs w:val="16"/>
          <w:lang w:eastAsia="en-US"/>
        </w:rPr>
      </w:pPr>
    </w:p>
    <w:p w:rsidR="004406B7" w:rsidRPr="00E76103" w:rsidRDefault="004406B7" w:rsidP="004406B7">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72 del Reglamento del Consejo Institucional, establece lo siguiente:</w:t>
      </w:r>
    </w:p>
    <w:p w:rsidR="004406B7" w:rsidRPr="00DB3904" w:rsidRDefault="004406B7" w:rsidP="004406B7">
      <w:pPr>
        <w:pStyle w:val="Default"/>
        <w:ind w:left="851" w:right="333"/>
        <w:jc w:val="both"/>
        <w:rPr>
          <w:i/>
          <w:sz w:val="20"/>
          <w:szCs w:val="20"/>
        </w:rPr>
      </w:pPr>
    </w:p>
    <w:p w:rsidR="004406B7" w:rsidRPr="00E76103" w:rsidRDefault="004406B7" w:rsidP="004406B7">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4406B7" w:rsidRPr="00DB3904" w:rsidRDefault="004406B7" w:rsidP="004406B7">
      <w:pPr>
        <w:pStyle w:val="Default"/>
        <w:ind w:left="851" w:right="333"/>
        <w:jc w:val="both"/>
        <w:rPr>
          <w:i/>
          <w:sz w:val="20"/>
          <w:szCs w:val="20"/>
        </w:rPr>
      </w:pPr>
    </w:p>
    <w:p w:rsidR="004406B7" w:rsidRPr="00D1671A" w:rsidRDefault="004406B7" w:rsidP="004406B7">
      <w:pPr>
        <w:pStyle w:val="Prrafodelista"/>
        <w:numPr>
          <w:ilvl w:val="0"/>
          <w:numId w:val="4"/>
        </w:numPr>
        <w:contextualSpacing/>
        <w:jc w:val="both"/>
        <w:rPr>
          <w:rFonts w:ascii="Arial" w:eastAsia="Calibri" w:hAnsi="Arial" w:cs="Arial"/>
        </w:rPr>
      </w:pPr>
      <w:r w:rsidRPr="00D1671A">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4406B7" w:rsidRPr="00B511E8" w:rsidRDefault="004406B7" w:rsidP="004406B7">
      <w:pPr>
        <w:jc w:val="both"/>
        <w:rPr>
          <w:rFonts w:ascii="Arial" w:eastAsia="Calibri" w:hAnsi="Arial" w:cs="Arial"/>
          <w:sz w:val="16"/>
          <w:szCs w:val="16"/>
        </w:rPr>
      </w:pPr>
    </w:p>
    <w:p w:rsidR="004406B7" w:rsidRPr="00E76103" w:rsidRDefault="004406B7" w:rsidP="004406B7">
      <w:pPr>
        <w:pStyle w:val="Default"/>
        <w:ind w:left="851" w:right="333"/>
        <w:jc w:val="both"/>
        <w:rPr>
          <w:i/>
          <w:sz w:val="20"/>
          <w:szCs w:val="20"/>
        </w:rPr>
      </w:pPr>
      <w:r w:rsidRPr="00E76103">
        <w:rPr>
          <w:i/>
          <w:sz w:val="20"/>
          <w:szCs w:val="20"/>
          <w:lang w:val="es-ES"/>
        </w:rPr>
        <w:t>“</w:t>
      </w:r>
      <w:r w:rsidRPr="00E76103">
        <w:rPr>
          <w:i/>
          <w:sz w:val="20"/>
          <w:szCs w:val="20"/>
        </w:rPr>
        <w:t>Artículo 5.</w:t>
      </w:r>
    </w:p>
    <w:p w:rsidR="004406B7" w:rsidRPr="00E76103" w:rsidRDefault="004406B7" w:rsidP="004406B7">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4406B7" w:rsidRPr="00E76103" w:rsidRDefault="004406B7" w:rsidP="004406B7">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4406B7" w:rsidRDefault="004406B7" w:rsidP="004406B7">
      <w:pPr>
        <w:jc w:val="both"/>
        <w:rPr>
          <w:rFonts w:ascii="Arial" w:eastAsia="Calibri" w:hAnsi="Arial" w:cs="Arial"/>
          <w:b/>
          <w:bCs/>
          <w:lang w:val="es-CR" w:eastAsia="en-US"/>
        </w:rPr>
      </w:pPr>
    </w:p>
    <w:p w:rsidR="004406B7" w:rsidRPr="00E76103" w:rsidRDefault="004406B7" w:rsidP="004406B7">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4406B7" w:rsidRPr="00E76103" w:rsidRDefault="004406B7" w:rsidP="004406B7">
      <w:pPr>
        <w:jc w:val="both"/>
        <w:rPr>
          <w:rFonts w:ascii="Arial" w:eastAsia="Calibri" w:hAnsi="Arial" w:cs="Arial"/>
          <w:sz w:val="22"/>
          <w:szCs w:val="22"/>
        </w:rPr>
      </w:pPr>
    </w:p>
    <w:p w:rsidR="004406B7" w:rsidRPr="00D1671A" w:rsidRDefault="004406B7" w:rsidP="004406B7">
      <w:pPr>
        <w:pStyle w:val="Prrafodelista"/>
        <w:numPr>
          <w:ilvl w:val="0"/>
          <w:numId w:val="5"/>
        </w:numPr>
        <w:contextualSpacing/>
        <w:jc w:val="both"/>
        <w:rPr>
          <w:rFonts w:ascii="Arial" w:eastAsia="Calibri" w:hAnsi="Arial" w:cs="Arial"/>
        </w:rPr>
      </w:pPr>
      <w:r w:rsidRPr="00D1671A">
        <w:rPr>
          <w:rFonts w:ascii="Arial" w:eastAsia="Calibri" w:hAnsi="Arial" w:cs="Arial"/>
        </w:rPr>
        <w:t xml:space="preserve">En el acuerdo adoptado por el Consejo Institucional en la Sesión Ordinaria No. 3097, Artículo </w:t>
      </w:r>
      <w:r>
        <w:rPr>
          <w:rFonts w:ascii="Arial" w:eastAsia="Calibri" w:hAnsi="Arial" w:cs="Arial"/>
        </w:rPr>
        <w:t>9</w:t>
      </w:r>
      <w:r w:rsidRPr="00D1671A">
        <w:rPr>
          <w:rFonts w:ascii="Arial" w:eastAsia="Calibri" w:hAnsi="Arial" w:cs="Arial"/>
        </w:rPr>
        <w:t>, del 14 de noviembre de 2018, no se especificaron los recursos que admite, ni los plazos de presentación.</w:t>
      </w:r>
    </w:p>
    <w:p w:rsidR="004406B7" w:rsidRPr="00E76103" w:rsidRDefault="004406B7" w:rsidP="004406B7">
      <w:pPr>
        <w:jc w:val="both"/>
        <w:rPr>
          <w:rFonts w:ascii="Arial" w:eastAsia="Calibri" w:hAnsi="Arial" w:cs="Arial"/>
          <w:sz w:val="22"/>
          <w:szCs w:val="22"/>
        </w:rPr>
      </w:pPr>
    </w:p>
    <w:p w:rsidR="004406B7" w:rsidRPr="00D1671A" w:rsidRDefault="004406B7" w:rsidP="004406B7">
      <w:pPr>
        <w:pStyle w:val="Prrafodelista"/>
        <w:numPr>
          <w:ilvl w:val="0"/>
          <w:numId w:val="5"/>
        </w:numPr>
        <w:contextualSpacing/>
        <w:jc w:val="both"/>
        <w:rPr>
          <w:rFonts w:ascii="Arial" w:eastAsia="Calibri" w:hAnsi="Arial" w:cs="Arial"/>
          <w:lang w:val="es-CR"/>
        </w:rPr>
      </w:pPr>
      <w:r w:rsidRPr="00D1671A">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4406B7" w:rsidRPr="00E76103" w:rsidRDefault="004406B7" w:rsidP="004406B7">
      <w:pPr>
        <w:pStyle w:val="Prrafodelista"/>
        <w:rPr>
          <w:rFonts w:ascii="Arial" w:eastAsia="Calibri" w:hAnsi="Arial" w:cs="Arial"/>
          <w:sz w:val="22"/>
          <w:szCs w:val="22"/>
          <w:lang w:val="es-CR"/>
        </w:rPr>
      </w:pPr>
    </w:p>
    <w:p w:rsidR="004406B7" w:rsidRPr="00E76103" w:rsidRDefault="004406B7" w:rsidP="004406B7">
      <w:pPr>
        <w:jc w:val="both"/>
        <w:rPr>
          <w:rFonts w:ascii="Arial" w:eastAsia="Calibri" w:hAnsi="Arial" w:cs="Arial"/>
          <w:b/>
          <w:sz w:val="22"/>
          <w:szCs w:val="22"/>
          <w:lang w:val="es-CR"/>
        </w:rPr>
      </w:pPr>
      <w:r w:rsidRPr="00E76103">
        <w:rPr>
          <w:rFonts w:ascii="Arial" w:eastAsia="Calibri" w:hAnsi="Arial" w:cs="Arial"/>
          <w:b/>
          <w:sz w:val="22"/>
          <w:szCs w:val="22"/>
          <w:lang w:val="es-CR"/>
        </w:rPr>
        <w:t>SE</w:t>
      </w:r>
      <w:r w:rsidR="00AA45F7">
        <w:rPr>
          <w:rFonts w:ascii="Arial" w:eastAsia="Calibri" w:hAnsi="Arial" w:cs="Arial"/>
          <w:b/>
          <w:sz w:val="22"/>
          <w:szCs w:val="22"/>
          <w:lang w:val="es-CR"/>
        </w:rPr>
        <w:t xml:space="preserve"> ACUERDA</w:t>
      </w:r>
      <w:r>
        <w:rPr>
          <w:rFonts w:ascii="Arial" w:eastAsia="Calibri" w:hAnsi="Arial" w:cs="Arial"/>
          <w:b/>
          <w:sz w:val="22"/>
          <w:szCs w:val="22"/>
          <w:lang w:val="es-CR"/>
        </w:rPr>
        <w:t>:</w:t>
      </w:r>
    </w:p>
    <w:p w:rsidR="004406B7" w:rsidRPr="00342023" w:rsidRDefault="004406B7" w:rsidP="004406B7">
      <w:pPr>
        <w:pStyle w:val="Prrafodelista"/>
        <w:rPr>
          <w:rFonts w:ascii="Arial" w:eastAsia="Calibri" w:hAnsi="Arial" w:cs="Arial"/>
          <w:sz w:val="16"/>
          <w:szCs w:val="16"/>
          <w:lang w:val="es-CR"/>
        </w:rPr>
      </w:pPr>
    </w:p>
    <w:p w:rsidR="004406B7" w:rsidRPr="0025666C" w:rsidRDefault="004406B7" w:rsidP="004406B7">
      <w:pPr>
        <w:pStyle w:val="Prrafodelista"/>
        <w:numPr>
          <w:ilvl w:val="0"/>
          <w:numId w:val="6"/>
        </w:numPr>
        <w:contextualSpacing/>
        <w:jc w:val="both"/>
        <w:rPr>
          <w:rFonts w:ascii="Arial" w:eastAsia="Calibri" w:hAnsi="Arial" w:cs="Arial"/>
          <w:lang w:val="es-CR"/>
        </w:rPr>
      </w:pPr>
      <w:r w:rsidRPr="0025666C">
        <w:rPr>
          <w:rFonts w:ascii="Arial" w:eastAsia="Calibri" w:hAnsi="Arial" w:cs="Arial"/>
          <w:lang w:val="es-CR"/>
        </w:rPr>
        <w:t xml:space="preserve">Subsanar la omisión de los recursos que pueden presentarse en contra del acuerdo de la </w:t>
      </w:r>
      <w:r w:rsidRPr="0025666C">
        <w:rPr>
          <w:rFonts w:ascii="Arial" w:eastAsia="Calibri" w:hAnsi="Arial" w:cs="Arial"/>
        </w:rPr>
        <w:t xml:space="preserve">Sesión Ordinaria No. </w:t>
      </w:r>
      <w:r>
        <w:rPr>
          <w:rFonts w:ascii="Arial" w:eastAsia="Calibri" w:hAnsi="Arial" w:cs="Arial"/>
        </w:rPr>
        <w:t>3097</w:t>
      </w:r>
      <w:r w:rsidRPr="0025666C">
        <w:rPr>
          <w:rFonts w:ascii="Arial" w:eastAsia="Calibri" w:hAnsi="Arial" w:cs="Arial"/>
        </w:rPr>
        <w:t xml:space="preserve">, Artículo </w:t>
      </w:r>
      <w:r>
        <w:rPr>
          <w:rFonts w:ascii="Arial" w:eastAsia="Calibri" w:hAnsi="Arial" w:cs="Arial"/>
        </w:rPr>
        <w:t>9</w:t>
      </w:r>
      <w:r w:rsidRPr="0025666C">
        <w:rPr>
          <w:rFonts w:ascii="Arial" w:eastAsia="Calibri" w:hAnsi="Arial" w:cs="Arial"/>
        </w:rPr>
        <w:t xml:space="preserve">, del </w:t>
      </w:r>
      <w:r>
        <w:rPr>
          <w:rFonts w:ascii="Arial" w:eastAsia="Calibri" w:hAnsi="Arial" w:cs="Arial"/>
        </w:rPr>
        <w:t>14</w:t>
      </w:r>
      <w:r w:rsidRPr="0025666C">
        <w:rPr>
          <w:rFonts w:ascii="Arial" w:eastAsia="Calibri" w:hAnsi="Arial" w:cs="Arial"/>
        </w:rPr>
        <w:t xml:space="preserve"> de noviembre de 2018, y los plazos para hacerlo, de manera que el acuerdo se lea de la siguiente manera:</w:t>
      </w:r>
    </w:p>
    <w:p w:rsidR="004406B7" w:rsidRPr="00342023" w:rsidRDefault="004406B7" w:rsidP="004406B7">
      <w:pPr>
        <w:pStyle w:val="Prrafodelista"/>
        <w:rPr>
          <w:rFonts w:ascii="Arial" w:eastAsia="Calibri" w:hAnsi="Arial" w:cs="Arial"/>
          <w:sz w:val="16"/>
          <w:szCs w:val="16"/>
          <w:lang w:val="es-CR"/>
        </w:rPr>
      </w:pPr>
    </w:p>
    <w:p w:rsidR="004406B7" w:rsidRPr="00754695" w:rsidRDefault="004406B7" w:rsidP="004406B7">
      <w:pPr>
        <w:tabs>
          <w:tab w:val="left" w:pos="3070"/>
        </w:tabs>
        <w:ind w:left="426"/>
        <w:contextualSpacing/>
        <w:jc w:val="both"/>
        <w:outlineLvl w:val="0"/>
        <w:rPr>
          <w:rFonts w:ascii="Arial" w:eastAsia="Cambria" w:hAnsi="Arial" w:cs="Arial"/>
          <w:b/>
          <w:lang w:val="es-ES_tradnl" w:eastAsia="en-US"/>
        </w:rPr>
      </w:pPr>
      <w:r w:rsidRPr="00754695">
        <w:rPr>
          <w:rFonts w:ascii="Arial" w:eastAsia="Cambria" w:hAnsi="Arial" w:cs="Arial"/>
          <w:b/>
          <w:lang w:val="es-ES_tradnl" w:eastAsia="en-US"/>
        </w:rPr>
        <w:t>RESULTANDO QUE:</w:t>
      </w:r>
    </w:p>
    <w:p w:rsidR="004406B7" w:rsidRDefault="004406B7" w:rsidP="004406B7">
      <w:pPr>
        <w:pStyle w:val="Prrafodelista"/>
        <w:rPr>
          <w:rFonts w:ascii="Arial" w:eastAsia="Calibri" w:hAnsi="Arial" w:cs="Arial"/>
          <w:sz w:val="16"/>
          <w:szCs w:val="16"/>
          <w:lang w:val="es-CR"/>
        </w:rPr>
      </w:pPr>
    </w:p>
    <w:p w:rsidR="004406B7" w:rsidRDefault="004406B7" w:rsidP="004406B7">
      <w:pPr>
        <w:pStyle w:val="Prrafodelista"/>
        <w:ind w:left="709"/>
        <w:rPr>
          <w:rFonts w:ascii="Arial" w:eastAsia="Calibri" w:hAnsi="Arial" w:cs="Arial"/>
          <w:sz w:val="16"/>
          <w:szCs w:val="16"/>
          <w:lang w:val="es-CR"/>
        </w:rPr>
      </w:pPr>
    </w:p>
    <w:p w:rsidR="004406B7" w:rsidRPr="0033375D" w:rsidRDefault="004406B7" w:rsidP="004406B7">
      <w:pPr>
        <w:numPr>
          <w:ilvl w:val="0"/>
          <w:numId w:val="16"/>
        </w:numPr>
        <w:spacing w:after="160" w:line="256" w:lineRule="auto"/>
        <w:ind w:left="709"/>
        <w:contextualSpacing/>
        <w:jc w:val="both"/>
        <w:rPr>
          <w:rFonts w:ascii="Arial" w:hAnsi="Arial" w:cs="Arial"/>
          <w:lang w:val="es-CR"/>
        </w:rPr>
      </w:pPr>
      <w:r w:rsidRPr="0033375D">
        <w:rPr>
          <w:rFonts w:ascii="Arial" w:hAnsi="Arial" w:cs="Arial"/>
          <w:lang w:val="es-CR"/>
        </w:rPr>
        <w:t>El Artículo 21 del Reglamento del Consejo Institucional indica lo siguiente:</w:t>
      </w:r>
    </w:p>
    <w:p w:rsidR="004406B7" w:rsidRPr="0033375D" w:rsidRDefault="004406B7" w:rsidP="004406B7">
      <w:pPr>
        <w:ind w:left="426"/>
        <w:jc w:val="both"/>
        <w:rPr>
          <w:rFonts w:ascii="Arial" w:hAnsi="Arial" w:cs="Arial"/>
          <w:sz w:val="16"/>
          <w:szCs w:val="16"/>
          <w:lang w:val="es-CR"/>
        </w:rPr>
      </w:pPr>
    </w:p>
    <w:p w:rsidR="004406B7" w:rsidRPr="0033375D" w:rsidRDefault="004406B7" w:rsidP="004406B7">
      <w:pPr>
        <w:ind w:left="709" w:right="283"/>
        <w:jc w:val="both"/>
        <w:rPr>
          <w:rFonts w:ascii="Arial" w:hAnsi="Arial" w:cs="Arial"/>
          <w:i/>
          <w:sz w:val="22"/>
          <w:szCs w:val="22"/>
          <w:lang w:val="es-CR"/>
        </w:rPr>
      </w:pPr>
      <w:r w:rsidRPr="0033375D">
        <w:rPr>
          <w:rFonts w:ascii="Arial" w:hAnsi="Arial" w:cs="Arial"/>
          <w:i/>
          <w:sz w:val="22"/>
          <w:szCs w:val="22"/>
          <w:lang w:val="es-CR"/>
        </w:rPr>
        <w:t xml:space="preserve">“Son asuntos propios del análisis y dictamen de la Comisión de Planificación y Administración según su competencia los siguientes: </w:t>
      </w:r>
    </w:p>
    <w:p w:rsidR="004406B7" w:rsidRPr="0033375D" w:rsidRDefault="004406B7" w:rsidP="004406B7">
      <w:pPr>
        <w:ind w:left="709" w:right="283"/>
        <w:jc w:val="both"/>
        <w:rPr>
          <w:rFonts w:ascii="Arial" w:hAnsi="Arial" w:cs="Arial"/>
          <w:i/>
          <w:sz w:val="22"/>
          <w:szCs w:val="22"/>
          <w:lang w:val="es-CR"/>
        </w:rPr>
      </w:pPr>
      <w:r w:rsidRPr="0033375D">
        <w:rPr>
          <w:rFonts w:ascii="Arial" w:hAnsi="Arial" w:cs="Arial"/>
          <w:i/>
          <w:sz w:val="22"/>
          <w:szCs w:val="22"/>
          <w:lang w:val="es-CR"/>
        </w:rPr>
        <w:t>…</w:t>
      </w:r>
    </w:p>
    <w:p w:rsidR="004406B7" w:rsidRPr="0033375D" w:rsidRDefault="004406B7" w:rsidP="004406B7">
      <w:pPr>
        <w:ind w:left="709" w:right="283"/>
        <w:jc w:val="both"/>
        <w:rPr>
          <w:rFonts w:ascii="Arial" w:hAnsi="Arial" w:cs="Arial"/>
          <w:i/>
          <w:sz w:val="22"/>
          <w:szCs w:val="22"/>
          <w:lang w:val="es-CR"/>
        </w:rPr>
      </w:pPr>
      <w:r w:rsidRPr="0033375D">
        <w:rPr>
          <w:rFonts w:ascii="Arial" w:hAnsi="Arial" w:cs="Arial"/>
          <w:i/>
          <w:sz w:val="22"/>
          <w:szCs w:val="22"/>
          <w:lang w:val="es-CR"/>
        </w:rPr>
        <w:t>c. La creación, modificación y eliminación de plazas.”</w:t>
      </w:r>
    </w:p>
    <w:p w:rsidR="004406B7" w:rsidRPr="0033375D" w:rsidRDefault="004406B7" w:rsidP="004406B7">
      <w:pPr>
        <w:ind w:left="426"/>
        <w:jc w:val="both"/>
        <w:rPr>
          <w:rFonts w:ascii="Arial" w:hAnsi="Arial" w:cs="Arial"/>
          <w:lang w:val="es-CR"/>
        </w:rPr>
      </w:pPr>
    </w:p>
    <w:p w:rsidR="004406B7" w:rsidRPr="0033375D" w:rsidRDefault="004406B7" w:rsidP="004406B7">
      <w:pPr>
        <w:numPr>
          <w:ilvl w:val="0"/>
          <w:numId w:val="16"/>
        </w:numPr>
        <w:spacing w:after="160" w:line="256" w:lineRule="auto"/>
        <w:ind w:left="709"/>
        <w:contextualSpacing/>
        <w:jc w:val="both"/>
        <w:rPr>
          <w:rFonts w:ascii="Arial" w:hAnsi="Arial" w:cs="Arial"/>
          <w:lang w:val="es-CR"/>
        </w:rPr>
      </w:pPr>
      <w:r w:rsidRPr="0033375D">
        <w:rPr>
          <w:rFonts w:ascii="Arial" w:hAnsi="Arial" w:cs="Arial"/>
          <w:lang w:val="es-CR"/>
        </w:rPr>
        <w:t>Las Normas de Contratación y Remuneración del Personal del Instituto Tecnológico de Costa Rica, en su Artículo 2, de la creación y modificación de plazas, inciso a, dicta:</w:t>
      </w:r>
    </w:p>
    <w:p w:rsidR="004406B7" w:rsidRPr="0033375D" w:rsidRDefault="004406B7" w:rsidP="004406B7">
      <w:pPr>
        <w:spacing w:after="160" w:line="256" w:lineRule="auto"/>
        <w:ind w:left="426"/>
        <w:jc w:val="both"/>
        <w:rPr>
          <w:rFonts w:ascii="Arial" w:hAnsi="Arial" w:cs="Arial"/>
          <w:sz w:val="16"/>
          <w:szCs w:val="16"/>
          <w:lang w:val="es-CR"/>
        </w:rPr>
      </w:pPr>
    </w:p>
    <w:p w:rsidR="004406B7" w:rsidRPr="0033375D" w:rsidRDefault="004406B7" w:rsidP="004406B7">
      <w:pPr>
        <w:ind w:left="709" w:right="283"/>
        <w:jc w:val="both"/>
        <w:rPr>
          <w:rFonts w:ascii="Arial" w:hAnsi="Arial" w:cs="Arial"/>
          <w:i/>
          <w:sz w:val="22"/>
          <w:szCs w:val="22"/>
          <w:lang w:val="es-CR"/>
        </w:rPr>
      </w:pPr>
      <w:r w:rsidRPr="0033375D">
        <w:rPr>
          <w:rFonts w:ascii="Arial" w:hAnsi="Arial" w:cs="Arial"/>
          <w:i/>
          <w:sz w:val="22"/>
          <w:szCs w:val="22"/>
          <w:lang w:val="es-CR"/>
        </w:rPr>
        <w:lastRenderedPageBreak/>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4406B7" w:rsidRPr="0033375D" w:rsidRDefault="004406B7" w:rsidP="004406B7">
      <w:pPr>
        <w:ind w:left="709" w:right="283"/>
        <w:jc w:val="both"/>
        <w:rPr>
          <w:rFonts w:ascii="Arial" w:hAnsi="Arial" w:cs="Arial"/>
          <w:i/>
          <w:sz w:val="22"/>
          <w:szCs w:val="22"/>
          <w:lang w:val="es-CR"/>
        </w:rPr>
      </w:pPr>
    </w:p>
    <w:p w:rsidR="004406B7" w:rsidRPr="0033375D" w:rsidRDefault="004406B7" w:rsidP="004406B7">
      <w:pPr>
        <w:numPr>
          <w:ilvl w:val="0"/>
          <w:numId w:val="16"/>
        </w:numPr>
        <w:spacing w:after="160" w:line="256" w:lineRule="auto"/>
        <w:ind w:left="709"/>
        <w:contextualSpacing/>
        <w:jc w:val="both"/>
        <w:rPr>
          <w:rFonts w:ascii="Arial" w:hAnsi="Arial" w:cs="Arial"/>
          <w:lang w:val="es-CR"/>
        </w:rPr>
      </w:pPr>
      <w:r w:rsidRPr="0033375D">
        <w:rPr>
          <w:rFonts w:ascii="Arial" w:hAnsi="Arial" w:cs="Arial"/>
          <w:lang w:val="es-CR"/>
        </w:rPr>
        <w:t xml:space="preserve">El </w:t>
      </w:r>
      <w:r w:rsidRPr="00D1671A">
        <w:rPr>
          <w:rFonts w:ascii="Arial" w:hAnsi="Arial" w:cs="Arial"/>
          <w:lang w:val="es-CR"/>
        </w:rPr>
        <w:t>Consejo</w:t>
      </w:r>
      <w:r w:rsidRPr="0033375D">
        <w:rPr>
          <w:rFonts w:ascii="Arial" w:hAnsi="Arial" w:cs="Arial"/>
          <w:lang w:val="es-CR"/>
        </w:rPr>
        <w:t xml:space="preserve"> Institucional en la Sesión No. 3087, Artículo 10, del 12 de setiembre de 2018 aprobó la incorporación de los recursos en el Presupuesto Ordinario 2019, para atender el requerimiento de 12 plazas, con cargos a los Fondos Mixtos para Renovación del 2019. </w:t>
      </w:r>
    </w:p>
    <w:p w:rsidR="004406B7" w:rsidRPr="0033375D" w:rsidRDefault="004406B7" w:rsidP="004406B7">
      <w:pPr>
        <w:ind w:left="708"/>
        <w:rPr>
          <w:rFonts w:ascii="Arial" w:hAnsi="Arial" w:cs="Arial"/>
          <w:lang w:val="es-CR"/>
        </w:rPr>
      </w:pPr>
    </w:p>
    <w:p w:rsidR="004406B7" w:rsidRPr="0033375D" w:rsidRDefault="004406B7" w:rsidP="004406B7">
      <w:pPr>
        <w:autoSpaceDE w:val="0"/>
        <w:autoSpaceDN w:val="0"/>
        <w:adjustRightInd w:val="0"/>
        <w:ind w:left="1276" w:right="333" w:hanging="425"/>
        <w:jc w:val="both"/>
        <w:rPr>
          <w:rFonts w:ascii="Arial" w:hAnsi="Arial" w:cs="Arial"/>
          <w:i/>
          <w:sz w:val="22"/>
          <w:szCs w:val="22"/>
          <w:lang w:val="es-CR"/>
        </w:rPr>
      </w:pPr>
      <w:r w:rsidRPr="0033375D">
        <w:rPr>
          <w:rFonts w:ascii="Arial" w:hAnsi="Arial" w:cs="Arial"/>
          <w:i/>
          <w:sz w:val="22"/>
          <w:szCs w:val="22"/>
          <w:lang w:val="es-CR"/>
        </w:rPr>
        <w:t>“</w:t>
      </w:r>
      <w:r w:rsidRPr="0033375D">
        <w:rPr>
          <w:rFonts w:ascii="Arial" w:hAnsi="Arial" w:cs="Arial"/>
          <w:b/>
          <w:i/>
          <w:sz w:val="22"/>
          <w:szCs w:val="22"/>
          <w:lang w:val="es-CR"/>
        </w:rPr>
        <w:t>a.</w:t>
      </w:r>
      <w:r w:rsidRPr="0033375D">
        <w:rPr>
          <w:rFonts w:ascii="Arial" w:hAnsi="Arial" w:cs="Arial"/>
          <w:i/>
          <w:sz w:val="22"/>
          <w:szCs w:val="22"/>
          <w:lang w:val="es-CR"/>
        </w:rPr>
        <w:t xml:space="preserve">  Aprobar la incorporación de los recursos en el Presupuesto 2019, para atender el requerimiento de 12 plazas, equivalente a 12 tiempos completos, con cargos a los Fondos Mixtos para Renovación del 2019, por un monto de 214 485 213.25 colones.</w:t>
      </w:r>
    </w:p>
    <w:p w:rsidR="004406B7" w:rsidRPr="0033375D" w:rsidRDefault="004406B7" w:rsidP="004406B7">
      <w:pPr>
        <w:numPr>
          <w:ilvl w:val="0"/>
          <w:numId w:val="19"/>
        </w:numPr>
        <w:autoSpaceDE w:val="0"/>
        <w:autoSpaceDN w:val="0"/>
        <w:adjustRightInd w:val="0"/>
        <w:ind w:left="1246" w:right="333"/>
        <w:jc w:val="both"/>
        <w:rPr>
          <w:rFonts w:ascii="Arial" w:hAnsi="Arial" w:cs="Arial"/>
          <w:i/>
          <w:sz w:val="22"/>
          <w:szCs w:val="22"/>
          <w:lang w:val="es-CR"/>
        </w:rPr>
      </w:pPr>
      <w:r w:rsidRPr="0033375D">
        <w:rPr>
          <w:rFonts w:ascii="Arial" w:hAnsi="Arial" w:cs="Arial"/>
          <w:i/>
          <w:sz w:val="22"/>
          <w:szCs w:val="22"/>
          <w:lang w:val="es-CR"/>
        </w:rPr>
        <w:t>Distribuir las plazas planteadas para Renovación en memorando R-1013-2018, en las próximas sesiones del Consejo Institucional.</w:t>
      </w:r>
    </w:p>
    <w:p w:rsidR="004406B7" w:rsidRPr="0033375D" w:rsidRDefault="004406B7" w:rsidP="004406B7">
      <w:pPr>
        <w:numPr>
          <w:ilvl w:val="0"/>
          <w:numId w:val="19"/>
        </w:numPr>
        <w:autoSpaceDE w:val="0"/>
        <w:autoSpaceDN w:val="0"/>
        <w:adjustRightInd w:val="0"/>
        <w:ind w:left="1246" w:right="333"/>
        <w:jc w:val="both"/>
        <w:rPr>
          <w:rFonts w:ascii="Arial" w:hAnsi="Arial" w:cs="Arial"/>
          <w:sz w:val="20"/>
          <w:szCs w:val="20"/>
          <w:lang w:val="es-CR"/>
        </w:rPr>
      </w:pPr>
      <w:r w:rsidRPr="0033375D">
        <w:rPr>
          <w:rFonts w:ascii="Arial" w:hAnsi="Arial" w:cs="Arial"/>
          <w:i/>
          <w:sz w:val="22"/>
          <w:szCs w:val="22"/>
          <w:lang w:val="es-CR"/>
        </w:rPr>
        <w:t>Comunicar.</w:t>
      </w:r>
      <w:r w:rsidRPr="0033375D">
        <w:rPr>
          <w:rFonts w:ascii="Arial" w:hAnsi="Arial" w:cs="Arial"/>
          <w:sz w:val="20"/>
          <w:szCs w:val="20"/>
          <w:lang w:val="es-CR"/>
        </w:rPr>
        <w:t xml:space="preserve"> </w:t>
      </w:r>
      <w:r w:rsidRPr="0033375D">
        <w:rPr>
          <w:rFonts w:ascii="Arial" w:hAnsi="Arial" w:cs="Arial"/>
          <w:b/>
          <w:sz w:val="20"/>
          <w:szCs w:val="20"/>
          <w:lang w:val="es-CR"/>
        </w:rPr>
        <w:t xml:space="preserve"> </w:t>
      </w:r>
      <w:r w:rsidRPr="0033375D">
        <w:rPr>
          <w:rFonts w:ascii="Arial" w:hAnsi="Arial" w:cs="Arial"/>
          <w:b/>
          <w:i/>
          <w:sz w:val="20"/>
          <w:szCs w:val="20"/>
          <w:lang w:val="es-CR"/>
        </w:rPr>
        <w:t>ACUERDO FIRME</w:t>
      </w:r>
      <w:r w:rsidRPr="0033375D">
        <w:rPr>
          <w:rFonts w:ascii="Arial" w:hAnsi="Arial" w:cs="Arial"/>
          <w:b/>
          <w:sz w:val="20"/>
          <w:szCs w:val="20"/>
          <w:lang w:val="es-CR"/>
        </w:rPr>
        <w:t>.”</w:t>
      </w:r>
    </w:p>
    <w:p w:rsidR="004406B7" w:rsidRPr="0033375D" w:rsidRDefault="004406B7" w:rsidP="004406B7">
      <w:pPr>
        <w:ind w:left="709" w:right="283"/>
        <w:jc w:val="both"/>
        <w:rPr>
          <w:rFonts w:ascii="Arial" w:hAnsi="Arial" w:cs="Arial"/>
          <w:i/>
          <w:sz w:val="22"/>
          <w:szCs w:val="22"/>
          <w:lang w:val="es-CR"/>
        </w:rPr>
      </w:pPr>
    </w:p>
    <w:p w:rsidR="004406B7" w:rsidRPr="0033375D" w:rsidRDefault="004406B7" w:rsidP="004406B7">
      <w:pPr>
        <w:ind w:left="426"/>
        <w:jc w:val="both"/>
        <w:rPr>
          <w:rFonts w:ascii="Arial" w:eastAsia="Calibri" w:hAnsi="Arial" w:cs="Arial"/>
          <w:b/>
          <w:lang w:eastAsia="en-US"/>
        </w:rPr>
      </w:pPr>
      <w:r w:rsidRPr="0033375D">
        <w:rPr>
          <w:rFonts w:ascii="Arial" w:eastAsia="Calibri" w:hAnsi="Arial" w:cs="Arial"/>
          <w:b/>
          <w:lang w:eastAsia="en-US"/>
        </w:rPr>
        <w:t>CONSIDERANDO QUE:</w:t>
      </w:r>
    </w:p>
    <w:p w:rsidR="004406B7" w:rsidRPr="0033375D" w:rsidRDefault="004406B7" w:rsidP="004406B7">
      <w:pPr>
        <w:tabs>
          <w:tab w:val="left" w:pos="3321"/>
        </w:tabs>
        <w:jc w:val="both"/>
        <w:rPr>
          <w:rFonts w:ascii="Arial" w:hAnsi="Arial" w:cs="Arial"/>
          <w:b/>
          <w:color w:val="FF0000"/>
          <w:sz w:val="20"/>
          <w:szCs w:val="20"/>
          <w:lang w:val="es-CR"/>
        </w:rPr>
      </w:pPr>
    </w:p>
    <w:p w:rsidR="004406B7" w:rsidRPr="0033375D" w:rsidRDefault="004406B7" w:rsidP="004406B7">
      <w:pPr>
        <w:numPr>
          <w:ilvl w:val="0"/>
          <w:numId w:val="17"/>
        </w:numPr>
        <w:tabs>
          <w:tab w:val="left" w:pos="3321"/>
        </w:tabs>
        <w:ind w:left="851" w:hanging="426"/>
        <w:jc w:val="both"/>
        <w:rPr>
          <w:rFonts w:ascii="Arial" w:eastAsia="Calibri" w:hAnsi="Arial" w:cs="Arial"/>
          <w:lang w:val="es-CR" w:eastAsia="en-US"/>
        </w:rPr>
      </w:pPr>
      <w:r w:rsidRPr="0033375D">
        <w:rPr>
          <w:rFonts w:ascii="Arial" w:eastAsia="Calibri" w:hAnsi="Arial" w:cs="Arial"/>
          <w:lang w:eastAsia="en-US"/>
        </w:rPr>
        <w:t xml:space="preserve">La Comisión de Planificación y Administración en la reunión ordinaria No. 795-2018-2018 realizada el 13 de noviembre de 2018, revisa el </w:t>
      </w:r>
      <w:r w:rsidRPr="0033375D">
        <w:rPr>
          <w:rFonts w:ascii="Arial" w:eastAsia="Calibri" w:hAnsi="Arial" w:cs="Arial"/>
          <w:lang w:val="es-CR" w:eastAsia="en-US"/>
        </w:rPr>
        <w:t>desglose de las plazas con cargos a los Fondos Mixtos y se dispone elevar la propuesta al Consejo Institucional.</w:t>
      </w:r>
    </w:p>
    <w:p w:rsidR="004406B7" w:rsidRPr="0033375D" w:rsidRDefault="004406B7" w:rsidP="004406B7">
      <w:pPr>
        <w:tabs>
          <w:tab w:val="left" w:pos="3321"/>
        </w:tabs>
        <w:ind w:left="851"/>
        <w:jc w:val="both"/>
        <w:rPr>
          <w:rFonts w:ascii="Arial" w:eastAsia="Calibri" w:hAnsi="Arial" w:cs="Arial"/>
          <w:lang w:val="es-CR" w:eastAsia="en-US"/>
        </w:rPr>
      </w:pPr>
    </w:p>
    <w:p w:rsidR="004406B7" w:rsidRPr="0033375D" w:rsidRDefault="004406B7" w:rsidP="004406B7">
      <w:pPr>
        <w:tabs>
          <w:tab w:val="left" w:pos="3321"/>
        </w:tabs>
        <w:ind w:left="851"/>
        <w:jc w:val="both"/>
        <w:rPr>
          <w:rFonts w:ascii="Arial" w:eastAsia="Calibri" w:hAnsi="Arial" w:cs="Arial"/>
          <w:b/>
          <w:lang w:eastAsia="en-US"/>
        </w:rPr>
      </w:pPr>
      <w:r w:rsidRPr="0033375D">
        <w:rPr>
          <w:rFonts w:ascii="Arial" w:eastAsia="Calibri" w:hAnsi="Arial" w:cs="Arial"/>
          <w:b/>
          <w:lang w:eastAsia="en-US"/>
        </w:rPr>
        <w:t>SE</w:t>
      </w:r>
      <w:r>
        <w:rPr>
          <w:rFonts w:ascii="Arial" w:eastAsia="Calibri" w:hAnsi="Arial" w:cs="Arial"/>
          <w:b/>
          <w:lang w:eastAsia="en-US"/>
        </w:rPr>
        <w:t xml:space="preserve"> ACUERDA</w:t>
      </w:r>
      <w:r w:rsidRPr="0033375D">
        <w:rPr>
          <w:rFonts w:ascii="Arial" w:eastAsia="Calibri" w:hAnsi="Arial" w:cs="Arial"/>
          <w:b/>
          <w:lang w:eastAsia="en-US"/>
        </w:rPr>
        <w:t>:</w:t>
      </w:r>
    </w:p>
    <w:p w:rsidR="004406B7" w:rsidRPr="0033375D" w:rsidRDefault="004406B7" w:rsidP="00AA45F7">
      <w:pPr>
        <w:tabs>
          <w:tab w:val="left" w:pos="3321"/>
        </w:tabs>
        <w:jc w:val="both"/>
        <w:rPr>
          <w:rFonts w:ascii="Arial" w:eastAsia="Calibri" w:hAnsi="Arial" w:cs="Arial"/>
          <w:lang w:eastAsia="en-US"/>
        </w:rPr>
      </w:pPr>
    </w:p>
    <w:p w:rsidR="004406B7" w:rsidRPr="00AA45F7" w:rsidRDefault="004406B7" w:rsidP="004406B7">
      <w:pPr>
        <w:numPr>
          <w:ilvl w:val="0"/>
          <w:numId w:val="18"/>
        </w:numPr>
        <w:autoSpaceDE w:val="0"/>
        <w:autoSpaceDN w:val="0"/>
        <w:adjustRightInd w:val="0"/>
        <w:ind w:left="851"/>
        <w:jc w:val="both"/>
        <w:rPr>
          <w:rFonts w:ascii="Arial" w:hAnsi="Arial" w:cs="Arial"/>
          <w:lang w:val="es-CR" w:eastAsia="es-CR"/>
        </w:rPr>
      </w:pPr>
      <w:r w:rsidRPr="0033375D">
        <w:rPr>
          <w:rFonts w:ascii="Arial" w:hAnsi="Arial" w:cs="Arial"/>
          <w:lang w:val="es-CR"/>
        </w:rPr>
        <w:t xml:space="preserve">Aprobar </w:t>
      </w:r>
      <w:r w:rsidRPr="0033375D">
        <w:rPr>
          <w:rFonts w:ascii="Arial" w:hAnsi="Arial" w:cs="Arial"/>
          <w:lang w:val="es-CR" w:eastAsia="es-CR"/>
        </w:rPr>
        <w:t xml:space="preserve">para el año 2019, las plazas </w:t>
      </w:r>
      <w:r w:rsidRPr="0033375D">
        <w:rPr>
          <w:rFonts w:ascii="Arial" w:hAnsi="Arial" w:cs="Arial"/>
          <w:lang w:val="es-CR"/>
        </w:rPr>
        <w:t>con cargos a los Fondos Mixtos, de acuerdo a la incorporación de los recursos en el Presupuesto 2019, aprobados en la Sesión No. 3087, Artículo 10, del 12 de setiembre de 2018, c</w:t>
      </w:r>
      <w:r w:rsidRPr="0033375D">
        <w:rPr>
          <w:rFonts w:ascii="Arial" w:hAnsi="Arial" w:cs="Arial"/>
          <w:lang w:val="es-CR" w:eastAsia="es-CR"/>
        </w:rPr>
        <w:t>on las siguientes características:</w:t>
      </w:r>
    </w:p>
    <w:tbl>
      <w:tblPr>
        <w:tblW w:w="6102" w:type="pct"/>
        <w:tblInd w:w="-1139" w:type="dxa"/>
        <w:tblLayout w:type="fixed"/>
        <w:tblCellMar>
          <w:left w:w="70" w:type="dxa"/>
          <w:right w:w="70" w:type="dxa"/>
        </w:tblCellMar>
        <w:tblLook w:val="04A0" w:firstRow="1" w:lastRow="0" w:firstColumn="1" w:lastColumn="0" w:noHBand="0" w:noVBand="1"/>
      </w:tblPr>
      <w:tblGrid>
        <w:gridCol w:w="441"/>
        <w:gridCol w:w="1159"/>
        <w:gridCol w:w="728"/>
        <w:gridCol w:w="1455"/>
        <w:gridCol w:w="436"/>
        <w:gridCol w:w="582"/>
        <w:gridCol w:w="588"/>
        <w:gridCol w:w="582"/>
        <w:gridCol w:w="871"/>
        <w:gridCol w:w="1159"/>
        <w:gridCol w:w="2041"/>
        <w:gridCol w:w="1015"/>
      </w:tblGrid>
      <w:tr w:rsidR="004406B7" w:rsidRPr="0033375D" w:rsidTr="00D425E8">
        <w:trPr>
          <w:cantSplit/>
          <w:trHeight w:val="1134"/>
          <w:tblHeader/>
        </w:trPr>
        <w:tc>
          <w:tcPr>
            <w:tcW w:w="200" w:type="pct"/>
            <w:tcBorders>
              <w:top w:val="single" w:sz="4" w:space="0" w:color="auto"/>
              <w:left w:val="single" w:sz="4" w:space="0" w:color="auto"/>
              <w:bottom w:val="single" w:sz="4" w:space="0" w:color="auto"/>
              <w:right w:val="single" w:sz="4" w:space="0" w:color="auto"/>
            </w:tcBorders>
            <w:shd w:val="clear" w:color="auto" w:fill="0070C0"/>
            <w:vAlign w:val="center"/>
          </w:tcPr>
          <w:p w:rsidR="004406B7" w:rsidRPr="0033375D" w:rsidRDefault="004406B7" w:rsidP="00D425E8">
            <w:pPr>
              <w:jc w:val="center"/>
              <w:rPr>
                <w:rFonts w:ascii="Arial" w:hAnsi="Arial" w:cs="Arial"/>
                <w:sz w:val="16"/>
                <w:szCs w:val="16"/>
                <w:lang w:val="es-CR" w:eastAsia="es-CR"/>
              </w:rPr>
            </w:pPr>
            <w:r w:rsidRPr="0033375D">
              <w:rPr>
                <w:rFonts w:ascii="Arial" w:hAnsi="Arial" w:cs="Arial"/>
                <w:b/>
                <w:bCs/>
                <w:sz w:val="18"/>
                <w:szCs w:val="18"/>
                <w:lang w:val="es-CR" w:eastAsia="es-CR"/>
              </w:rPr>
              <w:t>#</w:t>
            </w:r>
          </w:p>
        </w:tc>
        <w:tc>
          <w:tcPr>
            <w:tcW w:w="524" w:type="pct"/>
            <w:tcBorders>
              <w:top w:val="single" w:sz="4" w:space="0" w:color="auto"/>
              <w:left w:val="nil"/>
              <w:bottom w:val="single" w:sz="4" w:space="0" w:color="auto"/>
              <w:right w:val="single" w:sz="4" w:space="0" w:color="auto"/>
            </w:tcBorders>
            <w:shd w:val="clear" w:color="auto" w:fill="0070C0"/>
            <w:vAlign w:val="center"/>
          </w:tcPr>
          <w:p w:rsidR="004406B7" w:rsidRPr="0033375D" w:rsidRDefault="004406B7" w:rsidP="00D425E8">
            <w:pPr>
              <w:jc w:val="center"/>
              <w:rPr>
                <w:rFonts w:ascii="Arial" w:hAnsi="Arial" w:cs="Arial"/>
                <w:sz w:val="16"/>
                <w:szCs w:val="16"/>
                <w:lang w:val="es-CR" w:eastAsia="es-CR"/>
              </w:rPr>
            </w:pPr>
            <w:r w:rsidRPr="0033375D">
              <w:rPr>
                <w:rFonts w:ascii="Arial" w:hAnsi="Arial" w:cs="Arial"/>
                <w:b/>
                <w:bCs/>
                <w:sz w:val="18"/>
                <w:szCs w:val="18"/>
                <w:lang w:val="es-CR" w:eastAsia="es-CR"/>
              </w:rPr>
              <w:t>Programa</w:t>
            </w:r>
          </w:p>
        </w:tc>
        <w:tc>
          <w:tcPr>
            <w:tcW w:w="329" w:type="pct"/>
            <w:tcBorders>
              <w:top w:val="single" w:sz="4" w:space="0" w:color="auto"/>
              <w:left w:val="nil"/>
              <w:bottom w:val="single" w:sz="4" w:space="0" w:color="auto"/>
              <w:right w:val="single" w:sz="4" w:space="0" w:color="auto"/>
            </w:tcBorders>
            <w:shd w:val="clear" w:color="auto" w:fill="0070C0"/>
            <w:vAlign w:val="center"/>
          </w:tcPr>
          <w:p w:rsidR="004406B7" w:rsidRPr="0033375D" w:rsidRDefault="004406B7" w:rsidP="00D425E8">
            <w:pPr>
              <w:jc w:val="center"/>
              <w:rPr>
                <w:rFonts w:ascii="Arial" w:hAnsi="Arial" w:cs="Arial"/>
                <w:sz w:val="16"/>
                <w:szCs w:val="16"/>
                <w:lang w:val="es-CR" w:eastAsia="es-CR"/>
              </w:rPr>
            </w:pPr>
            <w:r w:rsidRPr="0033375D">
              <w:rPr>
                <w:rFonts w:ascii="Arial" w:hAnsi="Arial" w:cs="Arial"/>
                <w:b/>
                <w:bCs/>
                <w:sz w:val="18"/>
                <w:szCs w:val="18"/>
                <w:lang w:val="es-CR" w:eastAsia="es-CR"/>
              </w:rPr>
              <w:t>Cód. plaza Actual</w:t>
            </w:r>
          </w:p>
        </w:tc>
        <w:tc>
          <w:tcPr>
            <w:tcW w:w="658" w:type="pct"/>
            <w:tcBorders>
              <w:top w:val="single" w:sz="4" w:space="0" w:color="auto"/>
              <w:left w:val="nil"/>
              <w:bottom w:val="single" w:sz="4" w:space="0" w:color="auto"/>
              <w:right w:val="single" w:sz="4" w:space="0" w:color="auto"/>
            </w:tcBorders>
            <w:shd w:val="clear" w:color="auto" w:fill="0070C0"/>
            <w:vAlign w:val="center"/>
          </w:tcPr>
          <w:p w:rsidR="004406B7" w:rsidRDefault="004406B7" w:rsidP="00D425E8">
            <w:pPr>
              <w:jc w:val="center"/>
              <w:rPr>
                <w:rFonts w:ascii="Arial" w:hAnsi="Arial" w:cs="Arial"/>
                <w:b/>
                <w:bCs/>
                <w:sz w:val="18"/>
                <w:szCs w:val="18"/>
                <w:lang w:val="es-CR" w:eastAsia="es-CR"/>
              </w:rPr>
            </w:pPr>
            <w:r w:rsidRPr="0033375D">
              <w:rPr>
                <w:rFonts w:ascii="Arial" w:hAnsi="Arial" w:cs="Arial"/>
                <w:b/>
                <w:bCs/>
                <w:sz w:val="18"/>
                <w:szCs w:val="18"/>
                <w:lang w:val="es-CR" w:eastAsia="es-CR"/>
              </w:rPr>
              <w:t>Puesto</w:t>
            </w:r>
          </w:p>
          <w:p w:rsidR="004406B7" w:rsidRPr="0033375D" w:rsidRDefault="004406B7" w:rsidP="00D425E8">
            <w:pPr>
              <w:jc w:val="center"/>
              <w:rPr>
                <w:rFonts w:ascii="Arial" w:hAnsi="Arial" w:cs="Arial"/>
                <w:sz w:val="16"/>
                <w:szCs w:val="16"/>
                <w:lang w:val="es-CR" w:eastAsia="es-CR"/>
              </w:rPr>
            </w:pPr>
          </w:p>
        </w:tc>
        <w:tc>
          <w:tcPr>
            <w:tcW w:w="197" w:type="pct"/>
            <w:tcBorders>
              <w:top w:val="single" w:sz="4" w:space="0" w:color="auto"/>
              <w:left w:val="nil"/>
              <w:bottom w:val="single" w:sz="4" w:space="0" w:color="auto"/>
              <w:right w:val="single" w:sz="4" w:space="0" w:color="auto"/>
            </w:tcBorders>
            <w:shd w:val="clear" w:color="auto" w:fill="0070C0"/>
            <w:textDirection w:val="btLr"/>
            <w:vAlign w:val="center"/>
          </w:tcPr>
          <w:p w:rsidR="004406B7" w:rsidRPr="0033375D" w:rsidRDefault="004406B7" w:rsidP="00D425E8">
            <w:pPr>
              <w:ind w:left="113" w:right="113"/>
              <w:jc w:val="center"/>
              <w:rPr>
                <w:rFonts w:ascii="Arial" w:hAnsi="Arial" w:cs="Arial"/>
                <w:sz w:val="16"/>
                <w:szCs w:val="16"/>
                <w:lang w:val="es-CR" w:eastAsia="es-CR"/>
              </w:rPr>
            </w:pPr>
            <w:r w:rsidRPr="0033375D">
              <w:rPr>
                <w:rFonts w:ascii="Arial" w:hAnsi="Arial" w:cs="Arial"/>
                <w:b/>
                <w:bCs/>
                <w:sz w:val="18"/>
                <w:szCs w:val="18"/>
                <w:lang w:val="es-CR" w:eastAsia="es-CR"/>
              </w:rPr>
              <w:t>Categoría</w:t>
            </w:r>
          </w:p>
        </w:tc>
        <w:tc>
          <w:tcPr>
            <w:tcW w:w="263" w:type="pct"/>
            <w:tcBorders>
              <w:top w:val="single" w:sz="4" w:space="0" w:color="auto"/>
              <w:left w:val="nil"/>
              <w:bottom w:val="single" w:sz="4" w:space="0" w:color="auto"/>
              <w:right w:val="single" w:sz="4" w:space="0" w:color="auto"/>
            </w:tcBorders>
            <w:shd w:val="clear" w:color="auto" w:fill="0070C0"/>
            <w:textDirection w:val="btLr"/>
            <w:vAlign w:val="center"/>
          </w:tcPr>
          <w:p w:rsidR="004406B7" w:rsidRPr="0033375D" w:rsidRDefault="004406B7" w:rsidP="00D425E8">
            <w:pPr>
              <w:ind w:left="113" w:right="113"/>
              <w:jc w:val="center"/>
              <w:rPr>
                <w:rFonts w:ascii="Arial" w:hAnsi="Arial" w:cs="Arial"/>
                <w:sz w:val="16"/>
                <w:szCs w:val="16"/>
                <w:lang w:val="es-CR" w:eastAsia="es-CR"/>
              </w:rPr>
            </w:pPr>
            <w:r w:rsidRPr="0033375D">
              <w:rPr>
                <w:rFonts w:ascii="Arial" w:hAnsi="Arial" w:cs="Arial"/>
                <w:b/>
                <w:bCs/>
                <w:sz w:val="18"/>
                <w:szCs w:val="18"/>
                <w:lang w:val="es-CR" w:eastAsia="es-CR"/>
              </w:rPr>
              <w:t>Jornada</w:t>
            </w:r>
          </w:p>
        </w:tc>
        <w:tc>
          <w:tcPr>
            <w:tcW w:w="266" w:type="pct"/>
            <w:tcBorders>
              <w:top w:val="single" w:sz="4" w:space="0" w:color="auto"/>
              <w:left w:val="nil"/>
              <w:bottom w:val="single" w:sz="4" w:space="0" w:color="auto"/>
              <w:right w:val="single" w:sz="4" w:space="0" w:color="auto"/>
            </w:tcBorders>
            <w:shd w:val="clear" w:color="auto" w:fill="0070C0"/>
            <w:textDirection w:val="btLr"/>
            <w:vAlign w:val="center"/>
          </w:tcPr>
          <w:p w:rsidR="004406B7" w:rsidRPr="0033375D" w:rsidRDefault="004406B7" w:rsidP="00D425E8">
            <w:pPr>
              <w:jc w:val="center"/>
              <w:rPr>
                <w:rFonts w:ascii="Arial" w:hAnsi="Arial" w:cs="Arial"/>
                <w:b/>
                <w:bCs/>
                <w:sz w:val="18"/>
                <w:szCs w:val="18"/>
                <w:lang w:val="es-CR" w:eastAsia="es-CR"/>
              </w:rPr>
            </w:pPr>
            <w:r w:rsidRPr="0033375D">
              <w:rPr>
                <w:rFonts w:ascii="Arial" w:hAnsi="Arial" w:cs="Arial"/>
                <w:b/>
                <w:bCs/>
                <w:sz w:val="18"/>
                <w:szCs w:val="18"/>
                <w:lang w:val="es-CR" w:eastAsia="es-CR"/>
              </w:rPr>
              <w:t>Periodo (meses)</w:t>
            </w:r>
          </w:p>
        </w:tc>
        <w:tc>
          <w:tcPr>
            <w:tcW w:w="263" w:type="pct"/>
            <w:tcBorders>
              <w:top w:val="single" w:sz="4" w:space="0" w:color="auto"/>
              <w:left w:val="nil"/>
              <w:bottom w:val="single" w:sz="4" w:space="0" w:color="auto"/>
              <w:right w:val="single" w:sz="4" w:space="0" w:color="auto"/>
            </w:tcBorders>
            <w:shd w:val="clear" w:color="auto" w:fill="0070C0"/>
            <w:vAlign w:val="center"/>
          </w:tcPr>
          <w:p w:rsidR="004406B7" w:rsidRPr="0033375D" w:rsidRDefault="004406B7" w:rsidP="00D425E8">
            <w:pPr>
              <w:jc w:val="center"/>
              <w:rPr>
                <w:rFonts w:ascii="Arial" w:hAnsi="Arial" w:cs="Arial"/>
                <w:b/>
                <w:bCs/>
                <w:sz w:val="18"/>
                <w:szCs w:val="18"/>
                <w:lang w:val="es-CR" w:eastAsia="es-CR"/>
              </w:rPr>
            </w:pPr>
            <w:r w:rsidRPr="0033375D">
              <w:rPr>
                <w:rFonts w:ascii="Arial" w:hAnsi="Arial" w:cs="Arial"/>
                <w:b/>
                <w:bCs/>
                <w:sz w:val="18"/>
                <w:szCs w:val="18"/>
                <w:lang w:val="es-CR" w:eastAsia="es-CR"/>
              </w:rPr>
              <w:t>TCE</w:t>
            </w:r>
          </w:p>
        </w:tc>
        <w:tc>
          <w:tcPr>
            <w:tcW w:w="394" w:type="pct"/>
            <w:tcBorders>
              <w:top w:val="single" w:sz="4" w:space="0" w:color="auto"/>
              <w:left w:val="nil"/>
              <w:bottom w:val="single" w:sz="4" w:space="0" w:color="auto"/>
              <w:right w:val="single" w:sz="4" w:space="0" w:color="auto"/>
            </w:tcBorders>
            <w:shd w:val="clear" w:color="auto" w:fill="0070C0"/>
            <w:textDirection w:val="btLr"/>
            <w:vAlign w:val="center"/>
          </w:tcPr>
          <w:p w:rsidR="004406B7" w:rsidRPr="0033375D" w:rsidRDefault="004406B7" w:rsidP="00D425E8">
            <w:pPr>
              <w:ind w:left="113" w:right="113"/>
              <w:jc w:val="center"/>
              <w:rPr>
                <w:rFonts w:ascii="Arial" w:hAnsi="Arial" w:cs="Arial"/>
                <w:b/>
                <w:bCs/>
                <w:sz w:val="16"/>
                <w:szCs w:val="16"/>
                <w:lang w:val="es-CR" w:eastAsia="es-CR"/>
              </w:rPr>
            </w:pPr>
            <w:proofErr w:type="spellStart"/>
            <w:r w:rsidRPr="0033375D">
              <w:rPr>
                <w:rFonts w:ascii="Arial" w:hAnsi="Arial" w:cs="Arial"/>
                <w:b/>
                <w:bCs/>
                <w:sz w:val="16"/>
                <w:szCs w:val="16"/>
                <w:lang w:val="es-CR" w:eastAsia="es-CR"/>
              </w:rPr>
              <w:t>Nom-bramiento</w:t>
            </w:r>
            <w:proofErr w:type="spellEnd"/>
          </w:p>
        </w:tc>
        <w:tc>
          <w:tcPr>
            <w:tcW w:w="524" w:type="pct"/>
            <w:tcBorders>
              <w:top w:val="single" w:sz="4" w:space="0" w:color="auto"/>
              <w:left w:val="nil"/>
              <w:bottom w:val="single" w:sz="4" w:space="0" w:color="auto"/>
              <w:right w:val="single" w:sz="4" w:space="0" w:color="auto"/>
            </w:tcBorders>
            <w:shd w:val="clear" w:color="auto" w:fill="0070C0"/>
            <w:vAlign w:val="center"/>
          </w:tcPr>
          <w:p w:rsidR="004406B7" w:rsidRPr="0033375D" w:rsidRDefault="004406B7" w:rsidP="00D425E8">
            <w:pPr>
              <w:jc w:val="center"/>
              <w:rPr>
                <w:rFonts w:ascii="Arial" w:hAnsi="Arial" w:cs="Arial"/>
                <w:b/>
                <w:bCs/>
                <w:sz w:val="18"/>
                <w:szCs w:val="18"/>
                <w:lang w:val="es-CR" w:eastAsia="es-CR"/>
              </w:rPr>
            </w:pPr>
            <w:r w:rsidRPr="0033375D">
              <w:rPr>
                <w:rFonts w:ascii="Arial" w:hAnsi="Arial" w:cs="Arial"/>
                <w:b/>
                <w:bCs/>
                <w:sz w:val="18"/>
                <w:szCs w:val="18"/>
                <w:lang w:val="es-CR" w:eastAsia="es-CR"/>
              </w:rPr>
              <w:t>Adscrita a:</w:t>
            </w:r>
          </w:p>
        </w:tc>
        <w:tc>
          <w:tcPr>
            <w:tcW w:w="923" w:type="pct"/>
            <w:tcBorders>
              <w:top w:val="single" w:sz="4" w:space="0" w:color="auto"/>
              <w:left w:val="nil"/>
              <w:bottom w:val="single" w:sz="4" w:space="0" w:color="auto"/>
              <w:right w:val="single" w:sz="4" w:space="0" w:color="auto"/>
            </w:tcBorders>
            <w:shd w:val="clear" w:color="auto" w:fill="0070C0"/>
            <w:vAlign w:val="center"/>
          </w:tcPr>
          <w:p w:rsidR="004406B7" w:rsidRPr="0033375D" w:rsidRDefault="004406B7" w:rsidP="00D425E8">
            <w:pPr>
              <w:ind w:right="81"/>
              <w:jc w:val="center"/>
              <w:rPr>
                <w:rFonts w:ascii="Arial" w:hAnsi="Arial" w:cs="Arial"/>
                <w:b/>
                <w:bCs/>
                <w:sz w:val="18"/>
                <w:szCs w:val="18"/>
                <w:lang w:val="es-CR" w:eastAsia="es-CR"/>
              </w:rPr>
            </w:pPr>
            <w:r w:rsidRPr="0033375D">
              <w:rPr>
                <w:rFonts w:ascii="Arial" w:hAnsi="Arial" w:cs="Arial"/>
                <w:b/>
                <w:bCs/>
                <w:sz w:val="18"/>
                <w:szCs w:val="18"/>
                <w:lang w:val="es-CR" w:eastAsia="es-CR"/>
              </w:rPr>
              <w:t>Observaciones</w:t>
            </w:r>
          </w:p>
        </w:tc>
        <w:tc>
          <w:tcPr>
            <w:tcW w:w="459"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b/>
                <w:bCs/>
                <w:sz w:val="16"/>
                <w:szCs w:val="16"/>
                <w:lang w:val="es-CR" w:eastAsia="es-CR"/>
              </w:rPr>
              <w:t>Tipo de solicitud</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CT0189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CT0190</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CT0191</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CT0192</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lastRenderedPageBreak/>
              <w:t>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CT0193</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CT0418</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CT0419</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CT0420</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 CT0421</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 CT0422</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CT0423</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r w:rsidR="004406B7" w:rsidRPr="0033375D" w:rsidTr="00D425E8">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CT0424</w:t>
            </w:r>
          </w:p>
        </w:tc>
        <w:tc>
          <w:tcPr>
            <w:tcW w:w="658" w:type="pct"/>
            <w:tcBorders>
              <w:top w:val="single" w:sz="4" w:space="0" w:color="auto"/>
              <w:left w:val="nil"/>
              <w:bottom w:val="single" w:sz="4" w:space="0" w:color="auto"/>
              <w:right w:val="single" w:sz="4" w:space="0" w:color="auto"/>
            </w:tcBorders>
            <w:shd w:val="clear" w:color="auto" w:fill="auto"/>
            <w:hideMark/>
          </w:tcPr>
          <w:p w:rsidR="004406B7" w:rsidRPr="0033375D" w:rsidRDefault="004406B7" w:rsidP="00D425E8">
            <w:pPr>
              <w:rPr>
                <w:rFonts w:ascii="Calibri" w:hAnsi="Calibri" w:cs="Calibri"/>
                <w:sz w:val="16"/>
                <w:szCs w:val="16"/>
                <w:lang w:val="es-CR" w:eastAsia="es-CR"/>
              </w:rPr>
            </w:pPr>
          </w:p>
          <w:p w:rsidR="004406B7" w:rsidRPr="0033375D" w:rsidRDefault="004406B7" w:rsidP="00D425E8">
            <w:pPr>
              <w:rPr>
                <w:sz w:val="20"/>
                <w:szCs w:val="20"/>
                <w:lang w:val="es-CR"/>
              </w:rPr>
            </w:pPr>
            <w:r w:rsidRPr="0033375D">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rPr>
                <w:rFonts w:ascii="Calibri" w:hAnsi="Calibri" w:cs="Calibri"/>
                <w:sz w:val="16"/>
                <w:szCs w:val="16"/>
                <w:lang w:val="es-CR" w:eastAsia="es-CR"/>
              </w:rPr>
            </w:pPr>
            <w:r w:rsidRPr="0033375D">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06B7" w:rsidRPr="0033375D" w:rsidRDefault="004406B7" w:rsidP="00D425E8">
            <w:pPr>
              <w:ind w:right="81"/>
              <w:rPr>
                <w:rFonts w:ascii="Calibri" w:hAnsi="Calibri" w:cs="Calibri"/>
                <w:color w:val="FF0000"/>
                <w:sz w:val="16"/>
                <w:szCs w:val="16"/>
                <w:lang w:val="es-CR" w:eastAsia="es-CR"/>
              </w:rPr>
            </w:pPr>
            <w:r w:rsidRPr="0033375D">
              <w:rPr>
                <w:rFonts w:ascii="Calibri" w:hAnsi="Calibri" w:cs="Calibri"/>
                <w:sz w:val="16"/>
                <w:szCs w:val="16"/>
                <w:lang w:val="es-CR" w:eastAsia="es-CR"/>
              </w:rPr>
              <w:t>Recursos Externos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6B7" w:rsidRPr="0033375D" w:rsidRDefault="004406B7" w:rsidP="00D425E8">
            <w:pPr>
              <w:jc w:val="center"/>
              <w:rPr>
                <w:rFonts w:ascii="Calibri" w:hAnsi="Calibri" w:cs="Calibri"/>
                <w:sz w:val="16"/>
                <w:szCs w:val="16"/>
                <w:lang w:val="es-CR" w:eastAsia="es-CR"/>
              </w:rPr>
            </w:pPr>
            <w:r w:rsidRPr="0033375D">
              <w:rPr>
                <w:rFonts w:ascii="Calibri" w:hAnsi="Calibri" w:cs="Calibri"/>
                <w:sz w:val="16"/>
                <w:szCs w:val="16"/>
                <w:lang w:val="es-CR" w:eastAsia="es-CR"/>
              </w:rPr>
              <w:t>Renovación</w:t>
            </w:r>
          </w:p>
        </w:tc>
      </w:tr>
    </w:tbl>
    <w:p w:rsidR="004406B7" w:rsidRPr="0033375D" w:rsidRDefault="004406B7" w:rsidP="004406B7">
      <w:pPr>
        <w:rPr>
          <w:sz w:val="20"/>
          <w:szCs w:val="20"/>
          <w:lang w:val="es-CR"/>
        </w:rPr>
      </w:pPr>
    </w:p>
    <w:p w:rsidR="004406B7" w:rsidRPr="0033375D" w:rsidRDefault="004406B7" w:rsidP="004406B7">
      <w:pPr>
        <w:rPr>
          <w:sz w:val="20"/>
          <w:szCs w:val="20"/>
          <w:lang w:val="es-CR"/>
        </w:rPr>
      </w:pPr>
    </w:p>
    <w:p w:rsidR="004406B7" w:rsidRPr="0033375D" w:rsidRDefault="004406B7" w:rsidP="004406B7">
      <w:pPr>
        <w:rPr>
          <w:sz w:val="20"/>
          <w:szCs w:val="20"/>
          <w:lang w:val="es-CR"/>
        </w:rPr>
      </w:pPr>
    </w:p>
    <w:p w:rsidR="004406B7" w:rsidRPr="00AA45F7" w:rsidRDefault="004406B7" w:rsidP="00AA45F7">
      <w:pPr>
        <w:numPr>
          <w:ilvl w:val="0"/>
          <w:numId w:val="18"/>
        </w:numPr>
        <w:autoSpaceDE w:val="0"/>
        <w:autoSpaceDN w:val="0"/>
        <w:adjustRightInd w:val="0"/>
        <w:jc w:val="both"/>
        <w:rPr>
          <w:rFonts w:ascii="Arial" w:hAnsi="Arial" w:cs="Arial"/>
          <w:lang w:val="es-CR" w:eastAsia="es-CR"/>
        </w:rPr>
      </w:pPr>
      <w:r w:rsidRPr="0033375D">
        <w:rPr>
          <w:rFonts w:ascii="Arial" w:hAnsi="Arial" w:cs="Arial"/>
          <w:lang w:val="es-CR" w:eastAsia="es-CR"/>
        </w:rPr>
        <w:t>Recordar a la Administración que la modificación de cualquiera de las condiciones con las que se aprueban las plazas en este acuerdo, sólo puede hacerse por parte</w:t>
      </w:r>
      <w:r>
        <w:rPr>
          <w:rFonts w:ascii="Arial" w:hAnsi="Arial" w:cs="Arial"/>
          <w:lang w:val="es-CR" w:eastAsia="es-CR"/>
        </w:rPr>
        <w:t xml:space="preserve"> del Consejo Institucional</w:t>
      </w:r>
    </w:p>
    <w:p w:rsidR="004406B7" w:rsidRPr="0035430B" w:rsidRDefault="004406B7" w:rsidP="004406B7">
      <w:pPr>
        <w:numPr>
          <w:ilvl w:val="0"/>
          <w:numId w:val="18"/>
        </w:numPr>
        <w:autoSpaceDE w:val="0"/>
        <w:autoSpaceDN w:val="0"/>
        <w:adjustRightInd w:val="0"/>
        <w:jc w:val="both"/>
        <w:rPr>
          <w:rFonts w:ascii="Arial" w:hAnsi="Arial" w:cs="Arial"/>
          <w:lang w:eastAsia="en-US"/>
        </w:rPr>
      </w:pPr>
      <w:r w:rsidRPr="00D31240">
        <w:rPr>
          <w:rFonts w:ascii="Arial" w:eastAsia="Calibri" w:hAnsi="Arial" w:cs="Arial"/>
          <w:color w:val="000000"/>
          <w:lang w:val="es-CR" w:eastAsia="en-US"/>
        </w:rPr>
        <w:t>Indicar</w:t>
      </w:r>
      <w:r w:rsidRPr="0035430B">
        <w:rPr>
          <w:rFonts w:ascii="Arial" w:hAnsi="Arial" w:cs="Arial"/>
          <w:lang w:val="es-CR"/>
        </w:rPr>
        <w:t xml:space="preserve"> </w:t>
      </w:r>
      <w:r w:rsidRPr="0035430B">
        <w:rPr>
          <w:rFonts w:ascii="Arial" w:hAnsi="Arial" w:cs="Arial"/>
          <w:lang w:val="es-CR" w:eastAsia="es-CR"/>
        </w:rPr>
        <w:t>que</w:t>
      </w:r>
      <w:r w:rsidRPr="0035430B">
        <w:rPr>
          <w:rFonts w:ascii="Arial" w:hAnsi="Arial" w:cs="Arial"/>
          <w:lang w:val="es-CR"/>
        </w:rPr>
        <w:t xml:space="preserve"> c</w:t>
      </w:r>
      <w:proofErr w:type="spellStart"/>
      <w:r w:rsidRPr="0035430B">
        <w:rPr>
          <w:rFonts w:ascii="Arial" w:hAnsi="Arial" w:cs="Arial"/>
        </w:rPr>
        <w:t>ontra</w:t>
      </w:r>
      <w:proofErr w:type="spellEnd"/>
      <w:r w:rsidRPr="0035430B">
        <w:rPr>
          <w:rFonts w:ascii="Arial" w:hAnsi="Arial" w:cs="Arial"/>
        </w:rPr>
        <w:t xml:space="preserve"> este acuerdo podrá interponerse re</w:t>
      </w:r>
      <w:r>
        <w:rPr>
          <w:rFonts w:ascii="Arial" w:hAnsi="Arial" w:cs="Arial"/>
        </w:rPr>
        <w:t>curso de revocatoria ante este C</w:t>
      </w:r>
      <w:r w:rsidRPr="0035430B">
        <w:rPr>
          <w:rFonts w:ascii="Arial" w:hAnsi="Arial" w:cs="Arial"/>
        </w:rPr>
        <w:t xml:space="preserve">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AA45F7" w:rsidRDefault="00AA45F7" w:rsidP="00AA45F7">
      <w:pPr>
        <w:pStyle w:val="Prrafodelista"/>
        <w:numPr>
          <w:ilvl w:val="0"/>
          <w:numId w:val="6"/>
        </w:numPr>
        <w:contextualSpacing/>
        <w:jc w:val="both"/>
        <w:rPr>
          <w:rFonts w:ascii="Arial" w:hAnsi="Arial" w:cs="Arial"/>
        </w:rPr>
      </w:pPr>
      <w:r w:rsidRPr="00AA45F7">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AA45F7" w:rsidRPr="00ED72F3" w:rsidRDefault="00AA45F7" w:rsidP="00AA45F7">
      <w:pPr>
        <w:contextualSpacing/>
        <w:jc w:val="both"/>
        <w:rPr>
          <w:rFonts w:ascii="Arial" w:hAnsi="Arial" w:cs="Arial"/>
        </w:rPr>
      </w:pPr>
    </w:p>
    <w:p w:rsidR="00CF46CC" w:rsidRPr="00AA45F7" w:rsidRDefault="00AA45F7" w:rsidP="00AA45F7">
      <w:pPr>
        <w:autoSpaceDE w:val="0"/>
        <w:autoSpaceDN w:val="0"/>
        <w:adjustRightInd w:val="0"/>
        <w:jc w:val="both"/>
        <w:rPr>
          <w:rFonts w:ascii="Arial" w:hAnsi="Arial" w:cs="Arial"/>
          <w:sz w:val="22"/>
          <w:szCs w:val="22"/>
          <w:lang w:val="es-CR"/>
        </w:rPr>
      </w:pPr>
      <w:r w:rsidRPr="0033375D">
        <w:rPr>
          <w:rFonts w:ascii="Arial" w:hAnsi="Arial" w:cs="Arial"/>
          <w:b/>
          <w:sz w:val="22"/>
          <w:szCs w:val="22"/>
          <w:lang w:val="es-CR"/>
        </w:rPr>
        <w:t>PALABRAS CLAVE:  - Renovación – Reconversión – Plazas - 2019 - Mixtos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B77B04" w:rsidRPr="00AA45F7" w:rsidRDefault="00EB0F82" w:rsidP="00F41044">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AA45F7" w:rsidRDefault="00AA45F7"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Pr="00ED72F3" w:rsidRDefault="00ED72F3" w:rsidP="00AA45F7">
      <w:pPr>
        <w:rPr>
          <w:rFonts w:ascii="Arial" w:hAnsi="Arial" w:cs="Arial"/>
          <w:b/>
          <w:lang w:val="es-CR"/>
        </w:rPr>
      </w:pPr>
    </w:p>
    <w:p w:rsidR="00ED72F3" w:rsidRPr="00ED72F3" w:rsidRDefault="00ED72F3" w:rsidP="00ED72F3">
      <w:pPr>
        <w:ind w:left="-142"/>
        <w:jc w:val="both"/>
        <w:rPr>
          <w:rFonts w:ascii="Arial" w:hAnsi="Arial" w:cs="Arial"/>
          <w:lang w:val="es-CR"/>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1B" w:rsidRDefault="00CC351B">
      <w:r>
        <w:separator/>
      </w:r>
    </w:p>
  </w:endnote>
  <w:endnote w:type="continuationSeparator" w:id="0">
    <w:p w:rsidR="00CC351B" w:rsidRDefault="00CC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1B" w:rsidRDefault="00CC351B">
      <w:r>
        <w:separator/>
      </w:r>
    </w:p>
  </w:footnote>
  <w:footnote w:type="continuationSeparator" w:id="0">
    <w:p w:rsidR="00CC351B" w:rsidRDefault="00CC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7528B7">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7528B7">
      <w:rPr>
        <w:rFonts w:ascii="Arial" w:eastAsia="Cambria" w:hAnsi="Arial" w:cs="Arial"/>
        <w:i/>
        <w:sz w:val="18"/>
        <w:szCs w:val="18"/>
        <w:lang w:val="es-ES_tradnl" w:eastAsia="x-none"/>
      </w:rPr>
      <w:t>1</w:t>
    </w:r>
    <w:r w:rsidR="00AA45F7">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528B7">
      <w:rPr>
        <w:rFonts w:ascii="Arial" w:eastAsia="Cambria" w:hAnsi="Arial" w:cs="Arial"/>
        <w:i/>
        <w:sz w:val="18"/>
        <w:szCs w:val="18"/>
        <w:lang w:val="es-ES_tradnl" w:eastAsia="x-none"/>
      </w:rPr>
      <w:t>30</w:t>
    </w:r>
    <w:r w:rsidR="005A7222">
      <w:rPr>
        <w:rFonts w:ascii="Arial" w:eastAsia="Cambria" w:hAnsi="Arial" w:cs="Arial"/>
        <w:i/>
        <w:sz w:val="18"/>
        <w:szCs w:val="18"/>
        <w:lang w:val="es-ES_tradnl" w:eastAsia="x-none"/>
      </w:rPr>
      <w:t xml:space="preserve"> de abril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A45F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8"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517420BE"/>
    <w:multiLevelType w:val="hybridMultilevel"/>
    <w:tmpl w:val="B718A4E6"/>
    <w:lvl w:ilvl="0" w:tplc="71928A50">
      <w:start w:val="2"/>
      <w:numFmt w:val="lowerLetter"/>
      <w:lvlText w:val="%1."/>
      <w:lvlJc w:val="left"/>
      <w:pPr>
        <w:tabs>
          <w:tab w:val="num" w:pos="1495"/>
        </w:tabs>
        <w:ind w:left="1495" w:hanging="360"/>
      </w:pPr>
      <w:rPr>
        <w:rFonts w:cs="TTE1865388t00" w:hint="default"/>
        <w:b/>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0"/>
  </w:num>
  <w:num w:numId="3">
    <w:abstractNumId w:val="6"/>
  </w:num>
  <w:num w:numId="4">
    <w:abstractNumId w:val="9"/>
  </w:num>
  <w:num w:numId="5">
    <w:abstractNumId w:val="16"/>
  </w:num>
  <w:num w:numId="6">
    <w:abstractNumId w:val="5"/>
  </w:num>
  <w:num w:numId="7">
    <w:abstractNumId w:val="4"/>
  </w:num>
  <w:num w:numId="8">
    <w:abstractNumId w:val="11"/>
  </w:num>
  <w:num w:numId="9">
    <w:abstractNumId w:val="12"/>
  </w:num>
  <w:num w:numId="10">
    <w:abstractNumId w:val="8"/>
  </w:num>
  <w:num w:numId="11">
    <w:abstractNumId w:val="7"/>
  </w:num>
  <w:num w:numId="12">
    <w:abstractNumId w:val="15"/>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8"/>
  </w:num>
  <w:num w:numId="18">
    <w:abstractNumId w:val="14"/>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68F"/>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6B7"/>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28B7"/>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5F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51B"/>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2D3C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F4EB-AA23-4610-A667-DCA9C855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126</cp:revision>
  <cp:lastPrinted>2019-03-27T19:57:00Z</cp:lastPrinted>
  <dcterms:created xsi:type="dcterms:W3CDTF">2018-05-02T21:37:00Z</dcterms:created>
  <dcterms:modified xsi:type="dcterms:W3CDTF">2019-04-30T16:25:00Z</dcterms:modified>
</cp:coreProperties>
</file>