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7703DD">
        <w:rPr>
          <w:rFonts w:ascii="Arial" w:hAnsi="Arial" w:cs="Arial"/>
          <w:b/>
          <w:bCs/>
          <w:iCs/>
          <w:sz w:val="26"/>
          <w:szCs w:val="22"/>
          <w:lang w:val="es-CR"/>
        </w:rPr>
        <w:t>3</w:t>
      </w:r>
      <w:r w:rsidR="00357BA8">
        <w:rPr>
          <w:rFonts w:ascii="Arial" w:hAnsi="Arial" w:cs="Arial"/>
          <w:b/>
          <w:bCs/>
          <w:iCs/>
          <w:sz w:val="26"/>
          <w:szCs w:val="22"/>
          <w:lang w:val="es-CR"/>
        </w:rPr>
        <w:t>98</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ED72F3" w:rsidRDefault="00CC7CB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
          <w:p w:rsidR="00357BA8" w:rsidRPr="00357BA8" w:rsidRDefault="00357BA8" w:rsidP="00357BA8">
            <w:pPr>
              <w:autoSpaceDE w:val="0"/>
              <w:autoSpaceDN w:val="0"/>
              <w:adjustRightInd w:val="0"/>
              <w:ind w:right="-91"/>
              <w:jc w:val="both"/>
              <w:rPr>
                <w:rFonts w:ascii="Arial" w:eastAsia="Cambria" w:hAnsi="Arial" w:cs="Arial"/>
                <w:lang w:eastAsia="en-US"/>
              </w:rPr>
            </w:pPr>
            <w:r w:rsidRPr="00357BA8">
              <w:rPr>
                <w:rFonts w:ascii="Arial" w:eastAsia="Cambria" w:hAnsi="Arial" w:cs="Arial"/>
                <w:lang w:eastAsia="en-US"/>
              </w:rPr>
              <w:t xml:space="preserve">Señores </w:t>
            </w:r>
            <w:r w:rsidRPr="00357BA8">
              <w:rPr>
                <w:rFonts w:ascii="Arial" w:eastAsia="Cambria" w:hAnsi="Arial" w:cs="Arial"/>
                <w:lang w:eastAsia="en-US"/>
              </w:rPr>
              <w:t xml:space="preserve">Comisión Especial de Ambiente  </w:t>
            </w:r>
          </w:p>
          <w:p w:rsidR="00357BA8" w:rsidRPr="00357BA8" w:rsidRDefault="00357BA8" w:rsidP="00357BA8">
            <w:pPr>
              <w:ind w:left="45"/>
              <w:jc w:val="both"/>
              <w:rPr>
                <w:rFonts w:ascii="Arial" w:eastAsia="Cambria" w:hAnsi="Arial" w:cs="Arial"/>
                <w:sz w:val="22"/>
                <w:szCs w:val="22"/>
                <w:lang w:eastAsia="en-US"/>
              </w:rPr>
            </w:pPr>
            <w:r w:rsidRPr="00357BA8">
              <w:rPr>
                <w:rFonts w:ascii="Arial" w:eastAsia="Cambria" w:hAnsi="Arial" w:cs="Arial"/>
                <w:sz w:val="22"/>
                <w:szCs w:val="22"/>
                <w:lang w:eastAsia="en-US"/>
              </w:rPr>
              <w:t xml:space="preserve">Señores </w:t>
            </w:r>
            <w:r w:rsidRPr="00357BA8">
              <w:rPr>
                <w:rFonts w:ascii="Arial" w:eastAsia="Cambria" w:hAnsi="Arial" w:cs="Arial"/>
                <w:sz w:val="22"/>
                <w:szCs w:val="22"/>
                <w:lang w:eastAsia="en-US"/>
              </w:rPr>
              <w:t>Comisión Permanente de Asuntos Jurídicos</w:t>
            </w:r>
          </w:p>
          <w:p w:rsidR="00357BA8" w:rsidRDefault="00357BA8" w:rsidP="00357BA8">
            <w:pPr>
              <w:ind w:left="45"/>
              <w:jc w:val="both"/>
              <w:rPr>
                <w:rFonts w:ascii="Arial" w:eastAsia="Cambria" w:hAnsi="Arial" w:cs="Arial"/>
                <w:sz w:val="22"/>
                <w:szCs w:val="22"/>
                <w:u w:val="single"/>
                <w:lang w:eastAsia="en-US"/>
              </w:rPr>
            </w:pPr>
          </w:p>
          <w:p w:rsidR="006B1B55" w:rsidRPr="00F548D2" w:rsidRDefault="00357BA8" w:rsidP="00357BA8">
            <w:pPr>
              <w:ind w:left="45"/>
              <w:jc w:val="both"/>
              <w:rPr>
                <w:rFonts w:ascii="Arial" w:eastAsia="Cambria" w:hAnsi="Arial" w:cs="Arial"/>
                <w:sz w:val="22"/>
                <w:szCs w:val="22"/>
                <w:lang w:val="es-ES_tradnl" w:eastAsia="en-US"/>
              </w:rPr>
            </w:pPr>
            <w:r w:rsidRPr="00357BA8">
              <w:rPr>
                <w:rFonts w:ascii="Arial" w:eastAsia="Cambria" w:hAnsi="Arial" w:cs="Arial"/>
                <w:sz w:val="22"/>
                <w:szCs w:val="22"/>
                <w:u w:val="single"/>
                <w:lang w:eastAsia="en-US"/>
              </w:rPr>
              <w:t xml:space="preserve">  </w:t>
            </w: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9C0A2A"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1D300B">
              <w:rPr>
                <w:rFonts w:ascii="Arial" w:eastAsia="Cambria" w:hAnsi="Arial" w:cs="Arial"/>
                <w:b/>
                <w:sz w:val="22"/>
                <w:szCs w:val="22"/>
                <w:lang w:val="es-ES_tradnl" w:eastAsia="en-US"/>
              </w:rPr>
              <w:t>9</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571C76">
              <w:rPr>
                <w:rFonts w:ascii="Arial" w:eastAsia="Cambria" w:hAnsi="Arial" w:cs="Arial"/>
                <w:b/>
                <w:sz w:val="22"/>
                <w:szCs w:val="22"/>
                <w:lang w:val="es-ES_tradnl" w:eastAsia="en-US"/>
              </w:rPr>
              <w:t>mayo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1D300B">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E3F3C">
              <w:rPr>
                <w:rFonts w:ascii="Arial" w:eastAsia="Calibri" w:hAnsi="Arial" w:cs="Arial"/>
                <w:b/>
                <w:sz w:val="22"/>
                <w:szCs w:val="22"/>
              </w:rPr>
              <w:t>1</w:t>
            </w:r>
            <w:r w:rsidR="001D300B">
              <w:rPr>
                <w:rFonts w:ascii="Arial" w:eastAsia="Calibri" w:hAnsi="Arial" w:cs="Arial"/>
                <w:b/>
                <w:sz w:val="22"/>
                <w:szCs w:val="22"/>
              </w:rPr>
              <w:t>9</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FD648E">
              <w:rPr>
                <w:rFonts w:ascii="Arial" w:eastAsia="Calibri" w:hAnsi="Arial" w:cs="Arial"/>
                <w:b/>
                <w:sz w:val="22"/>
                <w:szCs w:val="22"/>
              </w:rPr>
              <w:t>1</w:t>
            </w:r>
            <w:r w:rsidR="007703DD">
              <w:rPr>
                <w:rFonts w:ascii="Arial" w:eastAsia="Calibri" w:hAnsi="Arial" w:cs="Arial"/>
                <w:b/>
                <w:sz w:val="22"/>
                <w:szCs w:val="22"/>
              </w:rPr>
              <w:t>4</w:t>
            </w:r>
            <w:r w:rsidR="007742A1" w:rsidRPr="008F0835">
              <w:rPr>
                <w:rFonts w:ascii="Arial" w:eastAsia="Calibri" w:hAnsi="Arial" w:cs="Arial"/>
                <w:b/>
                <w:sz w:val="22"/>
                <w:szCs w:val="22"/>
              </w:rPr>
              <w:t xml:space="preserve"> del </w:t>
            </w:r>
            <w:r w:rsidR="009C0A2A">
              <w:rPr>
                <w:rFonts w:ascii="Arial" w:eastAsia="Calibri" w:hAnsi="Arial" w:cs="Arial"/>
                <w:b/>
                <w:sz w:val="22"/>
                <w:szCs w:val="22"/>
              </w:rPr>
              <w:t>2</w:t>
            </w:r>
            <w:r w:rsidR="001D300B">
              <w:rPr>
                <w:rFonts w:ascii="Arial" w:eastAsia="Calibri" w:hAnsi="Arial" w:cs="Arial"/>
                <w:b/>
                <w:sz w:val="22"/>
                <w:szCs w:val="22"/>
              </w:rPr>
              <w:t>9</w:t>
            </w:r>
            <w:r w:rsidR="005A7222">
              <w:rPr>
                <w:rFonts w:ascii="Arial" w:eastAsia="Calibri" w:hAnsi="Arial" w:cs="Arial"/>
                <w:b/>
                <w:sz w:val="22"/>
                <w:szCs w:val="22"/>
              </w:rPr>
              <w:t xml:space="preserve"> de </w:t>
            </w:r>
            <w:r w:rsidR="00571C76">
              <w:rPr>
                <w:rFonts w:ascii="Arial" w:eastAsia="Calibri" w:hAnsi="Arial" w:cs="Arial"/>
                <w:b/>
                <w:sz w:val="22"/>
                <w:szCs w:val="22"/>
              </w:rPr>
              <w:t>mayo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1D300B" w:rsidRPr="001D300B">
              <w:rPr>
                <w:rFonts w:ascii="Arial" w:eastAsia="Cambria" w:hAnsi="Arial" w:cs="Arial"/>
                <w:b/>
                <w:bCs/>
                <w:sz w:val="22"/>
                <w:szCs w:val="22"/>
                <w:lang w:val="es-CR" w:eastAsia="en-US"/>
              </w:rPr>
              <w:t>Pronunciamiento del Consejo Institucional sobre Proyectos de Ley Nos. 20.641 y 20.995</w:t>
            </w: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357BA8" w:rsidRDefault="00357BA8" w:rsidP="007742A1">
      <w:pPr>
        <w:jc w:val="both"/>
        <w:rPr>
          <w:rFonts w:ascii="Arial" w:eastAsia="Cambria" w:hAnsi="Arial" w:cs="Arial"/>
          <w:lang w:val="es-ES_tradnl" w:eastAsia="en-US"/>
        </w:rPr>
      </w:pPr>
    </w:p>
    <w:p w:rsidR="00357BA8" w:rsidRPr="00357BA8" w:rsidRDefault="00357BA8" w:rsidP="00357BA8">
      <w:pPr>
        <w:spacing w:after="200"/>
        <w:rPr>
          <w:rFonts w:ascii="Arial" w:hAnsi="Arial" w:cs="Arial"/>
          <w:b/>
          <w:bCs/>
          <w:i/>
          <w:iCs/>
          <w:kern w:val="32"/>
        </w:rPr>
      </w:pPr>
      <w:r w:rsidRPr="00357BA8">
        <w:rPr>
          <w:rFonts w:ascii="Arial" w:hAnsi="Arial" w:cs="Arial"/>
          <w:b/>
          <w:bCs/>
          <w:kern w:val="32"/>
        </w:rPr>
        <w:t>RESULTANDO QUE:</w:t>
      </w:r>
    </w:p>
    <w:p w:rsidR="00357BA8" w:rsidRPr="00357BA8" w:rsidRDefault="00357BA8" w:rsidP="00357BA8">
      <w:pPr>
        <w:numPr>
          <w:ilvl w:val="0"/>
          <w:numId w:val="3"/>
        </w:numPr>
        <w:ind w:left="360"/>
        <w:jc w:val="both"/>
        <w:rPr>
          <w:rFonts w:ascii="Arial" w:hAnsi="Arial" w:cs="Arial"/>
          <w:lang w:val="es-CR"/>
        </w:rPr>
      </w:pPr>
      <w:r w:rsidRPr="00357BA8">
        <w:rPr>
          <w:rFonts w:ascii="Arial" w:hAnsi="Arial" w:cs="Arial"/>
          <w:lang w:val="es-CR"/>
        </w:rPr>
        <w:t>El Artículo 88 de la Constitución Política de la República de Costa Rica indica:</w:t>
      </w:r>
    </w:p>
    <w:p w:rsidR="00357BA8" w:rsidRPr="00357BA8" w:rsidRDefault="00357BA8" w:rsidP="00357BA8">
      <w:pPr>
        <w:ind w:left="360"/>
        <w:jc w:val="both"/>
        <w:rPr>
          <w:rFonts w:ascii="Arial" w:hAnsi="Arial" w:cs="Arial"/>
          <w:sz w:val="22"/>
          <w:szCs w:val="22"/>
          <w:lang w:val="es-CR"/>
        </w:rPr>
      </w:pPr>
    </w:p>
    <w:p w:rsidR="00357BA8" w:rsidRPr="00357BA8" w:rsidRDefault="00357BA8" w:rsidP="00357BA8">
      <w:pPr>
        <w:ind w:left="1080" w:right="689"/>
        <w:jc w:val="both"/>
        <w:rPr>
          <w:rFonts w:ascii="Arial" w:hAnsi="Arial" w:cs="Arial"/>
          <w:i/>
          <w:sz w:val="22"/>
          <w:szCs w:val="22"/>
          <w:lang w:val="es-CR"/>
        </w:rPr>
      </w:pPr>
      <w:r w:rsidRPr="00357BA8">
        <w:rPr>
          <w:rFonts w:ascii="Arial" w:hAnsi="Arial" w:cs="Arial"/>
          <w:i/>
          <w:sz w:val="22"/>
          <w:szCs w:val="22"/>
          <w:lang w:val="es-CR"/>
        </w:rPr>
        <w:t>“Para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p>
    <w:p w:rsidR="00357BA8" w:rsidRPr="00357BA8" w:rsidRDefault="00357BA8" w:rsidP="00357BA8">
      <w:pPr>
        <w:ind w:left="1080" w:right="689"/>
        <w:jc w:val="both"/>
        <w:rPr>
          <w:rFonts w:ascii="Arial" w:hAnsi="Arial" w:cs="Arial"/>
          <w:i/>
          <w:sz w:val="22"/>
          <w:szCs w:val="22"/>
          <w:lang w:val="es-CR"/>
        </w:rPr>
      </w:pPr>
    </w:p>
    <w:p w:rsidR="00357BA8" w:rsidRPr="00357BA8" w:rsidRDefault="00357BA8" w:rsidP="00357BA8">
      <w:pPr>
        <w:numPr>
          <w:ilvl w:val="0"/>
          <w:numId w:val="3"/>
        </w:numPr>
        <w:ind w:left="360"/>
        <w:jc w:val="both"/>
        <w:rPr>
          <w:rFonts w:ascii="Arial" w:hAnsi="Arial" w:cs="Arial"/>
          <w:lang w:val="es-CR"/>
        </w:rPr>
      </w:pPr>
      <w:r w:rsidRPr="00357BA8">
        <w:rPr>
          <w:rFonts w:ascii="Arial" w:hAnsi="Arial" w:cs="Arial"/>
          <w:lang w:val="es-CR"/>
        </w:rPr>
        <w:t>El Estatuto Orgánico del Instituto Tecnológico de Costa Rica, en el Artículo 18, inciso i) señala:</w:t>
      </w:r>
    </w:p>
    <w:p w:rsidR="00357BA8" w:rsidRPr="00357BA8" w:rsidRDefault="00357BA8" w:rsidP="00357BA8">
      <w:pPr>
        <w:ind w:left="1080" w:right="689"/>
        <w:jc w:val="both"/>
        <w:rPr>
          <w:rFonts w:ascii="Arial" w:hAnsi="Arial" w:cs="Arial"/>
          <w:i/>
          <w:lang w:val="es-CR"/>
        </w:rPr>
      </w:pPr>
    </w:p>
    <w:p w:rsidR="00357BA8" w:rsidRPr="00357BA8" w:rsidRDefault="00357BA8" w:rsidP="00357BA8">
      <w:pPr>
        <w:ind w:left="1080" w:right="689"/>
        <w:jc w:val="both"/>
        <w:rPr>
          <w:rFonts w:ascii="Arial" w:hAnsi="Arial" w:cs="Arial"/>
          <w:i/>
          <w:sz w:val="22"/>
          <w:szCs w:val="22"/>
          <w:lang w:val="es-CR"/>
        </w:rPr>
      </w:pPr>
      <w:r w:rsidRPr="00357BA8">
        <w:rPr>
          <w:rFonts w:ascii="Arial" w:hAnsi="Arial" w:cs="Arial"/>
          <w:i/>
          <w:sz w:val="22"/>
          <w:szCs w:val="22"/>
          <w:lang w:val="es-CR"/>
        </w:rPr>
        <w:t>“Son funciones del Consejo Institucional:</w:t>
      </w:r>
    </w:p>
    <w:p w:rsidR="00357BA8" w:rsidRPr="00357BA8" w:rsidRDefault="00357BA8" w:rsidP="00357BA8">
      <w:pPr>
        <w:ind w:left="1080" w:right="689"/>
        <w:jc w:val="both"/>
        <w:rPr>
          <w:rFonts w:ascii="Arial" w:hAnsi="Arial" w:cs="Arial"/>
          <w:i/>
          <w:sz w:val="22"/>
          <w:szCs w:val="22"/>
          <w:lang w:val="es-CR"/>
        </w:rPr>
      </w:pPr>
      <w:r w:rsidRPr="00357BA8">
        <w:rPr>
          <w:rFonts w:ascii="Arial" w:hAnsi="Arial" w:cs="Arial"/>
          <w:i/>
          <w:sz w:val="22"/>
          <w:szCs w:val="22"/>
          <w:lang w:val="es-CR"/>
        </w:rPr>
        <w:t>…</w:t>
      </w:r>
    </w:p>
    <w:p w:rsidR="00357BA8" w:rsidRPr="00357BA8" w:rsidRDefault="00357BA8" w:rsidP="00357BA8">
      <w:pPr>
        <w:ind w:left="1080" w:right="689"/>
        <w:jc w:val="both"/>
        <w:rPr>
          <w:rFonts w:ascii="Arial" w:hAnsi="Arial" w:cs="Arial"/>
          <w:i/>
          <w:sz w:val="22"/>
          <w:szCs w:val="22"/>
          <w:lang w:val="es-CR"/>
        </w:rPr>
      </w:pPr>
      <w:r w:rsidRPr="00357BA8">
        <w:rPr>
          <w:rFonts w:ascii="Arial" w:hAnsi="Arial" w:cs="Arial"/>
          <w:i/>
          <w:sz w:val="22"/>
          <w:szCs w:val="22"/>
          <w:lang w:val="es-CR"/>
        </w:rPr>
        <w:t>Evacuar las consultas a que se refiere el Artículo 88 de la Constitución Política de la República”.</w:t>
      </w:r>
    </w:p>
    <w:p w:rsidR="00357BA8" w:rsidRPr="00357BA8" w:rsidRDefault="00357BA8" w:rsidP="00357BA8">
      <w:pPr>
        <w:keepNext/>
        <w:spacing w:before="240" w:after="60"/>
        <w:jc w:val="both"/>
        <w:outlineLvl w:val="0"/>
        <w:rPr>
          <w:rFonts w:ascii="Arial" w:hAnsi="Arial" w:cs="Arial"/>
          <w:b/>
          <w:bCs/>
          <w:kern w:val="32"/>
        </w:rPr>
      </w:pPr>
      <w:r w:rsidRPr="00357BA8">
        <w:rPr>
          <w:rFonts w:ascii="Arial" w:hAnsi="Arial" w:cs="Arial"/>
          <w:b/>
          <w:bCs/>
          <w:kern w:val="32"/>
        </w:rPr>
        <w:t>CONSIDERANDO QUE:</w:t>
      </w:r>
    </w:p>
    <w:p w:rsidR="00357BA8" w:rsidRPr="00357BA8" w:rsidRDefault="00357BA8" w:rsidP="00357BA8">
      <w:pPr>
        <w:jc w:val="both"/>
      </w:pPr>
    </w:p>
    <w:p w:rsidR="00357BA8" w:rsidRPr="00357BA8" w:rsidRDefault="00357BA8" w:rsidP="00357BA8">
      <w:pPr>
        <w:numPr>
          <w:ilvl w:val="0"/>
          <w:numId w:val="37"/>
        </w:numPr>
        <w:ind w:left="284" w:hanging="284"/>
        <w:contextualSpacing/>
        <w:jc w:val="both"/>
        <w:rPr>
          <w:rFonts w:ascii="Arial" w:hAnsi="Arial" w:cs="Arial"/>
          <w:b/>
          <w:lang w:val="es-CR"/>
        </w:rPr>
      </w:pPr>
      <w:r w:rsidRPr="00357BA8">
        <w:rPr>
          <w:rFonts w:ascii="Arial" w:hAnsi="Arial" w:cs="Arial"/>
          <w:lang w:val="es-CR"/>
        </w:rPr>
        <w:t>La Secretaría del Consejo Institucional recibió correos electrónicos de parte de Asamblea Legislativa, dirigidos al Dr. Julio C. Calvo Alvarado, en calidad de Rector de la Institución, en los cuales se solicita criterio sobre los siguientes expedientes de Proyectos de Ley:   20.641 y 20.995.</w:t>
      </w:r>
    </w:p>
    <w:p w:rsidR="00357BA8" w:rsidRPr="00357BA8" w:rsidRDefault="00357BA8" w:rsidP="00357BA8">
      <w:pPr>
        <w:ind w:left="284" w:hanging="284"/>
        <w:contextualSpacing/>
        <w:jc w:val="both"/>
        <w:rPr>
          <w:rFonts w:ascii="Arial" w:hAnsi="Arial" w:cs="Arial"/>
          <w:lang w:val="es-CR"/>
        </w:rPr>
      </w:pPr>
    </w:p>
    <w:p w:rsidR="00357BA8" w:rsidRPr="00357BA8" w:rsidRDefault="00357BA8" w:rsidP="00357BA8">
      <w:pPr>
        <w:numPr>
          <w:ilvl w:val="0"/>
          <w:numId w:val="37"/>
        </w:numPr>
        <w:ind w:left="284" w:hanging="284"/>
        <w:jc w:val="both"/>
        <w:rPr>
          <w:rFonts w:ascii="Arial" w:hAnsi="Arial" w:cs="Arial"/>
          <w:lang w:val="es-CR"/>
        </w:rPr>
      </w:pPr>
      <w:r w:rsidRPr="00357BA8">
        <w:rPr>
          <w:rFonts w:ascii="Arial" w:hAnsi="Arial" w:cs="Arial"/>
          <w:lang w:val="es-CR"/>
        </w:rPr>
        <w:t xml:space="preserve">La recepción de los expedientes consultados, fue conocida en diferentes sesiones del Consejo Institucional, y se acordó trasladarlos a algunas dependencias del TEC, para la emisión de su criterio sobre el tema. </w:t>
      </w:r>
    </w:p>
    <w:p w:rsidR="00357BA8" w:rsidRPr="00357BA8" w:rsidRDefault="00357BA8" w:rsidP="00357BA8">
      <w:pPr>
        <w:ind w:left="284" w:hanging="284"/>
        <w:jc w:val="both"/>
        <w:rPr>
          <w:rFonts w:ascii="Arial" w:hAnsi="Arial" w:cs="Arial"/>
          <w:lang w:val="es-CR"/>
        </w:rPr>
      </w:pPr>
    </w:p>
    <w:p w:rsidR="00357BA8" w:rsidRPr="00357BA8" w:rsidRDefault="00357BA8" w:rsidP="00357BA8">
      <w:pPr>
        <w:numPr>
          <w:ilvl w:val="0"/>
          <w:numId w:val="37"/>
        </w:numPr>
        <w:ind w:left="284" w:hanging="284"/>
        <w:jc w:val="both"/>
        <w:rPr>
          <w:rFonts w:ascii="Arial" w:hAnsi="Arial" w:cs="Arial"/>
          <w:lang w:val="es-CR"/>
        </w:rPr>
      </w:pPr>
      <w:r w:rsidRPr="00357BA8">
        <w:rPr>
          <w:rFonts w:ascii="Arial" w:hAnsi="Arial" w:cs="Arial"/>
          <w:lang w:val="es-CR"/>
        </w:rPr>
        <w:t xml:space="preserve">La Secretaría del Consejo Institucional recibió oficios, que contienen los criterios de algunas de las demás dependencias de la Institución, que fueron consultadas. </w:t>
      </w:r>
    </w:p>
    <w:p w:rsidR="00357BA8" w:rsidRPr="00357BA8" w:rsidRDefault="00357BA8" w:rsidP="00357BA8">
      <w:pPr>
        <w:keepNext/>
        <w:keepLines/>
        <w:spacing w:before="40"/>
        <w:outlineLvl w:val="1"/>
        <w:rPr>
          <w:rFonts w:ascii="Arial" w:eastAsiaTheme="majorEastAsia" w:hAnsi="Arial" w:cs="Arial"/>
          <w:b/>
          <w:bCs/>
          <w:kern w:val="32"/>
        </w:rPr>
      </w:pPr>
      <w:r w:rsidRPr="00357BA8">
        <w:rPr>
          <w:rFonts w:ascii="Arial" w:hAnsi="Arial" w:cs="Arial"/>
          <w:b/>
          <w:bCs/>
          <w:kern w:val="32"/>
        </w:rPr>
        <w:lastRenderedPageBreak/>
        <w:t>SE</w:t>
      </w:r>
      <w:r>
        <w:rPr>
          <w:rFonts w:ascii="Arial" w:hAnsi="Arial" w:cs="Arial"/>
          <w:b/>
          <w:bCs/>
          <w:kern w:val="32"/>
        </w:rPr>
        <w:t xml:space="preserve"> ACUERDA</w:t>
      </w:r>
      <w:r w:rsidRPr="00357BA8">
        <w:rPr>
          <w:rFonts w:ascii="Arial" w:hAnsi="Arial" w:cs="Arial"/>
          <w:b/>
          <w:bCs/>
          <w:kern w:val="32"/>
        </w:rPr>
        <w:t>:</w:t>
      </w:r>
    </w:p>
    <w:p w:rsidR="00357BA8" w:rsidRPr="00357BA8" w:rsidRDefault="00357BA8" w:rsidP="00357BA8"/>
    <w:p w:rsidR="00357BA8" w:rsidRPr="00357BA8" w:rsidRDefault="00357BA8" w:rsidP="00357BA8">
      <w:pPr>
        <w:numPr>
          <w:ilvl w:val="0"/>
          <w:numId w:val="38"/>
        </w:numPr>
        <w:ind w:left="426" w:hanging="426"/>
        <w:jc w:val="both"/>
        <w:rPr>
          <w:rFonts w:ascii="Arial" w:eastAsia="Cambria" w:hAnsi="Arial" w:cs="Arial"/>
          <w:lang w:eastAsia="en-US"/>
        </w:rPr>
      </w:pPr>
      <w:r w:rsidRPr="00357BA8">
        <w:rPr>
          <w:rFonts w:ascii="Arial" w:eastAsia="Cambria" w:hAnsi="Arial" w:cs="Arial"/>
          <w:lang w:eastAsia="en-US"/>
        </w:rPr>
        <w:t>Comunicar a las dependencias de la Asamblea Legislativa correspondientes, las observaciones que se detallan a continuación, para cada proyecto consultado:</w:t>
      </w:r>
    </w:p>
    <w:p w:rsidR="00357BA8" w:rsidRPr="00357BA8" w:rsidRDefault="00357BA8" w:rsidP="00357BA8">
      <w:pPr>
        <w:autoSpaceDE w:val="0"/>
        <w:autoSpaceDN w:val="0"/>
        <w:adjustRightInd w:val="0"/>
        <w:ind w:right="-91"/>
        <w:jc w:val="both"/>
        <w:rPr>
          <w:rFonts w:ascii="Arial" w:eastAsia="Cambria" w:hAnsi="Arial" w:cs="Arial"/>
          <w:lang w:eastAsia="en-US"/>
        </w:rPr>
      </w:pPr>
    </w:p>
    <w:p w:rsidR="00357BA8" w:rsidRPr="00357BA8" w:rsidRDefault="00357BA8" w:rsidP="00357BA8">
      <w:pPr>
        <w:autoSpaceDE w:val="0"/>
        <w:autoSpaceDN w:val="0"/>
        <w:adjustRightInd w:val="0"/>
        <w:ind w:right="-91"/>
        <w:jc w:val="both"/>
        <w:rPr>
          <w:rFonts w:ascii="Arial" w:eastAsia="Cambria" w:hAnsi="Arial" w:cs="Arial"/>
          <w:u w:val="single"/>
          <w:lang w:eastAsia="en-US"/>
        </w:rPr>
      </w:pPr>
      <w:r w:rsidRPr="00357BA8">
        <w:rPr>
          <w:rFonts w:ascii="Arial" w:eastAsia="Cambria" w:hAnsi="Arial" w:cs="Arial"/>
          <w:u w:val="single"/>
          <w:lang w:eastAsia="en-US"/>
        </w:rPr>
        <w:t xml:space="preserve">Comisión Especial de Ambiente  </w:t>
      </w:r>
    </w:p>
    <w:p w:rsidR="00357BA8" w:rsidRPr="00357BA8" w:rsidRDefault="00357BA8" w:rsidP="00357BA8">
      <w:pPr>
        <w:autoSpaceDE w:val="0"/>
        <w:autoSpaceDN w:val="0"/>
        <w:adjustRightInd w:val="0"/>
        <w:ind w:right="-91"/>
        <w:jc w:val="both"/>
        <w:rPr>
          <w:rFonts w:ascii="Arial" w:eastAsia="Cambria" w:hAnsi="Arial" w:cs="Arial"/>
          <w:sz w:val="22"/>
          <w:szCs w:val="22"/>
          <w:lang w:eastAsia="en-US"/>
        </w:rPr>
      </w:pPr>
    </w:p>
    <w:tbl>
      <w:tblPr>
        <w:tblStyle w:val="Tablaconcuadrcula12"/>
        <w:tblW w:w="9776" w:type="dxa"/>
        <w:tblLayout w:type="fixed"/>
        <w:tblLook w:val="04A0" w:firstRow="1" w:lastRow="0" w:firstColumn="1" w:lastColumn="0" w:noHBand="0" w:noVBand="1"/>
      </w:tblPr>
      <w:tblGrid>
        <w:gridCol w:w="1554"/>
        <w:gridCol w:w="2835"/>
        <w:gridCol w:w="1984"/>
        <w:gridCol w:w="3403"/>
      </w:tblGrid>
      <w:tr w:rsidR="00357BA8" w:rsidRPr="00357BA8" w:rsidTr="00A94937">
        <w:tc>
          <w:tcPr>
            <w:tcW w:w="1554" w:type="dxa"/>
          </w:tcPr>
          <w:p w:rsidR="00357BA8" w:rsidRPr="00357BA8" w:rsidRDefault="00357BA8" w:rsidP="00357BA8">
            <w:pPr>
              <w:autoSpaceDE w:val="0"/>
              <w:autoSpaceDN w:val="0"/>
              <w:adjustRightInd w:val="0"/>
              <w:ind w:right="-91"/>
              <w:jc w:val="center"/>
              <w:rPr>
                <w:rFonts w:ascii="Arial" w:eastAsia="Cambria" w:hAnsi="Arial" w:cs="Arial"/>
                <w:b/>
                <w:sz w:val="22"/>
                <w:szCs w:val="22"/>
                <w:lang w:eastAsia="en-US"/>
              </w:rPr>
            </w:pPr>
            <w:r w:rsidRPr="00357BA8">
              <w:rPr>
                <w:rFonts w:ascii="Arial" w:eastAsia="Cambria" w:hAnsi="Arial" w:cs="Arial"/>
                <w:b/>
                <w:sz w:val="22"/>
                <w:szCs w:val="22"/>
                <w:lang w:eastAsia="en-US"/>
              </w:rPr>
              <w:t>No. Expediente</w:t>
            </w:r>
          </w:p>
        </w:tc>
        <w:tc>
          <w:tcPr>
            <w:tcW w:w="2835" w:type="dxa"/>
          </w:tcPr>
          <w:p w:rsidR="00357BA8" w:rsidRPr="00357BA8" w:rsidRDefault="00357BA8" w:rsidP="00357BA8">
            <w:pPr>
              <w:autoSpaceDE w:val="0"/>
              <w:autoSpaceDN w:val="0"/>
              <w:adjustRightInd w:val="0"/>
              <w:ind w:right="-91"/>
              <w:jc w:val="center"/>
              <w:rPr>
                <w:rFonts w:ascii="Arial" w:eastAsia="Cambria" w:hAnsi="Arial" w:cs="Arial"/>
                <w:b/>
                <w:sz w:val="22"/>
                <w:szCs w:val="22"/>
                <w:lang w:eastAsia="en-US"/>
              </w:rPr>
            </w:pPr>
            <w:r w:rsidRPr="00357BA8">
              <w:rPr>
                <w:rFonts w:ascii="Arial" w:eastAsia="Cambria" w:hAnsi="Arial" w:cs="Arial"/>
                <w:b/>
                <w:sz w:val="22"/>
                <w:szCs w:val="22"/>
                <w:lang w:eastAsia="en-US"/>
              </w:rPr>
              <w:t>Nombre del Proyecto</w:t>
            </w:r>
          </w:p>
        </w:tc>
        <w:tc>
          <w:tcPr>
            <w:tcW w:w="1984" w:type="dxa"/>
          </w:tcPr>
          <w:p w:rsidR="00357BA8" w:rsidRPr="00357BA8" w:rsidRDefault="00357BA8" w:rsidP="00357BA8">
            <w:pPr>
              <w:autoSpaceDE w:val="0"/>
              <w:autoSpaceDN w:val="0"/>
              <w:adjustRightInd w:val="0"/>
              <w:ind w:right="-91"/>
              <w:jc w:val="center"/>
              <w:rPr>
                <w:rFonts w:ascii="Arial" w:eastAsia="Cambria" w:hAnsi="Arial" w:cs="Arial"/>
                <w:b/>
                <w:sz w:val="22"/>
                <w:szCs w:val="22"/>
                <w:lang w:eastAsia="en-US"/>
              </w:rPr>
            </w:pPr>
            <w:r w:rsidRPr="00357BA8">
              <w:rPr>
                <w:rFonts w:ascii="Arial" w:eastAsia="Cambria" w:hAnsi="Arial" w:cs="Arial"/>
                <w:b/>
                <w:sz w:val="22"/>
                <w:szCs w:val="22"/>
                <w:lang w:eastAsia="en-US"/>
              </w:rPr>
              <w:t>Transgrede o no la Autonomía Universitaria</w:t>
            </w:r>
          </w:p>
        </w:tc>
        <w:tc>
          <w:tcPr>
            <w:tcW w:w="3403" w:type="dxa"/>
          </w:tcPr>
          <w:p w:rsidR="00357BA8" w:rsidRPr="00357BA8" w:rsidRDefault="00357BA8" w:rsidP="00357BA8">
            <w:pPr>
              <w:autoSpaceDE w:val="0"/>
              <w:autoSpaceDN w:val="0"/>
              <w:adjustRightInd w:val="0"/>
              <w:ind w:right="-91"/>
              <w:jc w:val="center"/>
              <w:rPr>
                <w:rFonts w:ascii="Arial" w:eastAsia="Cambria" w:hAnsi="Arial" w:cs="Arial"/>
                <w:b/>
                <w:sz w:val="22"/>
                <w:szCs w:val="22"/>
                <w:lang w:eastAsia="en-US"/>
              </w:rPr>
            </w:pPr>
            <w:r w:rsidRPr="00357BA8">
              <w:rPr>
                <w:rFonts w:ascii="Arial" w:eastAsia="Cambria" w:hAnsi="Arial" w:cs="Arial"/>
                <w:b/>
                <w:sz w:val="22"/>
                <w:szCs w:val="22"/>
                <w:lang w:eastAsia="en-US"/>
              </w:rPr>
              <w:t>Observaciones de las diferentes entidades institucionales consultadas</w:t>
            </w:r>
          </w:p>
        </w:tc>
      </w:tr>
      <w:tr w:rsidR="00357BA8" w:rsidRPr="00357BA8" w:rsidTr="00A94937">
        <w:tc>
          <w:tcPr>
            <w:tcW w:w="1554" w:type="dxa"/>
          </w:tcPr>
          <w:p w:rsidR="00357BA8" w:rsidRPr="00357BA8" w:rsidRDefault="00357BA8" w:rsidP="00357BA8">
            <w:pPr>
              <w:autoSpaceDE w:val="0"/>
              <w:autoSpaceDN w:val="0"/>
              <w:adjustRightInd w:val="0"/>
              <w:ind w:right="-91"/>
              <w:jc w:val="center"/>
              <w:rPr>
                <w:rFonts w:ascii="Arial" w:eastAsia="Cambria" w:hAnsi="Arial" w:cs="Arial"/>
                <w:b/>
                <w:sz w:val="22"/>
                <w:szCs w:val="22"/>
                <w:lang w:eastAsia="en-US"/>
              </w:rPr>
            </w:pPr>
            <w:r w:rsidRPr="00357BA8">
              <w:rPr>
                <w:rFonts w:ascii="Arial" w:eastAsia="Cambria" w:hAnsi="Arial" w:cs="Arial"/>
                <w:b/>
                <w:sz w:val="22"/>
                <w:szCs w:val="22"/>
                <w:lang w:eastAsia="en-US"/>
              </w:rPr>
              <w:t>20.641</w:t>
            </w:r>
          </w:p>
        </w:tc>
        <w:tc>
          <w:tcPr>
            <w:tcW w:w="2835" w:type="dxa"/>
          </w:tcPr>
          <w:p w:rsidR="00357BA8" w:rsidRPr="00357BA8" w:rsidRDefault="00357BA8" w:rsidP="00357BA8">
            <w:pPr>
              <w:autoSpaceDE w:val="0"/>
              <w:autoSpaceDN w:val="0"/>
              <w:adjustRightInd w:val="0"/>
              <w:jc w:val="both"/>
              <w:rPr>
                <w:rFonts w:ascii="Arial" w:eastAsia="Cambria" w:hAnsi="Arial" w:cs="Arial"/>
                <w:b/>
                <w:sz w:val="22"/>
                <w:szCs w:val="22"/>
                <w:lang w:eastAsia="en-US"/>
              </w:rPr>
            </w:pPr>
            <w:r w:rsidRPr="00357BA8">
              <w:rPr>
                <w:rFonts w:ascii="Arial" w:eastAsia="SimSun" w:hAnsi="Arial" w:cs="Arial"/>
                <w:b/>
                <w:iCs/>
                <w:sz w:val="22"/>
                <w:szCs w:val="22"/>
              </w:rPr>
              <w:t>“Ley de Combustibles (Ley para avanzar en la eliminación</w:t>
            </w:r>
            <w:r w:rsidRPr="00357BA8">
              <w:rPr>
                <w:rFonts w:ascii="Arial" w:eastAsia="SimSun" w:hAnsi="Arial" w:cs="Arial"/>
                <w:b/>
                <w:iCs/>
                <w:sz w:val="20"/>
                <w:szCs w:val="20"/>
              </w:rPr>
              <w:t xml:space="preserve"> </w:t>
            </w:r>
            <w:r w:rsidRPr="00357BA8">
              <w:rPr>
                <w:rFonts w:ascii="Arial" w:eastAsia="SimSun" w:hAnsi="Arial" w:cs="Arial"/>
                <w:b/>
                <w:iCs/>
                <w:sz w:val="22"/>
                <w:szCs w:val="22"/>
              </w:rPr>
              <w:t>del uso de Combustibles Fósiles en Costa Rica y declarar el Territorio Nacional Libre de Exploración y Explotación de Petróleo y Gas)”, texto sustitutivo</w:t>
            </w:r>
          </w:p>
        </w:tc>
        <w:tc>
          <w:tcPr>
            <w:tcW w:w="1984" w:type="dxa"/>
          </w:tcPr>
          <w:p w:rsidR="00357BA8" w:rsidRPr="00357BA8" w:rsidRDefault="00357BA8" w:rsidP="00357BA8">
            <w:pPr>
              <w:autoSpaceDE w:val="0"/>
              <w:autoSpaceDN w:val="0"/>
              <w:adjustRightInd w:val="0"/>
              <w:ind w:right="-91"/>
              <w:jc w:val="center"/>
              <w:rPr>
                <w:rFonts w:ascii="Arial" w:eastAsia="Cambria" w:hAnsi="Arial" w:cs="Arial"/>
                <w:b/>
                <w:sz w:val="22"/>
                <w:szCs w:val="22"/>
                <w:lang w:eastAsia="en-US"/>
              </w:rPr>
            </w:pPr>
            <w:r w:rsidRPr="00357BA8">
              <w:rPr>
                <w:rFonts w:ascii="Arial" w:eastAsia="Cambria" w:hAnsi="Arial" w:cs="Arial"/>
                <w:b/>
                <w:sz w:val="22"/>
                <w:szCs w:val="22"/>
                <w:lang w:eastAsia="en-US"/>
              </w:rPr>
              <w:t>No</w:t>
            </w:r>
          </w:p>
        </w:tc>
        <w:tc>
          <w:tcPr>
            <w:tcW w:w="3403" w:type="dxa"/>
          </w:tcPr>
          <w:p w:rsidR="00357BA8" w:rsidRPr="00357BA8" w:rsidRDefault="00357BA8" w:rsidP="00357BA8">
            <w:pPr>
              <w:autoSpaceDE w:val="0"/>
              <w:autoSpaceDN w:val="0"/>
              <w:adjustRightInd w:val="0"/>
              <w:ind w:right="-91"/>
              <w:rPr>
                <w:rFonts w:ascii="Arial" w:eastAsia="Cambria" w:hAnsi="Arial" w:cs="Arial"/>
                <w:b/>
                <w:i/>
                <w:sz w:val="22"/>
                <w:szCs w:val="22"/>
                <w:u w:val="single"/>
                <w:lang w:eastAsia="en-US"/>
              </w:rPr>
            </w:pPr>
            <w:r w:rsidRPr="00357BA8">
              <w:rPr>
                <w:rFonts w:ascii="Arial" w:eastAsia="Cambria" w:hAnsi="Arial" w:cs="Arial"/>
                <w:b/>
                <w:i/>
                <w:sz w:val="22"/>
                <w:szCs w:val="22"/>
                <w:u w:val="single"/>
                <w:lang w:eastAsia="en-US"/>
              </w:rPr>
              <w:t>Oficina de Asesoría Legal</w:t>
            </w:r>
          </w:p>
          <w:p w:rsidR="00357BA8" w:rsidRPr="00357BA8" w:rsidRDefault="00357BA8" w:rsidP="00357BA8">
            <w:pPr>
              <w:autoSpaceDE w:val="0"/>
              <w:autoSpaceDN w:val="0"/>
              <w:adjustRightInd w:val="0"/>
              <w:spacing w:after="160"/>
              <w:jc w:val="both"/>
              <w:rPr>
                <w:rFonts w:ascii="Arial" w:eastAsiaTheme="minorHAnsi" w:hAnsi="Arial" w:cs="Arial"/>
                <w:i/>
                <w:color w:val="000000"/>
                <w:sz w:val="22"/>
                <w:szCs w:val="22"/>
                <w:lang w:eastAsia="en-US"/>
              </w:rPr>
            </w:pPr>
            <w:r w:rsidRPr="00357BA8">
              <w:rPr>
                <w:rFonts w:ascii="Arial" w:eastAsiaTheme="minorHAnsi" w:hAnsi="Arial" w:cs="Arial"/>
                <w:i/>
                <w:color w:val="000000"/>
                <w:sz w:val="22"/>
                <w:szCs w:val="22"/>
                <w:lang w:eastAsia="en-US"/>
              </w:rPr>
              <w:t>“No se encuentra elementos que comprometan la autonomía universitaria.  Si un compromiso por parte de las Instituciones sea públicas o privadas, y de la sociedad en general, por procurar un ambiente sano y ecológicamente equilibrado como lo ordena nuestra Constitución Política, compromiso que ya ha adquirido el ITCR, desde tiempo atrás.”</w:t>
            </w:r>
          </w:p>
          <w:p w:rsidR="00357BA8" w:rsidRPr="00357BA8" w:rsidRDefault="00357BA8" w:rsidP="00357BA8">
            <w:pPr>
              <w:autoSpaceDE w:val="0"/>
              <w:autoSpaceDN w:val="0"/>
              <w:adjustRightInd w:val="0"/>
              <w:jc w:val="both"/>
              <w:rPr>
                <w:rFonts w:ascii="Arial" w:hAnsi="Arial" w:cs="Arial"/>
                <w:i/>
                <w:sz w:val="22"/>
                <w:szCs w:val="22"/>
                <w:lang w:eastAsia="es-CR"/>
              </w:rPr>
            </w:pPr>
          </w:p>
          <w:p w:rsidR="00357BA8" w:rsidRPr="00357BA8" w:rsidRDefault="00357BA8" w:rsidP="00357BA8">
            <w:pPr>
              <w:autoSpaceDE w:val="0"/>
              <w:autoSpaceDN w:val="0"/>
              <w:adjustRightInd w:val="0"/>
              <w:ind w:right="-91"/>
              <w:rPr>
                <w:rFonts w:ascii="Arial" w:hAnsi="Arial" w:cs="Arial"/>
                <w:i/>
                <w:sz w:val="22"/>
                <w:szCs w:val="22"/>
                <w:lang w:eastAsia="es-CR"/>
              </w:rPr>
            </w:pPr>
            <w:r w:rsidRPr="00357BA8">
              <w:rPr>
                <w:rFonts w:ascii="Arial" w:eastAsia="Cambria" w:hAnsi="Arial" w:cs="Arial"/>
                <w:b/>
                <w:i/>
                <w:sz w:val="22"/>
                <w:szCs w:val="22"/>
                <w:u w:val="single"/>
                <w:lang w:eastAsia="en-US"/>
              </w:rPr>
              <w:t>Dr. Celso Vargas Elizondo</w:t>
            </w:r>
          </w:p>
          <w:p w:rsidR="00357BA8" w:rsidRPr="00357BA8" w:rsidRDefault="00357BA8" w:rsidP="00357BA8">
            <w:pPr>
              <w:autoSpaceDE w:val="0"/>
              <w:autoSpaceDN w:val="0"/>
              <w:adjustRightInd w:val="0"/>
              <w:jc w:val="both"/>
              <w:rPr>
                <w:rFonts w:ascii="Arial" w:hAnsi="Arial" w:cs="Arial"/>
                <w:i/>
                <w:sz w:val="22"/>
                <w:szCs w:val="22"/>
                <w:lang w:eastAsia="es-CR"/>
              </w:rPr>
            </w:pPr>
          </w:p>
          <w:p w:rsidR="00357BA8" w:rsidRPr="00357BA8" w:rsidRDefault="00357BA8" w:rsidP="00357BA8">
            <w:pPr>
              <w:jc w:val="both"/>
              <w:rPr>
                <w:rFonts w:ascii="Arial" w:hAnsi="Arial" w:cs="Arial"/>
                <w:i/>
                <w:color w:val="000000"/>
                <w:sz w:val="22"/>
                <w:szCs w:val="22"/>
                <w:lang w:eastAsia="es-CR"/>
              </w:rPr>
            </w:pPr>
            <w:r w:rsidRPr="00357BA8">
              <w:rPr>
                <w:rFonts w:ascii="Arial" w:hAnsi="Arial" w:cs="Arial"/>
                <w:i/>
                <w:color w:val="000000"/>
                <w:sz w:val="22"/>
                <w:szCs w:val="22"/>
              </w:rPr>
              <w:t>“Estimados (as) miembros del Consejo Institucional:</w:t>
            </w:r>
          </w:p>
          <w:p w:rsidR="00357BA8" w:rsidRPr="00357BA8" w:rsidRDefault="00357BA8" w:rsidP="00357BA8">
            <w:pPr>
              <w:jc w:val="both"/>
              <w:rPr>
                <w:rFonts w:ascii="Arial" w:hAnsi="Arial" w:cs="Arial"/>
                <w:i/>
                <w:color w:val="000000"/>
                <w:sz w:val="22"/>
                <w:szCs w:val="22"/>
              </w:rPr>
            </w:pPr>
          </w:p>
          <w:p w:rsidR="00357BA8" w:rsidRPr="00357BA8" w:rsidRDefault="00357BA8" w:rsidP="00357BA8">
            <w:pPr>
              <w:jc w:val="both"/>
              <w:rPr>
                <w:rFonts w:ascii="Arial" w:hAnsi="Arial" w:cs="Arial"/>
                <w:i/>
                <w:color w:val="000000"/>
                <w:sz w:val="22"/>
                <w:szCs w:val="22"/>
              </w:rPr>
            </w:pPr>
            <w:r w:rsidRPr="00357BA8">
              <w:rPr>
                <w:rFonts w:ascii="Arial" w:hAnsi="Arial" w:cs="Arial"/>
                <w:i/>
                <w:color w:val="000000"/>
                <w:sz w:val="22"/>
                <w:szCs w:val="22"/>
              </w:rPr>
              <w:t xml:space="preserve">En respuesta a su consulta del expediente legislativo </w:t>
            </w:r>
            <w:r w:rsidRPr="00357BA8">
              <w:rPr>
                <w:rFonts w:ascii="Arial" w:hAnsi="Arial" w:cs="Arial"/>
                <w:i/>
                <w:color w:val="000000"/>
                <w:sz w:val="22"/>
                <w:szCs w:val="22"/>
                <w:lang w:eastAsia="en-US"/>
              </w:rPr>
              <w:t>N° 20.641,</w:t>
            </w:r>
            <w:r w:rsidRPr="00357BA8">
              <w:rPr>
                <w:rFonts w:ascii="Arial" w:hAnsi="Arial" w:cs="Arial"/>
                <w:i/>
                <w:color w:val="000000"/>
                <w:sz w:val="22"/>
                <w:szCs w:val="22"/>
              </w:rPr>
              <w:t xml:space="preserve"> me permito hacer la siguiente recomendación de redacción del artículo 2 del proyecto, con la siguiente justificación:</w:t>
            </w:r>
          </w:p>
          <w:p w:rsidR="00357BA8" w:rsidRPr="00357BA8" w:rsidRDefault="00357BA8" w:rsidP="00357BA8">
            <w:pPr>
              <w:jc w:val="both"/>
              <w:rPr>
                <w:rFonts w:ascii="Arial" w:hAnsi="Arial" w:cs="Arial"/>
                <w:i/>
                <w:color w:val="000000"/>
                <w:sz w:val="22"/>
                <w:szCs w:val="22"/>
              </w:rPr>
            </w:pPr>
            <w:r w:rsidRPr="00357BA8">
              <w:rPr>
                <w:rFonts w:ascii="Arial" w:hAnsi="Arial" w:cs="Arial"/>
                <w:i/>
                <w:color w:val="000000"/>
                <w:sz w:val="22"/>
                <w:szCs w:val="22"/>
              </w:rPr>
              <w:t xml:space="preserve">  </w:t>
            </w:r>
          </w:p>
          <w:p w:rsidR="00357BA8" w:rsidRPr="00357BA8" w:rsidRDefault="00357BA8" w:rsidP="00357BA8">
            <w:pPr>
              <w:numPr>
                <w:ilvl w:val="0"/>
                <w:numId w:val="39"/>
              </w:numPr>
              <w:tabs>
                <w:tab w:val="num" w:pos="467"/>
              </w:tabs>
              <w:ind w:left="325" w:hanging="325"/>
              <w:jc w:val="both"/>
              <w:rPr>
                <w:rFonts w:ascii="Arial" w:hAnsi="Arial" w:cs="Arial"/>
                <w:i/>
                <w:color w:val="000000"/>
                <w:sz w:val="22"/>
                <w:szCs w:val="22"/>
              </w:rPr>
            </w:pPr>
            <w:r w:rsidRPr="00357BA8">
              <w:rPr>
                <w:rFonts w:ascii="Arial" w:hAnsi="Arial" w:cs="Arial"/>
                <w:i/>
                <w:color w:val="000000"/>
                <w:sz w:val="22"/>
                <w:szCs w:val="22"/>
              </w:rPr>
              <w:t>El artículo 6 de la Constitución Política de Costa Rica define el territorio nacional de la siguiente manera:</w:t>
            </w:r>
            <w:r w:rsidRPr="00357BA8">
              <w:rPr>
                <w:rFonts w:ascii="Arial" w:hAnsi="Arial" w:cs="Arial"/>
                <w:i/>
                <w:color w:val="000000"/>
                <w:sz w:val="22"/>
                <w:szCs w:val="22"/>
              </w:rPr>
              <w:br/>
            </w:r>
            <w:r w:rsidRPr="00357BA8">
              <w:rPr>
                <w:rFonts w:ascii="Arial" w:hAnsi="Arial" w:cs="Arial"/>
                <w:i/>
                <w:color w:val="000000"/>
                <w:sz w:val="22"/>
                <w:szCs w:val="22"/>
              </w:rPr>
              <w:br/>
            </w:r>
            <w:r w:rsidRPr="00357BA8">
              <w:rPr>
                <w:rFonts w:ascii="Arial" w:hAnsi="Arial" w:cs="Arial"/>
                <w:b/>
                <w:bCs/>
                <w:i/>
                <w:color w:val="000000"/>
                <w:sz w:val="22"/>
                <w:szCs w:val="22"/>
              </w:rPr>
              <w:t>Artículo 6</w:t>
            </w:r>
            <w:r w:rsidRPr="00357BA8">
              <w:rPr>
                <w:rFonts w:ascii="Arial" w:hAnsi="Arial" w:cs="Arial"/>
                <w:i/>
                <w:color w:val="000000"/>
                <w:sz w:val="22"/>
                <w:szCs w:val="22"/>
              </w:rPr>
              <w:t xml:space="preserve">: "El Estado ejerce la soberanía completa y exclusiva en el espacio aéreo de su territorio, en sus aguas territoriales en una distancia de doce millas a partir de la línea de bajamar a lo largo de sus costas, en su plataforma continental y en su zócalo insular de acuerdo con los principios del Derecho </w:t>
            </w:r>
            <w:r w:rsidRPr="00357BA8">
              <w:rPr>
                <w:rFonts w:ascii="Arial" w:hAnsi="Arial" w:cs="Arial"/>
                <w:i/>
                <w:color w:val="000000"/>
                <w:sz w:val="22"/>
                <w:szCs w:val="22"/>
              </w:rPr>
              <w:lastRenderedPageBreak/>
              <w:t>Internacional. Ejerce, además, una jurisdicción especial sobre los mares adyacentes a su territorio en una extensión de doscientas millas a partir de la misma línea, a fin de proteger, conservar y explotar con exclusividad todos los recursos y riquezas naturales existentes en las aguas, el suelo y el subsuelo de esas zonas, de conformidad con aquellos principios."</w:t>
            </w:r>
          </w:p>
          <w:p w:rsidR="00357BA8" w:rsidRPr="00357BA8" w:rsidRDefault="00357BA8" w:rsidP="00357BA8">
            <w:pPr>
              <w:ind w:left="325"/>
              <w:jc w:val="both"/>
              <w:rPr>
                <w:rFonts w:ascii="Arial" w:hAnsi="Arial" w:cs="Arial"/>
                <w:i/>
                <w:color w:val="000000"/>
                <w:sz w:val="22"/>
                <w:szCs w:val="22"/>
              </w:rPr>
            </w:pPr>
          </w:p>
          <w:p w:rsidR="00357BA8" w:rsidRPr="00357BA8" w:rsidRDefault="00357BA8" w:rsidP="00357BA8">
            <w:pPr>
              <w:numPr>
                <w:ilvl w:val="0"/>
                <w:numId w:val="39"/>
              </w:numPr>
              <w:tabs>
                <w:tab w:val="num" w:pos="467"/>
              </w:tabs>
              <w:ind w:left="325" w:hanging="325"/>
              <w:jc w:val="both"/>
              <w:rPr>
                <w:rFonts w:ascii="Arial" w:hAnsi="Arial" w:cs="Arial"/>
                <w:i/>
                <w:color w:val="000000"/>
                <w:sz w:val="22"/>
                <w:szCs w:val="22"/>
              </w:rPr>
            </w:pPr>
            <w:r w:rsidRPr="00357BA8">
              <w:rPr>
                <w:rFonts w:ascii="Arial" w:hAnsi="Arial" w:cs="Arial"/>
                <w:i/>
                <w:color w:val="000000"/>
                <w:sz w:val="22"/>
                <w:szCs w:val="22"/>
              </w:rPr>
              <w:t>El artículo 2 del Proyecto de LEY DE COMBUSTIBLES, expediente legislativo N°20.641 no establece claramente el alcance de la prohibición de exploración y explotación petrolera en la extensión de los mares adyacentes en los que ejerce una jurisdicción especial, según el derecho internacional.  Entendemos que es en esta extensión territorial donde se encuentran importantes reservas de gas naturales y posiblemente, petróleo.  Es relevante que se extienda la prohibición a este territorio.</w:t>
            </w:r>
            <w:r w:rsidRPr="00357BA8">
              <w:rPr>
                <w:rFonts w:ascii="Arial" w:hAnsi="Arial" w:cs="Arial"/>
                <w:i/>
                <w:color w:val="000000"/>
                <w:sz w:val="22"/>
                <w:szCs w:val="22"/>
              </w:rPr>
              <w:br/>
              <w:t> </w:t>
            </w:r>
          </w:p>
          <w:p w:rsidR="00357BA8" w:rsidRPr="00357BA8" w:rsidRDefault="00357BA8" w:rsidP="00357BA8">
            <w:pPr>
              <w:numPr>
                <w:ilvl w:val="0"/>
                <w:numId w:val="39"/>
              </w:numPr>
              <w:tabs>
                <w:tab w:val="num" w:pos="467"/>
              </w:tabs>
              <w:ind w:left="325" w:hanging="325"/>
              <w:jc w:val="both"/>
              <w:rPr>
                <w:rFonts w:ascii="Arial" w:hAnsi="Arial" w:cs="Arial"/>
                <w:i/>
                <w:color w:val="000000"/>
                <w:sz w:val="22"/>
                <w:szCs w:val="22"/>
              </w:rPr>
            </w:pPr>
            <w:r w:rsidRPr="00357BA8">
              <w:rPr>
                <w:rFonts w:ascii="Arial" w:hAnsi="Arial" w:cs="Arial"/>
                <w:i/>
                <w:color w:val="000000"/>
                <w:sz w:val="22"/>
                <w:szCs w:val="22"/>
              </w:rPr>
              <w:t xml:space="preserve">Solicitar que se reforme el artículo 2 del proyecto de Ley de Combustibles de manera que se lea de la siguiente manera: </w:t>
            </w:r>
            <w:r w:rsidRPr="00357BA8">
              <w:rPr>
                <w:rFonts w:ascii="Arial" w:hAnsi="Arial" w:cs="Arial"/>
                <w:i/>
                <w:color w:val="000000"/>
                <w:sz w:val="22"/>
                <w:szCs w:val="22"/>
              </w:rPr>
              <w:br/>
            </w:r>
            <w:r w:rsidRPr="00357BA8">
              <w:rPr>
                <w:rFonts w:ascii="Arial" w:hAnsi="Arial" w:cs="Arial"/>
                <w:i/>
                <w:color w:val="000000"/>
                <w:sz w:val="22"/>
                <w:szCs w:val="22"/>
              </w:rPr>
              <w:br/>
              <w:t xml:space="preserve">“ARTÍCULO 2.- Costa Rica como territorio libre de exploración y explotación petrolera, gas natural y cualquier otra sustancia </w:t>
            </w:r>
            <w:proofErr w:type="spellStart"/>
            <w:r w:rsidRPr="00357BA8">
              <w:rPr>
                <w:rFonts w:ascii="Arial" w:hAnsi="Arial" w:cs="Arial"/>
                <w:i/>
                <w:color w:val="000000"/>
                <w:sz w:val="22"/>
                <w:szCs w:val="22"/>
              </w:rPr>
              <w:t>hidrocarburada</w:t>
            </w:r>
            <w:proofErr w:type="spellEnd"/>
            <w:r w:rsidRPr="00357BA8">
              <w:rPr>
                <w:rFonts w:ascii="Arial" w:hAnsi="Arial" w:cs="Arial"/>
                <w:i/>
                <w:color w:val="000000"/>
                <w:sz w:val="22"/>
                <w:szCs w:val="22"/>
              </w:rPr>
              <w:t xml:space="preserve">. Declárese a Costa Rica un territorio continental y marino, libre de exploración y explotación de hidrocarburos, al tenor de los artículos 6 y 121 inciso 14 de la Constitución Política que establecen que el Estado </w:t>
            </w:r>
            <w:r w:rsidRPr="00357BA8">
              <w:rPr>
                <w:rFonts w:ascii="Arial" w:hAnsi="Arial" w:cs="Arial"/>
                <w:i/>
                <w:color w:val="000000"/>
                <w:sz w:val="22"/>
                <w:szCs w:val="22"/>
              </w:rPr>
              <w:lastRenderedPageBreak/>
              <w:t xml:space="preserve">tiene el dominio absoluto de las fuentes y depósitos de petróleo y cualesquiera otras sustancias </w:t>
            </w:r>
            <w:proofErr w:type="spellStart"/>
            <w:r w:rsidRPr="00357BA8">
              <w:rPr>
                <w:rFonts w:ascii="Arial" w:hAnsi="Arial" w:cs="Arial"/>
                <w:i/>
                <w:color w:val="000000"/>
                <w:sz w:val="22"/>
                <w:szCs w:val="22"/>
              </w:rPr>
              <w:t>hidrocarburadas</w:t>
            </w:r>
            <w:proofErr w:type="spellEnd"/>
            <w:r w:rsidRPr="00357BA8">
              <w:rPr>
                <w:rFonts w:ascii="Arial" w:hAnsi="Arial" w:cs="Arial"/>
                <w:i/>
                <w:color w:val="000000"/>
                <w:sz w:val="22"/>
                <w:szCs w:val="22"/>
              </w:rPr>
              <w:t xml:space="preserve"> existentes en el territorio nacional y que, sobre este, ejerce soberanía completa y exclusiva. </w:t>
            </w:r>
            <w:r w:rsidRPr="00357BA8">
              <w:rPr>
                <w:rFonts w:ascii="Arial" w:hAnsi="Arial" w:cs="Arial"/>
                <w:b/>
                <w:bCs/>
                <w:i/>
                <w:color w:val="000000"/>
                <w:sz w:val="22"/>
                <w:szCs w:val="22"/>
              </w:rPr>
              <w:t>Se extiende el alcance de la presente ley a los mares adyacentes sobre los cuales el país ejerce una jurisdicción especial</w:t>
            </w:r>
            <w:r w:rsidRPr="00357BA8">
              <w:rPr>
                <w:rFonts w:ascii="Arial" w:hAnsi="Arial" w:cs="Arial"/>
                <w:i/>
                <w:color w:val="000000"/>
                <w:sz w:val="22"/>
                <w:szCs w:val="22"/>
              </w:rPr>
              <w:t>”</w:t>
            </w:r>
          </w:p>
          <w:p w:rsidR="00357BA8" w:rsidRPr="00357BA8" w:rsidRDefault="00357BA8" w:rsidP="00357BA8">
            <w:pPr>
              <w:autoSpaceDE w:val="0"/>
              <w:autoSpaceDN w:val="0"/>
              <w:adjustRightInd w:val="0"/>
              <w:jc w:val="both"/>
              <w:rPr>
                <w:rFonts w:ascii="Arial" w:eastAsiaTheme="minorHAnsi" w:hAnsi="Arial" w:cs="Arial"/>
                <w:i/>
                <w:color w:val="000000"/>
                <w:sz w:val="23"/>
                <w:szCs w:val="23"/>
                <w:lang w:val="es-CR" w:eastAsia="en-US"/>
              </w:rPr>
            </w:pPr>
          </w:p>
          <w:p w:rsidR="00357BA8" w:rsidRPr="00357BA8" w:rsidRDefault="00357BA8" w:rsidP="00357BA8">
            <w:pPr>
              <w:autoSpaceDE w:val="0"/>
              <w:autoSpaceDN w:val="0"/>
              <w:adjustRightInd w:val="0"/>
              <w:ind w:right="-91"/>
              <w:jc w:val="both"/>
              <w:rPr>
                <w:rFonts w:ascii="Arial" w:eastAsia="Cambria" w:hAnsi="Arial" w:cs="Arial"/>
                <w:b/>
                <w:sz w:val="22"/>
                <w:szCs w:val="22"/>
                <w:u w:val="single"/>
                <w:lang w:eastAsia="en-US"/>
              </w:rPr>
            </w:pPr>
            <w:r w:rsidRPr="00357BA8">
              <w:rPr>
                <w:rFonts w:ascii="Arial" w:eastAsia="Cambria" w:hAnsi="Arial" w:cs="Arial"/>
                <w:b/>
                <w:sz w:val="22"/>
                <w:szCs w:val="22"/>
                <w:u w:val="single"/>
                <w:lang w:eastAsia="en-US"/>
              </w:rPr>
              <w:t>Escuela de Química</w:t>
            </w:r>
          </w:p>
          <w:p w:rsidR="00357BA8" w:rsidRPr="00357BA8" w:rsidRDefault="00357BA8" w:rsidP="00357BA8">
            <w:pPr>
              <w:autoSpaceDE w:val="0"/>
              <w:autoSpaceDN w:val="0"/>
              <w:adjustRightInd w:val="0"/>
              <w:jc w:val="both"/>
              <w:rPr>
                <w:rFonts w:ascii="Arial" w:eastAsiaTheme="minorHAnsi" w:hAnsi="Arial" w:cs="Arial"/>
                <w:i/>
                <w:color w:val="000000"/>
                <w:sz w:val="23"/>
                <w:szCs w:val="23"/>
                <w:lang w:val="es-CR" w:eastAsia="en-US"/>
              </w:rPr>
            </w:pPr>
          </w:p>
          <w:p w:rsidR="00357BA8" w:rsidRPr="00357BA8" w:rsidRDefault="00357BA8" w:rsidP="00357BA8">
            <w:pPr>
              <w:autoSpaceDE w:val="0"/>
              <w:autoSpaceDN w:val="0"/>
              <w:adjustRightInd w:val="0"/>
              <w:jc w:val="both"/>
              <w:rPr>
                <w:rFonts w:ascii="Arial" w:eastAsiaTheme="minorHAnsi" w:hAnsi="Arial" w:cs="Arial"/>
                <w:i/>
                <w:color w:val="000000"/>
                <w:sz w:val="22"/>
                <w:szCs w:val="22"/>
                <w:lang w:val="es-CR" w:eastAsia="en-US"/>
              </w:rPr>
            </w:pPr>
            <w:r w:rsidRPr="00357BA8">
              <w:rPr>
                <w:rFonts w:ascii="Arial" w:eastAsiaTheme="minorHAnsi" w:hAnsi="Arial" w:cs="Arial"/>
                <w:i/>
                <w:color w:val="000000"/>
                <w:sz w:val="22"/>
                <w:szCs w:val="22"/>
                <w:lang w:val="es-CR" w:eastAsia="en-US"/>
              </w:rPr>
              <w:t>“Por tanto, consideramos que el texto del proyecto LEY N°20 641, resulta deficiente e inadecuado para el alcance propuesto y no se apoya.”</w:t>
            </w:r>
          </w:p>
          <w:p w:rsidR="00357BA8" w:rsidRPr="00357BA8" w:rsidRDefault="00357BA8" w:rsidP="00357BA8">
            <w:pPr>
              <w:autoSpaceDE w:val="0"/>
              <w:autoSpaceDN w:val="0"/>
              <w:adjustRightInd w:val="0"/>
              <w:jc w:val="both"/>
              <w:rPr>
                <w:rFonts w:ascii="Arial" w:eastAsiaTheme="minorHAnsi" w:hAnsi="Arial" w:cs="Arial"/>
                <w:i/>
                <w:color w:val="000000"/>
                <w:sz w:val="22"/>
                <w:szCs w:val="22"/>
                <w:lang w:val="es-CR" w:eastAsia="en-US"/>
              </w:rPr>
            </w:pPr>
          </w:p>
        </w:tc>
      </w:tr>
    </w:tbl>
    <w:p w:rsidR="00357BA8" w:rsidRPr="00357BA8" w:rsidRDefault="00357BA8" w:rsidP="00357BA8">
      <w:pPr>
        <w:rPr>
          <w:rFonts w:ascii="Arial" w:hAnsi="Arial" w:cs="Arial"/>
          <w:sz w:val="22"/>
          <w:szCs w:val="22"/>
          <w:lang w:val="es-CR"/>
        </w:rPr>
      </w:pPr>
    </w:p>
    <w:p w:rsidR="00357BA8" w:rsidRPr="00357BA8" w:rsidRDefault="00357BA8" w:rsidP="00357BA8">
      <w:pPr>
        <w:autoSpaceDE w:val="0"/>
        <w:autoSpaceDN w:val="0"/>
        <w:adjustRightInd w:val="0"/>
        <w:ind w:right="-91"/>
        <w:jc w:val="both"/>
        <w:rPr>
          <w:rFonts w:ascii="Arial" w:eastAsia="Cambria" w:hAnsi="Arial" w:cs="Arial"/>
          <w:sz w:val="22"/>
          <w:szCs w:val="22"/>
          <w:lang w:val="es-CR" w:eastAsia="en-US"/>
        </w:rPr>
      </w:pPr>
    </w:p>
    <w:p w:rsidR="00357BA8" w:rsidRPr="00357BA8" w:rsidRDefault="00357BA8" w:rsidP="00357BA8">
      <w:pPr>
        <w:autoSpaceDE w:val="0"/>
        <w:autoSpaceDN w:val="0"/>
        <w:adjustRightInd w:val="0"/>
        <w:ind w:right="-91"/>
        <w:jc w:val="both"/>
        <w:rPr>
          <w:rFonts w:ascii="Arial" w:eastAsia="Cambria" w:hAnsi="Arial" w:cs="Arial"/>
          <w:sz w:val="22"/>
          <w:szCs w:val="22"/>
          <w:u w:val="single"/>
          <w:lang w:eastAsia="en-US"/>
        </w:rPr>
      </w:pPr>
      <w:r w:rsidRPr="00357BA8">
        <w:rPr>
          <w:rFonts w:ascii="Arial" w:eastAsia="Cambria" w:hAnsi="Arial" w:cs="Arial"/>
          <w:sz w:val="22"/>
          <w:szCs w:val="22"/>
          <w:u w:val="single"/>
          <w:lang w:eastAsia="en-US"/>
        </w:rPr>
        <w:t xml:space="preserve">Comisión Permanente de Asuntos Jurídicos  </w:t>
      </w:r>
    </w:p>
    <w:p w:rsidR="00357BA8" w:rsidRPr="00357BA8" w:rsidRDefault="00357BA8" w:rsidP="00357BA8">
      <w:pPr>
        <w:autoSpaceDE w:val="0"/>
        <w:autoSpaceDN w:val="0"/>
        <w:adjustRightInd w:val="0"/>
        <w:ind w:right="-91"/>
        <w:jc w:val="both"/>
        <w:rPr>
          <w:rFonts w:ascii="Arial" w:eastAsia="Cambria" w:hAnsi="Arial" w:cs="Arial"/>
          <w:sz w:val="22"/>
          <w:szCs w:val="22"/>
          <w:lang w:eastAsia="en-US"/>
        </w:rPr>
      </w:pPr>
    </w:p>
    <w:tbl>
      <w:tblPr>
        <w:tblStyle w:val="Tablaconcuadrcula12"/>
        <w:tblW w:w="9776" w:type="dxa"/>
        <w:tblLayout w:type="fixed"/>
        <w:tblLook w:val="04A0" w:firstRow="1" w:lastRow="0" w:firstColumn="1" w:lastColumn="0" w:noHBand="0" w:noVBand="1"/>
      </w:tblPr>
      <w:tblGrid>
        <w:gridCol w:w="1554"/>
        <w:gridCol w:w="2835"/>
        <w:gridCol w:w="1984"/>
        <w:gridCol w:w="3403"/>
      </w:tblGrid>
      <w:tr w:rsidR="00357BA8" w:rsidRPr="00357BA8" w:rsidTr="00A94937">
        <w:tc>
          <w:tcPr>
            <w:tcW w:w="1554" w:type="dxa"/>
          </w:tcPr>
          <w:p w:rsidR="00357BA8" w:rsidRPr="00357BA8" w:rsidRDefault="00357BA8" w:rsidP="00357BA8">
            <w:pPr>
              <w:autoSpaceDE w:val="0"/>
              <w:autoSpaceDN w:val="0"/>
              <w:adjustRightInd w:val="0"/>
              <w:ind w:right="-91"/>
              <w:jc w:val="center"/>
              <w:rPr>
                <w:rFonts w:ascii="Arial" w:eastAsia="Cambria" w:hAnsi="Arial" w:cs="Arial"/>
                <w:b/>
                <w:sz w:val="22"/>
                <w:szCs w:val="22"/>
                <w:lang w:eastAsia="en-US"/>
              </w:rPr>
            </w:pPr>
            <w:r w:rsidRPr="00357BA8">
              <w:rPr>
                <w:rFonts w:ascii="Arial" w:eastAsia="Cambria" w:hAnsi="Arial" w:cs="Arial"/>
                <w:b/>
                <w:sz w:val="22"/>
                <w:szCs w:val="22"/>
                <w:lang w:eastAsia="en-US"/>
              </w:rPr>
              <w:t>No. Expediente</w:t>
            </w:r>
          </w:p>
        </w:tc>
        <w:tc>
          <w:tcPr>
            <w:tcW w:w="2835" w:type="dxa"/>
          </w:tcPr>
          <w:p w:rsidR="00357BA8" w:rsidRPr="00357BA8" w:rsidRDefault="00357BA8" w:rsidP="00357BA8">
            <w:pPr>
              <w:autoSpaceDE w:val="0"/>
              <w:autoSpaceDN w:val="0"/>
              <w:adjustRightInd w:val="0"/>
              <w:ind w:right="-91"/>
              <w:jc w:val="center"/>
              <w:rPr>
                <w:rFonts w:ascii="Arial" w:eastAsia="Cambria" w:hAnsi="Arial" w:cs="Arial"/>
                <w:b/>
                <w:sz w:val="22"/>
                <w:szCs w:val="22"/>
                <w:lang w:eastAsia="en-US"/>
              </w:rPr>
            </w:pPr>
            <w:r w:rsidRPr="00357BA8">
              <w:rPr>
                <w:rFonts w:ascii="Arial" w:eastAsia="Cambria" w:hAnsi="Arial" w:cs="Arial"/>
                <w:b/>
                <w:sz w:val="22"/>
                <w:szCs w:val="22"/>
                <w:lang w:eastAsia="en-US"/>
              </w:rPr>
              <w:t>Nombre del Proyecto</w:t>
            </w:r>
          </w:p>
        </w:tc>
        <w:tc>
          <w:tcPr>
            <w:tcW w:w="1984" w:type="dxa"/>
          </w:tcPr>
          <w:p w:rsidR="00357BA8" w:rsidRPr="00357BA8" w:rsidRDefault="00357BA8" w:rsidP="00357BA8">
            <w:pPr>
              <w:autoSpaceDE w:val="0"/>
              <w:autoSpaceDN w:val="0"/>
              <w:adjustRightInd w:val="0"/>
              <w:ind w:right="-91"/>
              <w:jc w:val="center"/>
              <w:rPr>
                <w:rFonts w:ascii="Arial" w:eastAsia="Cambria" w:hAnsi="Arial" w:cs="Arial"/>
                <w:b/>
                <w:sz w:val="22"/>
                <w:szCs w:val="22"/>
                <w:lang w:eastAsia="en-US"/>
              </w:rPr>
            </w:pPr>
            <w:r w:rsidRPr="00357BA8">
              <w:rPr>
                <w:rFonts w:ascii="Arial" w:eastAsia="Cambria" w:hAnsi="Arial" w:cs="Arial"/>
                <w:b/>
                <w:sz w:val="22"/>
                <w:szCs w:val="22"/>
                <w:lang w:eastAsia="en-US"/>
              </w:rPr>
              <w:t>Transgrede o no la Autonomía Universitaria</w:t>
            </w:r>
          </w:p>
        </w:tc>
        <w:tc>
          <w:tcPr>
            <w:tcW w:w="3403" w:type="dxa"/>
          </w:tcPr>
          <w:p w:rsidR="00357BA8" w:rsidRPr="00357BA8" w:rsidRDefault="00357BA8" w:rsidP="00357BA8">
            <w:pPr>
              <w:autoSpaceDE w:val="0"/>
              <w:autoSpaceDN w:val="0"/>
              <w:adjustRightInd w:val="0"/>
              <w:ind w:right="-91"/>
              <w:jc w:val="center"/>
              <w:rPr>
                <w:rFonts w:ascii="Arial" w:eastAsia="Cambria" w:hAnsi="Arial" w:cs="Arial"/>
                <w:b/>
                <w:sz w:val="22"/>
                <w:szCs w:val="22"/>
                <w:lang w:eastAsia="en-US"/>
              </w:rPr>
            </w:pPr>
            <w:r w:rsidRPr="00357BA8">
              <w:rPr>
                <w:rFonts w:ascii="Arial" w:eastAsia="Cambria" w:hAnsi="Arial" w:cs="Arial"/>
                <w:b/>
                <w:sz w:val="22"/>
                <w:szCs w:val="22"/>
                <w:lang w:eastAsia="en-US"/>
              </w:rPr>
              <w:t>Observaciones de las diferentes entidades institucionales consultadas</w:t>
            </w:r>
          </w:p>
        </w:tc>
      </w:tr>
      <w:tr w:rsidR="00357BA8" w:rsidRPr="00357BA8" w:rsidTr="00A94937">
        <w:tc>
          <w:tcPr>
            <w:tcW w:w="1554" w:type="dxa"/>
          </w:tcPr>
          <w:p w:rsidR="00357BA8" w:rsidRPr="00357BA8" w:rsidRDefault="00357BA8" w:rsidP="00357BA8">
            <w:pPr>
              <w:autoSpaceDE w:val="0"/>
              <w:autoSpaceDN w:val="0"/>
              <w:adjustRightInd w:val="0"/>
              <w:ind w:right="-91"/>
              <w:jc w:val="center"/>
              <w:rPr>
                <w:rFonts w:ascii="Arial" w:eastAsia="Cambria" w:hAnsi="Arial" w:cs="Arial"/>
                <w:b/>
                <w:sz w:val="22"/>
                <w:szCs w:val="22"/>
                <w:lang w:eastAsia="en-US"/>
              </w:rPr>
            </w:pPr>
            <w:r w:rsidRPr="00357BA8">
              <w:rPr>
                <w:rFonts w:ascii="Arial" w:eastAsia="SimSun" w:hAnsi="Arial" w:cs="Arial"/>
                <w:b/>
                <w:iCs/>
                <w:sz w:val="20"/>
                <w:szCs w:val="20"/>
              </w:rPr>
              <w:t>20.995</w:t>
            </w:r>
          </w:p>
        </w:tc>
        <w:tc>
          <w:tcPr>
            <w:tcW w:w="2835" w:type="dxa"/>
          </w:tcPr>
          <w:p w:rsidR="00357BA8" w:rsidRPr="00357BA8" w:rsidRDefault="00357BA8" w:rsidP="00357BA8">
            <w:pPr>
              <w:jc w:val="both"/>
              <w:rPr>
                <w:rFonts w:ascii="Arial" w:eastAsia="SimSun" w:hAnsi="Arial" w:cs="Arial"/>
                <w:b/>
                <w:iCs/>
                <w:sz w:val="20"/>
                <w:szCs w:val="20"/>
              </w:rPr>
            </w:pPr>
            <w:r w:rsidRPr="00357BA8">
              <w:rPr>
                <w:rFonts w:ascii="Arial" w:eastAsia="SimSun" w:hAnsi="Arial" w:cs="Arial"/>
                <w:b/>
                <w:iCs/>
                <w:sz w:val="22"/>
                <w:szCs w:val="22"/>
              </w:rPr>
              <w:t>“Ley para la eficiencia en la conservación, reconstrucción y mejoramiento de la Red Vial, adición de los Artículos 2 Bis y 2 TER a la Ley General de Caminos Públicos, Ley No. 5060, del 22 de agosto de 1972 y sus Reformas”</w:t>
            </w:r>
            <w:r w:rsidRPr="00357BA8">
              <w:rPr>
                <w:rFonts w:ascii="Arial" w:eastAsia="SimSun" w:hAnsi="Arial" w:cs="Arial"/>
                <w:b/>
                <w:iCs/>
                <w:sz w:val="20"/>
                <w:szCs w:val="20"/>
              </w:rPr>
              <w:t xml:space="preserve"> </w:t>
            </w:r>
          </w:p>
          <w:p w:rsidR="00357BA8" w:rsidRPr="00357BA8" w:rsidRDefault="00357BA8" w:rsidP="00357BA8">
            <w:pPr>
              <w:autoSpaceDE w:val="0"/>
              <w:autoSpaceDN w:val="0"/>
              <w:adjustRightInd w:val="0"/>
              <w:jc w:val="both"/>
              <w:rPr>
                <w:rFonts w:ascii="Arial" w:eastAsia="Cambria" w:hAnsi="Arial" w:cs="Arial"/>
                <w:b/>
                <w:sz w:val="22"/>
                <w:szCs w:val="22"/>
                <w:lang w:val="es-CR" w:eastAsia="en-US"/>
              </w:rPr>
            </w:pPr>
          </w:p>
        </w:tc>
        <w:tc>
          <w:tcPr>
            <w:tcW w:w="1984" w:type="dxa"/>
          </w:tcPr>
          <w:p w:rsidR="00357BA8" w:rsidRPr="00357BA8" w:rsidRDefault="00357BA8" w:rsidP="00357BA8">
            <w:pPr>
              <w:autoSpaceDE w:val="0"/>
              <w:autoSpaceDN w:val="0"/>
              <w:adjustRightInd w:val="0"/>
              <w:ind w:right="-91"/>
              <w:jc w:val="center"/>
              <w:rPr>
                <w:rFonts w:ascii="Arial" w:eastAsia="Cambria" w:hAnsi="Arial" w:cs="Arial"/>
                <w:b/>
                <w:sz w:val="22"/>
                <w:szCs w:val="22"/>
                <w:lang w:eastAsia="en-US"/>
              </w:rPr>
            </w:pPr>
            <w:r w:rsidRPr="00357BA8">
              <w:rPr>
                <w:rFonts w:ascii="Arial" w:eastAsia="Cambria" w:hAnsi="Arial" w:cs="Arial"/>
                <w:b/>
                <w:sz w:val="22"/>
                <w:szCs w:val="22"/>
                <w:lang w:eastAsia="en-US"/>
              </w:rPr>
              <w:t>No</w:t>
            </w:r>
          </w:p>
        </w:tc>
        <w:tc>
          <w:tcPr>
            <w:tcW w:w="3403" w:type="dxa"/>
          </w:tcPr>
          <w:p w:rsidR="00357BA8" w:rsidRPr="00357BA8" w:rsidRDefault="00357BA8" w:rsidP="00357BA8">
            <w:pPr>
              <w:autoSpaceDE w:val="0"/>
              <w:autoSpaceDN w:val="0"/>
              <w:adjustRightInd w:val="0"/>
              <w:ind w:right="-91"/>
              <w:jc w:val="both"/>
              <w:rPr>
                <w:rFonts w:ascii="Arial" w:eastAsia="Cambria" w:hAnsi="Arial" w:cs="Arial"/>
                <w:b/>
                <w:sz w:val="22"/>
                <w:szCs w:val="22"/>
                <w:u w:val="single"/>
                <w:lang w:eastAsia="en-US"/>
              </w:rPr>
            </w:pPr>
            <w:r w:rsidRPr="00357BA8">
              <w:rPr>
                <w:rFonts w:ascii="Arial" w:eastAsia="Cambria" w:hAnsi="Arial" w:cs="Arial"/>
                <w:b/>
                <w:sz w:val="22"/>
                <w:szCs w:val="22"/>
                <w:u w:val="single"/>
                <w:lang w:eastAsia="en-US"/>
              </w:rPr>
              <w:t xml:space="preserve">Oficina de Asesoría Legal </w:t>
            </w:r>
          </w:p>
          <w:p w:rsidR="00357BA8" w:rsidRPr="00357BA8" w:rsidRDefault="00357BA8" w:rsidP="00357BA8">
            <w:pPr>
              <w:autoSpaceDE w:val="0"/>
              <w:autoSpaceDN w:val="0"/>
              <w:adjustRightInd w:val="0"/>
              <w:ind w:right="-91"/>
              <w:jc w:val="both"/>
              <w:rPr>
                <w:rFonts w:ascii="Arial" w:eastAsia="Cambria" w:hAnsi="Arial" w:cs="Arial"/>
                <w:b/>
                <w:sz w:val="22"/>
                <w:szCs w:val="22"/>
                <w:u w:val="single"/>
                <w:lang w:eastAsia="en-US"/>
              </w:rPr>
            </w:pPr>
            <w:r w:rsidRPr="00357BA8">
              <w:rPr>
                <w:rFonts w:ascii="Arial" w:eastAsia="Cambria" w:hAnsi="Arial" w:cs="Arial"/>
                <w:b/>
                <w:i/>
                <w:sz w:val="22"/>
                <w:szCs w:val="22"/>
                <w:lang w:eastAsia="en-US"/>
              </w:rPr>
              <w:t>“</w:t>
            </w:r>
            <w:r w:rsidRPr="00357BA8">
              <w:rPr>
                <w:rFonts w:ascii="Arial" w:eastAsia="Calibri" w:hAnsi="Arial" w:cs="Arial"/>
                <w:i/>
                <w:sz w:val="22"/>
                <w:szCs w:val="22"/>
              </w:rPr>
              <w:t>Esta Asesoría Legal considera que no existen elementos que amenacen o comprometan la autonomía universitaria, ello en vista que la propuesta va dirigida a vías nacionales y cantonales.</w:t>
            </w:r>
          </w:p>
          <w:p w:rsidR="00357BA8" w:rsidRPr="00357BA8" w:rsidRDefault="00357BA8" w:rsidP="00357BA8">
            <w:pPr>
              <w:jc w:val="both"/>
              <w:rPr>
                <w:rFonts w:ascii="Arial" w:eastAsia="Calibri" w:hAnsi="Arial" w:cs="Arial"/>
                <w:i/>
                <w:sz w:val="22"/>
                <w:szCs w:val="22"/>
              </w:rPr>
            </w:pPr>
          </w:p>
          <w:p w:rsidR="00357BA8" w:rsidRPr="00357BA8" w:rsidRDefault="00357BA8" w:rsidP="00357BA8">
            <w:pPr>
              <w:jc w:val="both"/>
              <w:rPr>
                <w:rFonts w:ascii="Arial" w:eastAsia="Calibri" w:hAnsi="Arial" w:cs="Arial"/>
                <w:b/>
                <w:i/>
                <w:sz w:val="20"/>
                <w:szCs w:val="20"/>
              </w:rPr>
            </w:pPr>
            <w:r w:rsidRPr="00357BA8">
              <w:rPr>
                <w:rFonts w:ascii="Arial" w:eastAsia="Calibri" w:hAnsi="Arial" w:cs="Arial"/>
                <w:i/>
                <w:sz w:val="22"/>
                <w:szCs w:val="22"/>
              </w:rPr>
              <w:t>No obstante, si bien es cierto existe en este tema una serie de trámites burocráticos que en muchos casos afecta el fin y objetivo último a cumplir, sea la protección del derecho de tránsito, también se</w:t>
            </w:r>
            <w:r w:rsidRPr="00357BA8">
              <w:rPr>
                <w:rFonts w:ascii="Arial" w:eastAsia="Calibri" w:hAnsi="Arial" w:cs="Arial"/>
                <w:sz w:val="22"/>
                <w:szCs w:val="22"/>
              </w:rPr>
              <w:t xml:space="preserve"> </w:t>
            </w:r>
            <w:r w:rsidRPr="00357BA8">
              <w:rPr>
                <w:rFonts w:ascii="Arial" w:eastAsia="Calibri" w:hAnsi="Arial" w:cs="Arial"/>
                <w:i/>
                <w:sz w:val="22"/>
                <w:szCs w:val="22"/>
              </w:rPr>
              <w:t xml:space="preserve">considera que una apertura tan amplia de eliminación de tramites puede ser perjudicial, al medio ambiente, y por   ende en contra de las Leyes nacionales y a los Convenciones Internacionales sobre este tema.  Siendo recomendable encontrar un balance entre el derecho de tránsito y el derecho a un </w:t>
            </w:r>
            <w:r w:rsidRPr="00357BA8">
              <w:rPr>
                <w:rFonts w:ascii="Arial" w:eastAsia="Calibri" w:hAnsi="Arial" w:cs="Arial"/>
                <w:i/>
                <w:sz w:val="22"/>
                <w:szCs w:val="22"/>
              </w:rPr>
              <w:lastRenderedPageBreak/>
              <w:t>ambiente sano. Por lo que las instituciones involucradas podrían coordinar para llegar acuerdos importantes en defensa de ambos derechos</w:t>
            </w:r>
            <w:r w:rsidRPr="00357BA8">
              <w:rPr>
                <w:rFonts w:ascii="Arial" w:eastAsia="Calibri" w:hAnsi="Arial" w:cs="Arial"/>
                <w:b/>
                <w:i/>
                <w:sz w:val="22"/>
                <w:szCs w:val="22"/>
              </w:rPr>
              <w:t>.”</w:t>
            </w:r>
          </w:p>
          <w:p w:rsidR="00357BA8" w:rsidRPr="00357BA8" w:rsidRDefault="00357BA8" w:rsidP="00357BA8">
            <w:pPr>
              <w:jc w:val="both"/>
              <w:rPr>
                <w:rFonts w:ascii="Arial" w:eastAsia="Calibri" w:hAnsi="Arial" w:cs="Arial"/>
                <w:b/>
                <w:i/>
                <w:sz w:val="20"/>
                <w:szCs w:val="20"/>
              </w:rPr>
            </w:pPr>
          </w:p>
          <w:tbl>
            <w:tblPr>
              <w:tblW w:w="3279" w:type="dxa"/>
              <w:tblBorders>
                <w:top w:val="nil"/>
                <w:left w:val="nil"/>
                <w:bottom w:val="nil"/>
                <w:right w:val="nil"/>
              </w:tblBorders>
              <w:tblLayout w:type="fixed"/>
              <w:tblLook w:val="0000" w:firstRow="0" w:lastRow="0" w:firstColumn="0" w:lastColumn="0" w:noHBand="0" w:noVBand="0"/>
            </w:tblPr>
            <w:tblGrid>
              <w:gridCol w:w="3279"/>
            </w:tblGrid>
            <w:tr w:rsidR="00357BA8" w:rsidRPr="00357BA8" w:rsidTr="00771C8E">
              <w:trPr>
                <w:trHeight w:val="108"/>
              </w:trPr>
              <w:tc>
                <w:tcPr>
                  <w:tcW w:w="3279" w:type="dxa"/>
                </w:tcPr>
                <w:p w:rsidR="00357BA8" w:rsidRDefault="00357BA8" w:rsidP="00357BA8">
                  <w:pPr>
                    <w:autoSpaceDE w:val="0"/>
                    <w:autoSpaceDN w:val="0"/>
                    <w:adjustRightInd w:val="0"/>
                    <w:ind w:left="-64" w:right="-91"/>
                    <w:jc w:val="both"/>
                    <w:rPr>
                      <w:rFonts w:ascii="Calibri" w:eastAsiaTheme="minorHAnsi" w:hAnsi="Calibri" w:cs="Calibri"/>
                      <w:color w:val="000000"/>
                      <w:sz w:val="22"/>
                      <w:szCs w:val="22"/>
                      <w:lang w:val="es-CR" w:eastAsia="en-US"/>
                    </w:rPr>
                  </w:pPr>
                  <w:r w:rsidRPr="00357BA8">
                    <w:rPr>
                      <w:rFonts w:ascii="Arial" w:eastAsia="Cambria" w:hAnsi="Arial" w:cs="Arial"/>
                      <w:b/>
                      <w:sz w:val="22"/>
                      <w:szCs w:val="22"/>
                      <w:u w:val="single"/>
                      <w:lang w:val="es-CR" w:eastAsia="en-US"/>
                    </w:rPr>
                    <w:t>Escuela de Arquitectura y Urbanismo</w:t>
                  </w:r>
                  <w:r w:rsidRPr="00357BA8">
                    <w:rPr>
                      <w:rFonts w:ascii="Calibri" w:eastAsiaTheme="minorHAnsi" w:hAnsi="Calibri" w:cs="Calibri"/>
                      <w:color w:val="000000"/>
                      <w:sz w:val="22"/>
                      <w:szCs w:val="22"/>
                      <w:lang w:val="es-CR" w:eastAsia="en-US"/>
                    </w:rPr>
                    <w:t xml:space="preserve"> </w:t>
                  </w:r>
                </w:p>
                <w:p w:rsidR="00771C8E" w:rsidRPr="00357BA8" w:rsidRDefault="00771C8E" w:rsidP="00771C8E">
                  <w:pPr>
                    <w:jc w:val="both"/>
                    <w:rPr>
                      <w:rFonts w:ascii="Arial" w:eastAsia="Calibri" w:hAnsi="Arial" w:cs="Arial"/>
                      <w:sz w:val="22"/>
                      <w:szCs w:val="22"/>
                      <w:lang w:val="es-CR"/>
                    </w:rPr>
                  </w:pPr>
                  <w:r w:rsidRPr="00771C8E">
                    <w:rPr>
                      <w:rFonts w:ascii="Arial" w:eastAsia="Calibri" w:hAnsi="Arial" w:cs="Arial"/>
                      <w:sz w:val="22"/>
                      <w:szCs w:val="22"/>
                      <w:lang w:val="es-CR"/>
                    </w:rPr>
                    <w:t xml:space="preserve">En síntesis la Escuela recomienda: a la Asamblea Legislativa: </w:t>
                  </w:r>
                  <w:bookmarkStart w:id="0" w:name="_GoBack"/>
                  <w:bookmarkEnd w:id="0"/>
                </w:p>
              </w:tc>
            </w:tr>
          </w:tbl>
          <w:p w:rsidR="00357BA8" w:rsidRPr="00357BA8" w:rsidRDefault="00357BA8" w:rsidP="00357BA8">
            <w:pPr>
              <w:jc w:val="both"/>
              <w:rPr>
                <w:rFonts w:ascii="Arial" w:eastAsia="Calibri" w:hAnsi="Arial" w:cs="Arial"/>
                <w:i/>
                <w:sz w:val="22"/>
                <w:szCs w:val="22"/>
              </w:rPr>
            </w:pPr>
            <w:r w:rsidRPr="00357BA8">
              <w:rPr>
                <w:rFonts w:ascii="Arial" w:eastAsia="Calibri" w:hAnsi="Arial" w:cs="Arial"/>
                <w:i/>
                <w:sz w:val="22"/>
                <w:szCs w:val="22"/>
              </w:rPr>
              <w:t xml:space="preserve">No dar apoyo al Art.2.Bis, según lo expuesto anteriormente. </w:t>
            </w:r>
          </w:p>
          <w:p w:rsidR="00357BA8" w:rsidRPr="00357BA8" w:rsidRDefault="00357BA8" w:rsidP="00357BA8">
            <w:pPr>
              <w:jc w:val="both"/>
              <w:rPr>
                <w:rFonts w:ascii="Arial" w:eastAsia="Calibri" w:hAnsi="Arial" w:cs="Arial"/>
                <w:i/>
                <w:sz w:val="22"/>
                <w:szCs w:val="22"/>
              </w:rPr>
            </w:pPr>
            <w:r w:rsidRPr="00357BA8">
              <w:rPr>
                <w:rFonts w:ascii="Arial" w:eastAsia="Calibri" w:hAnsi="Arial" w:cs="Arial"/>
                <w:i/>
                <w:sz w:val="22"/>
                <w:szCs w:val="22"/>
              </w:rPr>
              <w:t>Respecto al Art.2.TER, consideramos si es viable.”</w:t>
            </w:r>
          </w:p>
          <w:p w:rsidR="00357BA8" w:rsidRPr="00357BA8" w:rsidRDefault="00357BA8" w:rsidP="00357BA8">
            <w:pPr>
              <w:autoSpaceDE w:val="0"/>
              <w:autoSpaceDN w:val="0"/>
              <w:adjustRightInd w:val="0"/>
              <w:ind w:left="-64" w:right="-91"/>
              <w:jc w:val="both"/>
              <w:rPr>
                <w:rFonts w:ascii="Arial" w:eastAsia="Calibri" w:hAnsi="Arial" w:cs="Arial"/>
                <w:i/>
                <w:sz w:val="20"/>
                <w:szCs w:val="20"/>
              </w:rPr>
            </w:pPr>
            <w:r w:rsidRPr="00357BA8">
              <w:rPr>
                <w:rFonts w:eastAsiaTheme="minorHAnsi"/>
                <w:color w:val="000000"/>
                <w:lang w:val="es-CR" w:eastAsia="en-US"/>
              </w:rPr>
              <w:t xml:space="preserve"> </w:t>
            </w:r>
            <w:r w:rsidRPr="00357BA8">
              <w:rPr>
                <w:rFonts w:ascii="Arial" w:eastAsia="Cambria" w:hAnsi="Arial" w:cs="Arial"/>
                <w:b/>
                <w:sz w:val="22"/>
                <w:szCs w:val="22"/>
                <w:u w:val="single"/>
                <w:lang w:val="es-CR" w:eastAsia="en-US"/>
              </w:rPr>
              <w:t>Maestría en Ingeniería Vial</w:t>
            </w:r>
          </w:p>
          <w:p w:rsidR="00357BA8" w:rsidRPr="00357BA8" w:rsidRDefault="00357BA8" w:rsidP="00357BA8">
            <w:pPr>
              <w:autoSpaceDE w:val="0"/>
              <w:autoSpaceDN w:val="0"/>
              <w:adjustRightInd w:val="0"/>
              <w:spacing w:after="20"/>
              <w:ind w:left="325" w:hanging="325"/>
              <w:jc w:val="both"/>
              <w:rPr>
                <w:rFonts w:ascii="Arial" w:eastAsiaTheme="minorHAnsi" w:hAnsi="Arial" w:cs="Arial"/>
                <w:i/>
                <w:color w:val="000000"/>
                <w:sz w:val="22"/>
                <w:szCs w:val="22"/>
                <w:lang w:eastAsia="en-US"/>
              </w:rPr>
            </w:pPr>
            <w:r w:rsidRPr="00357BA8">
              <w:rPr>
                <w:rFonts w:ascii="Arial" w:eastAsiaTheme="minorHAnsi" w:hAnsi="Arial" w:cs="Arial"/>
                <w:i/>
                <w:color w:val="000000"/>
                <w:sz w:val="22"/>
                <w:szCs w:val="22"/>
                <w:lang w:eastAsia="en-US"/>
              </w:rPr>
              <w:t xml:space="preserve">“1. El proyecto presenta una propuesta razonable tendiente a facilitar los trámites de construcción de diversos proyectos de infraestructura vial. </w:t>
            </w:r>
          </w:p>
          <w:p w:rsidR="00357BA8" w:rsidRPr="00357BA8" w:rsidRDefault="00357BA8" w:rsidP="00357BA8">
            <w:pPr>
              <w:autoSpaceDE w:val="0"/>
              <w:autoSpaceDN w:val="0"/>
              <w:adjustRightInd w:val="0"/>
              <w:ind w:left="325" w:hanging="325"/>
              <w:jc w:val="both"/>
              <w:rPr>
                <w:rFonts w:ascii="Arial" w:eastAsiaTheme="minorHAnsi" w:hAnsi="Arial" w:cs="Arial"/>
                <w:i/>
                <w:color w:val="000000"/>
                <w:sz w:val="22"/>
                <w:szCs w:val="22"/>
                <w:lang w:eastAsia="en-US"/>
              </w:rPr>
            </w:pPr>
            <w:r w:rsidRPr="00357BA8">
              <w:rPr>
                <w:rFonts w:ascii="Arial" w:eastAsiaTheme="minorHAnsi" w:hAnsi="Arial" w:cs="Arial"/>
                <w:i/>
                <w:color w:val="000000"/>
                <w:sz w:val="22"/>
                <w:szCs w:val="22"/>
                <w:lang w:eastAsia="en-US"/>
              </w:rPr>
              <w:t xml:space="preserve">2. El proyecto mantiene la posibilidad de intervención del Ministerio del Ambiente, lo cual minimiza de alguna forma los riesgos ambientales que pudieran generarse. </w:t>
            </w:r>
          </w:p>
          <w:p w:rsidR="00357BA8" w:rsidRPr="00357BA8" w:rsidRDefault="00357BA8" w:rsidP="00357BA8">
            <w:pPr>
              <w:autoSpaceDE w:val="0"/>
              <w:autoSpaceDN w:val="0"/>
              <w:adjustRightInd w:val="0"/>
              <w:jc w:val="both"/>
              <w:rPr>
                <w:rFonts w:ascii="Arial" w:eastAsiaTheme="minorHAnsi" w:hAnsi="Arial" w:cs="Arial"/>
                <w:i/>
                <w:color w:val="000000"/>
                <w:sz w:val="22"/>
                <w:szCs w:val="22"/>
                <w:lang w:eastAsia="en-US"/>
              </w:rPr>
            </w:pPr>
            <w:r w:rsidRPr="00357BA8">
              <w:rPr>
                <w:rFonts w:ascii="Arial" w:eastAsiaTheme="minorHAnsi" w:hAnsi="Arial" w:cs="Arial"/>
                <w:b/>
                <w:bCs/>
                <w:i/>
                <w:color w:val="000000"/>
                <w:sz w:val="22"/>
                <w:szCs w:val="22"/>
                <w:lang w:eastAsia="en-US"/>
              </w:rPr>
              <w:t xml:space="preserve">Apoyar o no el Proyecto. </w:t>
            </w:r>
          </w:p>
          <w:p w:rsidR="00357BA8" w:rsidRPr="00357BA8" w:rsidRDefault="00357BA8" w:rsidP="00357BA8">
            <w:pPr>
              <w:jc w:val="both"/>
              <w:rPr>
                <w:rFonts w:ascii="Arial" w:eastAsia="Calibri" w:hAnsi="Arial" w:cs="Arial"/>
                <w:i/>
                <w:sz w:val="22"/>
                <w:szCs w:val="22"/>
                <w:lang w:val="es-CR"/>
              </w:rPr>
            </w:pPr>
            <w:r w:rsidRPr="00357BA8">
              <w:rPr>
                <w:rFonts w:ascii="Arial" w:eastAsiaTheme="minorHAnsi" w:hAnsi="Arial" w:cs="Arial"/>
                <w:i/>
                <w:color w:val="000000"/>
                <w:sz w:val="22"/>
                <w:szCs w:val="22"/>
                <w:lang w:val="es-CR" w:eastAsia="en-US"/>
              </w:rPr>
              <w:t>Con base al criterio técnico expuesto por el Ing. Sandoval, se decide comunicar que se apoya la iniciativa.”</w:t>
            </w:r>
          </w:p>
        </w:tc>
      </w:tr>
    </w:tbl>
    <w:p w:rsidR="00357BA8" w:rsidRPr="00357BA8" w:rsidRDefault="00357BA8" w:rsidP="00357BA8">
      <w:pPr>
        <w:rPr>
          <w:rFonts w:ascii="Arial" w:hAnsi="Arial" w:cs="Arial"/>
          <w:sz w:val="22"/>
          <w:szCs w:val="22"/>
          <w:lang w:val="es-CR"/>
        </w:rPr>
      </w:pPr>
    </w:p>
    <w:p w:rsidR="00357BA8" w:rsidRDefault="00357BA8" w:rsidP="00357BA8">
      <w:pPr>
        <w:autoSpaceDE w:val="0"/>
        <w:autoSpaceDN w:val="0"/>
        <w:adjustRightInd w:val="0"/>
        <w:ind w:right="-91"/>
        <w:jc w:val="both"/>
        <w:rPr>
          <w:rFonts w:ascii="Arial" w:hAnsi="Arial" w:cs="Arial"/>
          <w:b/>
          <w:sz w:val="22"/>
          <w:szCs w:val="22"/>
          <w:lang w:val="es-CR"/>
        </w:rPr>
      </w:pPr>
    </w:p>
    <w:p w:rsidR="00357BA8" w:rsidRPr="000E564F" w:rsidRDefault="00357BA8" w:rsidP="00357BA8">
      <w:pPr>
        <w:numPr>
          <w:ilvl w:val="0"/>
          <w:numId w:val="38"/>
        </w:numPr>
        <w:ind w:left="426" w:hanging="426"/>
        <w:jc w:val="both"/>
        <w:rPr>
          <w:rFonts w:ascii="Arial" w:hAnsi="Arial" w:cs="Arial"/>
        </w:rPr>
      </w:pPr>
      <w:r w:rsidRPr="000E564F">
        <w:rPr>
          <w:rFonts w:ascii="Arial" w:hAnsi="Arial" w:cs="Arial"/>
          <w:lang w:val="es-CR"/>
        </w:rPr>
        <w:t>Comunicar.</w:t>
      </w:r>
      <w:r>
        <w:rPr>
          <w:rFonts w:ascii="Arial" w:hAnsi="Arial" w:cs="Arial"/>
          <w:b/>
          <w:lang w:val="es-CR"/>
        </w:rPr>
        <w:t xml:space="preserve">  </w:t>
      </w:r>
      <w:r w:rsidRPr="000E564F">
        <w:rPr>
          <w:rFonts w:ascii="Arial" w:hAnsi="Arial" w:cs="Arial"/>
          <w:b/>
          <w:lang w:val="es-CR"/>
        </w:rPr>
        <w:t>ACUERDO FIRME.</w:t>
      </w:r>
    </w:p>
    <w:p w:rsidR="00357BA8" w:rsidRDefault="00357BA8" w:rsidP="00357BA8">
      <w:pPr>
        <w:autoSpaceDE w:val="0"/>
        <w:autoSpaceDN w:val="0"/>
        <w:adjustRightInd w:val="0"/>
        <w:ind w:right="-91"/>
        <w:jc w:val="both"/>
        <w:rPr>
          <w:rFonts w:ascii="Arial" w:hAnsi="Arial" w:cs="Arial"/>
          <w:b/>
          <w:sz w:val="22"/>
          <w:szCs w:val="22"/>
          <w:lang w:val="es-CR"/>
        </w:rPr>
      </w:pPr>
    </w:p>
    <w:p w:rsidR="00357BA8" w:rsidRPr="00357BA8" w:rsidRDefault="00357BA8" w:rsidP="00357BA8">
      <w:pPr>
        <w:autoSpaceDE w:val="0"/>
        <w:autoSpaceDN w:val="0"/>
        <w:adjustRightInd w:val="0"/>
        <w:ind w:right="-91"/>
        <w:jc w:val="both"/>
        <w:rPr>
          <w:rFonts w:ascii="Arial" w:hAnsi="Arial" w:cs="Arial"/>
          <w:b/>
          <w:sz w:val="22"/>
          <w:szCs w:val="22"/>
          <w:lang w:val="es-CR"/>
        </w:rPr>
      </w:pPr>
    </w:p>
    <w:p w:rsidR="00357BA8" w:rsidRPr="00357BA8" w:rsidRDefault="00357BA8" w:rsidP="00357BA8">
      <w:pPr>
        <w:autoSpaceDE w:val="0"/>
        <w:autoSpaceDN w:val="0"/>
        <w:adjustRightInd w:val="0"/>
        <w:ind w:right="-91"/>
        <w:jc w:val="both"/>
        <w:rPr>
          <w:rFonts w:ascii="Arial" w:hAnsi="Arial" w:cs="Arial"/>
          <w:b/>
          <w:sz w:val="22"/>
          <w:szCs w:val="22"/>
          <w:lang w:val="es-CR"/>
        </w:rPr>
      </w:pPr>
      <w:r w:rsidRPr="00357BA8">
        <w:rPr>
          <w:rFonts w:ascii="Arial" w:hAnsi="Arial" w:cs="Arial"/>
          <w:b/>
          <w:sz w:val="22"/>
          <w:szCs w:val="22"/>
          <w:lang w:val="es-CR"/>
        </w:rPr>
        <w:t xml:space="preserve">PALABRAS CLAVE:   </w:t>
      </w:r>
      <w:r w:rsidRPr="00357BA8">
        <w:rPr>
          <w:rFonts w:ascii="Arial" w:hAnsi="Arial" w:cs="Arial"/>
          <w:sz w:val="22"/>
          <w:szCs w:val="22"/>
          <w:lang w:val="es-CR"/>
        </w:rPr>
        <w:t xml:space="preserve">Proyectos – Ley- </w:t>
      </w:r>
      <w:proofErr w:type="spellStart"/>
      <w:r w:rsidRPr="00357BA8">
        <w:rPr>
          <w:rFonts w:ascii="Arial" w:hAnsi="Arial" w:cs="Arial"/>
          <w:sz w:val="22"/>
          <w:szCs w:val="22"/>
          <w:lang w:val="es-CR"/>
        </w:rPr>
        <w:t>Exps</w:t>
      </w:r>
      <w:proofErr w:type="spellEnd"/>
      <w:r w:rsidRPr="00357BA8">
        <w:rPr>
          <w:rFonts w:ascii="Arial" w:hAnsi="Arial" w:cs="Arial"/>
          <w:sz w:val="22"/>
          <w:szCs w:val="22"/>
          <w:lang w:val="es-CR"/>
        </w:rPr>
        <w:t xml:space="preserve"> - 20.641, y 20.995</w:t>
      </w:r>
    </w:p>
    <w:p w:rsidR="00357BA8" w:rsidRPr="00357BA8" w:rsidRDefault="00357BA8" w:rsidP="00357BA8">
      <w:pPr>
        <w:autoSpaceDE w:val="0"/>
        <w:autoSpaceDN w:val="0"/>
        <w:adjustRightInd w:val="0"/>
        <w:ind w:right="-91"/>
        <w:jc w:val="both"/>
        <w:rPr>
          <w:rFonts w:ascii="Arial" w:hAnsi="Arial" w:cs="Arial"/>
          <w:b/>
          <w:sz w:val="22"/>
          <w:szCs w:val="22"/>
          <w:lang w:val="es-CR"/>
        </w:rPr>
      </w:pPr>
    </w:p>
    <w:p w:rsidR="00357BA8" w:rsidRPr="00357BA8" w:rsidRDefault="00357BA8" w:rsidP="007742A1">
      <w:pPr>
        <w:jc w:val="both"/>
        <w:rPr>
          <w:rFonts w:ascii="Arial" w:eastAsia="Cambria" w:hAnsi="Arial" w:cs="Arial"/>
          <w:lang w:val="es-CR" w:eastAsia="en-US"/>
        </w:rPr>
      </w:pPr>
    </w:p>
    <w:p w:rsidR="00314BAD" w:rsidRDefault="00314BAD" w:rsidP="007742A1">
      <w:pPr>
        <w:jc w:val="both"/>
        <w:rPr>
          <w:rFonts w:ascii="Arial" w:eastAsia="Cambria" w:hAnsi="Arial" w:cs="Arial"/>
          <w:lang w:val="es-ES_tradnl" w:eastAsia="en-US"/>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1D300B">
        <w:trPr>
          <w:trHeight w:val="183"/>
        </w:trPr>
        <w:tc>
          <w:tcPr>
            <w:tcW w:w="4361" w:type="dxa"/>
          </w:tcPr>
          <w:p w:rsidR="00F4695B" w:rsidRPr="00474B22" w:rsidRDefault="00F4695B" w:rsidP="001D300B">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B77B04" w:rsidRPr="004043EC" w:rsidRDefault="00C413F4" w:rsidP="00F41044">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sectPr w:rsidR="00F4104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132" w:rsidRDefault="00851132">
      <w:r>
        <w:separator/>
      </w:r>
    </w:p>
  </w:endnote>
  <w:endnote w:type="continuationSeparator" w:id="0">
    <w:p w:rsidR="00851132" w:rsidRDefault="0085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132" w:rsidRDefault="00851132">
      <w:r>
        <w:separator/>
      </w:r>
    </w:p>
  </w:footnote>
  <w:footnote w:type="continuationSeparator" w:id="0">
    <w:p w:rsidR="00851132" w:rsidRDefault="0085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E3F3C">
      <w:rPr>
        <w:rFonts w:ascii="Arial" w:eastAsia="Cambria" w:hAnsi="Arial" w:cs="Arial"/>
        <w:i/>
        <w:sz w:val="18"/>
        <w:szCs w:val="18"/>
        <w:lang w:val="es-ES_tradnl" w:eastAsia="x-none"/>
      </w:rPr>
      <w:t>1</w:t>
    </w:r>
    <w:r w:rsidR="001D300B">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w:t>
    </w:r>
    <w:r w:rsidR="00314BAD">
      <w:rPr>
        <w:rFonts w:ascii="Arial" w:eastAsia="Cambria" w:hAnsi="Arial" w:cs="Arial"/>
        <w:i/>
        <w:sz w:val="18"/>
        <w:szCs w:val="18"/>
        <w:lang w:val="es-ES_tradnl" w:eastAsia="x-none"/>
      </w:rPr>
      <w:t xml:space="preserve"> </w:t>
    </w:r>
    <w:r w:rsidR="007703DD">
      <w:rPr>
        <w:rFonts w:ascii="Arial" w:eastAsia="Cambria" w:hAnsi="Arial" w:cs="Arial"/>
        <w:i/>
        <w:sz w:val="18"/>
        <w:szCs w:val="18"/>
        <w:lang w:val="es-ES_tradnl" w:eastAsia="x-none"/>
      </w:rPr>
      <w:t>1</w:t>
    </w:r>
    <w:r w:rsidR="00571C76">
      <w:rPr>
        <w:rFonts w:ascii="Arial" w:eastAsia="Cambria" w:hAnsi="Arial" w:cs="Arial"/>
        <w:i/>
        <w:sz w:val="18"/>
        <w:szCs w:val="18"/>
        <w:lang w:val="es-ES_tradnl" w:eastAsia="x-none"/>
      </w:rPr>
      <w:t>4</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9C0A2A">
      <w:rPr>
        <w:rFonts w:ascii="Arial" w:eastAsia="Cambria" w:hAnsi="Arial" w:cs="Arial"/>
        <w:i/>
        <w:sz w:val="18"/>
        <w:szCs w:val="18"/>
        <w:lang w:val="es-ES_tradnl" w:eastAsia="x-none"/>
      </w:rPr>
      <w:t>2</w:t>
    </w:r>
    <w:r w:rsidR="001D300B">
      <w:rPr>
        <w:rFonts w:ascii="Arial" w:eastAsia="Cambria" w:hAnsi="Arial" w:cs="Arial"/>
        <w:i/>
        <w:sz w:val="18"/>
        <w:szCs w:val="18"/>
        <w:lang w:val="es-ES_tradnl" w:eastAsia="x-none"/>
      </w:rPr>
      <w:t>9</w:t>
    </w:r>
    <w:r w:rsidR="005A7222">
      <w:rPr>
        <w:rFonts w:ascii="Arial" w:eastAsia="Cambria" w:hAnsi="Arial" w:cs="Arial"/>
        <w:i/>
        <w:sz w:val="18"/>
        <w:szCs w:val="18"/>
        <w:lang w:val="es-ES_tradnl" w:eastAsia="x-none"/>
      </w:rPr>
      <w:t xml:space="preserve"> de </w:t>
    </w:r>
    <w:r w:rsidR="00571C76">
      <w:rPr>
        <w:rFonts w:ascii="Arial" w:eastAsia="Cambria" w:hAnsi="Arial" w:cs="Arial"/>
        <w:i/>
        <w:sz w:val="18"/>
        <w:szCs w:val="18"/>
        <w:lang w:val="es-ES_tradnl" w:eastAsia="x-none"/>
      </w:rPr>
      <w:t>mayo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771C8E">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58001B"/>
    <w:multiLevelType w:val="hybridMultilevel"/>
    <w:tmpl w:val="37A40CA0"/>
    <w:lvl w:ilvl="0" w:tplc="C4BE44FC">
      <w:start w:val="1"/>
      <w:numFmt w:val="decimal"/>
      <w:lvlText w:val="%1."/>
      <w:lvlJc w:val="left"/>
      <w:pPr>
        <w:ind w:left="360" w:hanging="360"/>
      </w:pPr>
      <w:rPr>
        <w:b/>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911675"/>
    <w:multiLevelType w:val="hybridMultilevel"/>
    <w:tmpl w:val="6C4E444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4" w15:restartNumberingAfterBreak="0">
    <w:nsid w:val="12DB1622"/>
    <w:multiLevelType w:val="hybridMultilevel"/>
    <w:tmpl w:val="3B00C8E4"/>
    <w:lvl w:ilvl="0" w:tplc="78B4FC56">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490C43"/>
    <w:multiLevelType w:val="hybridMultilevel"/>
    <w:tmpl w:val="1DCC784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7653F4C"/>
    <w:multiLevelType w:val="multilevel"/>
    <w:tmpl w:val="269A55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28579F8"/>
    <w:multiLevelType w:val="hybridMultilevel"/>
    <w:tmpl w:val="EDAEE0BE"/>
    <w:lvl w:ilvl="0" w:tplc="80EC530C">
      <w:start w:val="2"/>
      <w:numFmt w:val="lowerLetter"/>
      <w:lvlText w:val="%1."/>
      <w:lvlJc w:val="left"/>
      <w:pPr>
        <w:tabs>
          <w:tab w:val="num" w:pos="360"/>
        </w:tabs>
        <w:ind w:left="36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7AA640C"/>
    <w:multiLevelType w:val="hybridMultilevel"/>
    <w:tmpl w:val="CF02F4C4"/>
    <w:lvl w:ilvl="0" w:tplc="D02A6182">
      <w:start w:val="2"/>
      <w:numFmt w:val="lowerLetter"/>
      <w:lvlText w:val="%1)"/>
      <w:lvlJc w:val="left"/>
      <w:pPr>
        <w:ind w:left="36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474027"/>
    <w:multiLevelType w:val="hybridMultilevel"/>
    <w:tmpl w:val="738A08BC"/>
    <w:lvl w:ilvl="0" w:tplc="94CA73CA">
      <w:start w:val="1"/>
      <w:numFmt w:val="lowerLetter"/>
      <w:lvlText w:val="%1)"/>
      <w:lvlJc w:val="left"/>
      <w:pPr>
        <w:ind w:left="544" w:hanging="51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B3832C3"/>
    <w:multiLevelType w:val="hybridMultilevel"/>
    <w:tmpl w:val="3B908574"/>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1FE12BA"/>
    <w:multiLevelType w:val="hybridMultilevel"/>
    <w:tmpl w:val="7794E638"/>
    <w:lvl w:ilvl="0" w:tplc="B9F81788">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15:restartNumberingAfterBreak="0">
    <w:nsid w:val="34BA7C37"/>
    <w:multiLevelType w:val="hybridMultilevel"/>
    <w:tmpl w:val="6BCA9E00"/>
    <w:lvl w:ilvl="0" w:tplc="FD52B58C">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19"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1ED594C"/>
    <w:multiLevelType w:val="hybridMultilevel"/>
    <w:tmpl w:val="ED0EF1A8"/>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1" w15:restartNumberingAfterBreak="0">
    <w:nsid w:val="43D34625"/>
    <w:multiLevelType w:val="hybridMultilevel"/>
    <w:tmpl w:val="738A08BC"/>
    <w:lvl w:ilvl="0" w:tplc="94CA73CA">
      <w:start w:val="1"/>
      <w:numFmt w:val="lowerLetter"/>
      <w:lvlText w:val="%1)"/>
      <w:lvlJc w:val="left"/>
      <w:pPr>
        <w:ind w:left="544" w:hanging="51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6CC0DE5"/>
    <w:multiLevelType w:val="hybridMultilevel"/>
    <w:tmpl w:val="77D46952"/>
    <w:lvl w:ilvl="0" w:tplc="DA54498A">
      <w:start w:val="5"/>
      <w:numFmt w:val="lowerLetter"/>
      <w:lvlText w:val="%1)"/>
      <w:lvlJc w:val="left"/>
      <w:pPr>
        <w:ind w:left="1068" w:hanging="360"/>
      </w:pPr>
      <w:rPr>
        <w:rFonts w:hint="default"/>
        <w:color w:val="auto"/>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6" w15:restartNumberingAfterBreak="0">
    <w:nsid w:val="5CF200AE"/>
    <w:multiLevelType w:val="hybridMultilevel"/>
    <w:tmpl w:val="6CDCD0D2"/>
    <w:lvl w:ilvl="0" w:tplc="7630838A">
      <w:start w:val="1"/>
      <w:numFmt w:val="decimal"/>
      <w:lvlText w:val="%1."/>
      <w:lvlJc w:val="left"/>
      <w:pPr>
        <w:ind w:left="360" w:hanging="360"/>
      </w:pPr>
      <w:rPr>
        <w:b/>
        <w:i w:val="0"/>
        <w:color w:val="auto"/>
        <w:sz w:val="24"/>
        <w:szCs w:val="24"/>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5E4A789F"/>
    <w:multiLevelType w:val="hybridMultilevel"/>
    <w:tmpl w:val="27343BC8"/>
    <w:lvl w:ilvl="0" w:tplc="E736A9C8">
      <w:start w:val="1"/>
      <w:numFmt w:val="lowerLetter"/>
      <w:lvlText w:val="%1)"/>
      <w:lvlJc w:val="left"/>
      <w:pPr>
        <w:ind w:left="360" w:hanging="360"/>
      </w:pPr>
      <w:rPr>
        <w:rFonts w:hint="default"/>
        <w:color w:val="auto"/>
      </w:rPr>
    </w:lvl>
    <w:lvl w:ilvl="1" w:tplc="140A0019" w:tentative="1">
      <w:start w:val="1"/>
      <w:numFmt w:val="lowerLetter"/>
      <w:lvlText w:val="%2."/>
      <w:lvlJc w:val="left"/>
      <w:pPr>
        <w:ind w:left="360" w:hanging="360"/>
      </w:pPr>
    </w:lvl>
    <w:lvl w:ilvl="2" w:tplc="140A001B" w:tentative="1">
      <w:start w:val="1"/>
      <w:numFmt w:val="lowerRoman"/>
      <w:lvlText w:val="%3."/>
      <w:lvlJc w:val="right"/>
      <w:pPr>
        <w:ind w:left="1080" w:hanging="180"/>
      </w:pPr>
    </w:lvl>
    <w:lvl w:ilvl="3" w:tplc="140A000F" w:tentative="1">
      <w:start w:val="1"/>
      <w:numFmt w:val="decimal"/>
      <w:lvlText w:val="%4."/>
      <w:lvlJc w:val="left"/>
      <w:pPr>
        <w:ind w:left="1800" w:hanging="360"/>
      </w:pPr>
    </w:lvl>
    <w:lvl w:ilvl="4" w:tplc="140A0019" w:tentative="1">
      <w:start w:val="1"/>
      <w:numFmt w:val="lowerLetter"/>
      <w:lvlText w:val="%5."/>
      <w:lvlJc w:val="left"/>
      <w:pPr>
        <w:ind w:left="2520" w:hanging="360"/>
      </w:pPr>
    </w:lvl>
    <w:lvl w:ilvl="5" w:tplc="140A001B" w:tentative="1">
      <w:start w:val="1"/>
      <w:numFmt w:val="lowerRoman"/>
      <w:lvlText w:val="%6."/>
      <w:lvlJc w:val="right"/>
      <w:pPr>
        <w:ind w:left="3240" w:hanging="180"/>
      </w:pPr>
    </w:lvl>
    <w:lvl w:ilvl="6" w:tplc="140A000F" w:tentative="1">
      <w:start w:val="1"/>
      <w:numFmt w:val="decimal"/>
      <w:lvlText w:val="%7."/>
      <w:lvlJc w:val="left"/>
      <w:pPr>
        <w:ind w:left="3960" w:hanging="360"/>
      </w:pPr>
    </w:lvl>
    <w:lvl w:ilvl="7" w:tplc="140A0019" w:tentative="1">
      <w:start w:val="1"/>
      <w:numFmt w:val="lowerLetter"/>
      <w:lvlText w:val="%8."/>
      <w:lvlJc w:val="left"/>
      <w:pPr>
        <w:ind w:left="4680" w:hanging="360"/>
      </w:pPr>
    </w:lvl>
    <w:lvl w:ilvl="8" w:tplc="140A001B" w:tentative="1">
      <w:start w:val="1"/>
      <w:numFmt w:val="lowerRoman"/>
      <w:lvlText w:val="%9."/>
      <w:lvlJc w:val="right"/>
      <w:pPr>
        <w:ind w:left="5400" w:hanging="180"/>
      </w:pPr>
    </w:lvl>
  </w:abstractNum>
  <w:abstractNum w:abstractNumId="28" w15:restartNumberingAfterBreak="0">
    <w:nsid w:val="62B634D6"/>
    <w:multiLevelType w:val="hybridMultilevel"/>
    <w:tmpl w:val="814267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6326768F"/>
    <w:multiLevelType w:val="hybridMultilevel"/>
    <w:tmpl w:val="531A6E9C"/>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30" w15:restartNumberingAfterBreak="0">
    <w:nsid w:val="6399399C"/>
    <w:multiLevelType w:val="hybridMultilevel"/>
    <w:tmpl w:val="ED2EAF30"/>
    <w:lvl w:ilvl="0" w:tplc="446062C6">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9786C3A"/>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2" w15:restartNumberingAfterBreak="0">
    <w:nsid w:val="6B5851CD"/>
    <w:multiLevelType w:val="hybridMultilevel"/>
    <w:tmpl w:val="92DA360A"/>
    <w:lvl w:ilvl="0" w:tplc="DF344760">
      <w:start w:val="1"/>
      <w:numFmt w:val="upperRoman"/>
      <w:lvlText w:val="%1."/>
      <w:lvlJc w:val="left"/>
      <w:pPr>
        <w:ind w:left="720" w:hanging="72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3"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D47097D"/>
    <w:multiLevelType w:val="hybridMultilevel"/>
    <w:tmpl w:val="4D368E9E"/>
    <w:lvl w:ilvl="0" w:tplc="89F4B76C">
      <w:start w:val="1"/>
      <w:numFmt w:val="lowerLetter"/>
      <w:lvlText w:val="%1)"/>
      <w:lvlJc w:val="left"/>
      <w:pPr>
        <w:ind w:left="544" w:hanging="510"/>
      </w:pPr>
    </w:lvl>
    <w:lvl w:ilvl="1" w:tplc="140A0019">
      <w:start w:val="1"/>
      <w:numFmt w:val="lowerLetter"/>
      <w:lvlText w:val="%2."/>
      <w:lvlJc w:val="left"/>
      <w:pPr>
        <w:ind w:left="1114" w:hanging="360"/>
      </w:pPr>
    </w:lvl>
    <w:lvl w:ilvl="2" w:tplc="140A001B">
      <w:start w:val="1"/>
      <w:numFmt w:val="lowerRoman"/>
      <w:lvlText w:val="%3."/>
      <w:lvlJc w:val="right"/>
      <w:pPr>
        <w:ind w:left="1834" w:hanging="180"/>
      </w:pPr>
    </w:lvl>
    <w:lvl w:ilvl="3" w:tplc="140A000F">
      <w:start w:val="1"/>
      <w:numFmt w:val="decimal"/>
      <w:lvlText w:val="%4."/>
      <w:lvlJc w:val="left"/>
      <w:pPr>
        <w:ind w:left="2554" w:hanging="360"/>
      </w:pPr>
    </w:lvl>
    <w:lvl w:ilvl="4" w:tplc="140A0019">
      <w:start w:val="1"/>
      <w:numFmt w:val="lowerLetter"/>
      <w:lvlText w:val="%5."/>
      <w:lvlJc w:val="left"/>
      <w:pPr>
        <w:ind w:left="3274" w:hanging="360"/>
      </w:pPr>
    </w:lvl>
    <w:lvl w:ilvl="5" w:tplc="140A001B">
      <w:start w:val="1"/>
      <w:numFmt w:val="lowerRoman"/>
      <w:lvlText w:val="%6."/>
      <w:lvlJc w:val="right"/>
      <w:pPr>
        <w:ind w:left="3994" w:hanging="180"/>
      </w:pPr>
    </w:lvl>
    <w:lvl w:ilvl="6" w:tplc="140A000F">
      <w:start w:val="1"/>
      <w:numFmt w:val="decimal"/>
      <w:lvlText w:val="%7."/>
      <w:lvlJc w:val="left"/>
      <w:pPr>
        <w:ind w:left="4714" w:hanging="360"/>
      </w:pPr>
    </w:lvl>
    <w:lvl w:ilvl="7" w:tplc="140A0019">
      <w:start w:val="1"/>
      <w:numFmt w:val="lowerLetter"/>
      <w:lvlText w:val="%8."/>
      <w:lvlJc w:val="left"/>
      <w:pPr>
        <w:ind w:left="5434" w:hanging="360"/>
      </w:pPr>
    </w:lvl>
    <w:lvl w:ilvl="8" w:tplc="140A001B">
      <w:start w:val="1"/>
      <w:numFmt w:val="lowerRoman"/>
      <w:lvlText w:val="%9."/>
      <w:lvlJc w:val="right"/>
      <w:pPr>
        <w:ind w:left="6154" w:hanging="180"/>
      </w:pPr>
    </w:lvl>
  </w:abstractNum>
  <w:abstractNum w:abstractNumId="35"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48722D7"/>
    <w:multiLevelType w:val="hybridMultilevel"/>
    <w:tmpl w:val="68B08484"/>
    <w:lvl w:ilvl="0" w:tplc="5128BA4C">
      <w:start w:val="1"/>
      <w:numFmt w:val="lowerLetter"/>
      <w:lvlText w:val="%1."/>
      <w:lvlJc w:val="left"/>
      <w:pPr>
        <w:ind w:left="720" w:hanging="360"/>
      </w:pPr>
      <w:rPr>
        <w:b/>
        <w:strike w:val="0"/>
        <w:sz w:val="24"/>
        <w:szCs w:val="24"/>
      </w:rPr>
    </w:lvl>
    <w:lvl w:ilvl="1" w:tplc="140A0019">
      <w:start w:val="1"/>
      <w:numFmt w:val="lowerLetter"/>
      <w:lvlText w:val="%2."/>
      <w:lvlJc w:val="left"/>
      <w:pPr>
        <w:ind w:left="1440" w:hanging="360"/>
      </w:pPr>
    </w:lvl>
    <w:lvl w:ilvl="2" w:tplc="A0765A16">
      <w:start w:val="1"/>
      <w:numFmt w:val="lowerRoman"/>
      <w:lvlText w:val="%3."/>
      <w:lvlJc w:val="left"/>
      <w:pPr>
        <w:ind w:left="2160" w:hanging="180"/>
      </w:pPr>
      <w:rPr>
        <w:rFonts w:hint="default"/>
        <w:b/>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 w:numId="3">
    <w:abstractNumId w:val="17"/>
  </w:num>
  <w:num w:numId="4">
    <w:abstractNumId w:val="23"/>
  </w:num>
  <w:num w:numId="5">
    <w:abstractNumId w:val="39"/>
  </w:num>
  <w:num w:numId="6">
    <w:abstractNumId w:val="16"/>
  </w:num>
  <w:num w:numId="7">
    <w:abstractNumId w:val="14"/>
  </w:num>
  <w:num w:numId="8">
    <w:abstractNumId w:val="24"/>
  </w:num>
  <w:num w:numId="9">
    <w:abstractNumId w:val="35"/>
  </w:num>
  <w:num w:numId="10">
    <w:abstractNumId w:val="22"/>
  </w:num>
  <w:num w:numId="11">
    <w:abstractNumId w:val="18"/>
  </w:num>
  <w:num w:numId="12">
    <w:abstractNumId w:val="38"/>
  </w:num>
  <w:num w:numId="13">
    <w:abstractNumId w:val="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0"/>
  </w:num>
  <w:num w:numId="17">
    <w:abstractNumId w:val="19"/>
  </w:num>
  <w:num w:numId="18">
    <w:abstractNumId w:val="10"/>
  </w:num>
  <w:num w:numId="19">
    <w:abstractNumId w:val="28"/>
  </w:num>
  <w:num w:numId="20">
    <w:abstractNumId w:val="3"/>
  </w:num>
  <w:num w:numId="21">
    <w:abstractNumId w:val="29"/>
  </w:num>
  <w:num w:numId="22">
    <w:abstractNumId w:val="20"/>
  </w:num>
  <w:num w:numId="23">
    <w:abstractNumId w:val="8"/>
  </w:num>
  <w:num w:numId="24">
    <w:abstractNumId w:val="13"/>
  </w:num>
  <w:num w:numId="25">
    <w:abstractNumId w:val="33"/>
  </w:num>
  <w:num w:numId="26">
    <w:abstractNumId w:val="2"/>
  </w:num>
  <w:num w:numId="27">
    <w:abstractNumId w:val="32"/>
  </w:num>
  <w:num w:numId="28">
    <w:abstractNumId w:val="36"/>
  </w:num>
  <w:num w:numId="29">
    <w:abstractNumId w:val="27"/>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1"/>
  </w:num>
  <w:num w:numId="33">
    <w:abstractNumId w:val="5"/>
  </w:num>
  <w:num w:numId="34">
    <w:abstractNumId w:val="9"/>
  </w:num>
  <w:num w:numId="35">
    <w:abstractNumId w:val="26"/>
  </w:num>
  <w:num w:numId="36">
    <w:abstractNumId w:val="25"/>
  </w:num>
  <w:num w:numId="37">
    <w:abstractNumId w:val="15"/>
  </w:num>
  <w:num w:numId="38">
    <w:abstractNumId w:val="12"/>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3A22"/>
    <w:rsid w:val="000152E6"/>
    <w:rsid w:val="00017DE2"/>
    <w:rsid w:val="00020858"/>
    <w:rsid w:val="000213DD"/>
    <w:rsid w:val="00023BE0"/>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5FF"/>
    <w:rsid w:val="001A7DF9"/>
    <w:rsid w:val="001B1E0E"/>
    <w:rsid w:val="001B208D"/>
    <w:rsid w:val="001B59CC"/>
    <w:rsid w:val="001B7AB0"/>
    <w:rsid w:val="001C1124"/>
    <w:rsid w:val="001C1335"/>
    <w:rsid w:val="001C1C6A"/>
    <w:rsid w:val="001C54CE"/>
    <w:rsid w:val="001D300B"/>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0530C"/>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6E7"/>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095D"/>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5FFB"/>
    <w:rsid w:val="002F6367"/>
    <w:rsid w:val="00300778"/>
    <w:rsid w:val="003011A3"/>
    <w:rsid w:val="0030153B"/>
    <w:rsid w:val="00301B0B"/>
    <w:rsid w:val="00302A99"/>
    <w:rsid w:val="003042E7"/>
    <w:rsid w:val="003047F1"/>
    <w:rsid w:val="00305BC2"/>
    <w:rsid w:val="00310865"/>
    <w:rsid w:val="00314BAD"/>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57BA8"/>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82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43EC"/>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46E4B"/>
    <w:rsid w:val="00554E8E"/>
    <w:rsid w:val="005578CB"/>
    <w:rsid w:val="005579A5"/>
    <w:rsid w:val="00561FD4"/>
    <w:rsid w:val="00563417"/>
    <w:rsid w:val="00563E83"/>
    <w:rsid w:val="005653A1"/>
    <w:rsid w:val="0056674D"/>
    <w:rsid w:val="00570916"/>
    <w:rsid w:val="00571C7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4A5"/>
    <w:rsid w:val="00647711"/>
    <w:rsid w:val="00651E73"/>
    <w:rsid w:val="0065208E"/>
    <w:rsid w:val="00653936"/>
    <w:rsid w:val="00656B1D"/>
    <w:rsid w:val="00657913"/>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03DD"/>
    <w:rsid w:val="00771193"/>
    <w:rsid w:val="00771C8E"/>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08FD"/>
    <w:rsid w:val="00841F61"/>
    <w:rsid w:val="008434BA"/>
    <w:rsid w:val="00845D24"/>
    <w:rsid w:val="00845DBC"/>
    <w:rsid w:val="00851093"/>
    <w:rsid w:val="00851132"/>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26A7"/>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0A2A"/>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8F9"/>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A27"/>
    <w:rsid w:val="00C64580"/>
    <w:rsid w:val="00C64624"/>
    <w:rsid w:val="00C65E08"/>
    <w:rsid w:val="00C67192"/>
    <w:rsid w:val="00C70F02"/>
    <w:rsid w:val="00C718B7"/>
    <w:rsid w:val="00C71968"/>
    <w:rsid w:val="00C73715"/>
    <w:rsid w:val="00C74064"/>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43D2"/>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29A7"/>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46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434A"/>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855949"/>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57BA8"/>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B1865-FC86-42A2-8DBD-C203D408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5</Pages>
  <Words>1174</Words>
  <Characters>6458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147</cp:revision>
  <cp:lastPrinted>2019-05-22T20:18:00Z</cp:lastPrinted>
  <dcterms:created xsi:type="dcterms:W3CDTF">2018-05-02T21:37:00Z</dcterms:created>
  <dcterms:modified xsi:type="dcterms:W3CDTF">2019-05-29T21:00:00Z</dcterms:modified>
</cp:coreProperties>
</file>