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6C17E4">
        <w:rPr>
          <w:rFonts w:ascii="Arial" w:hAnsi="Arial" w:cs="Arial"/>
          <w:b/>
          <w:bCs/>
          <w:iCs/>
          <w:sz w:val="26"/>
          <w:szCs w:val="22"/>
          <w:lang w:val="es-CR"/>
        </w:rPr>
        <w:t>400</w:t>
      </w:r>
      <w:r w:rsidRPr="00D958BC">
        <w:rPr>
          <w:rFonts w:ascii="Arial" w:hAnsi="Arial" w:cs="Arial"/>
          <w:b/>
          <w:bCs/>
          <w:iCs/>
          <w:sz w:val="26"/>
          <w:szCs w:val="22"/>
          <w:lang w:val="es-CR"/>
        </w:rPr>
        <w:t>-201</w:t>
      </w:r>
      <w:r w:rsidR="00C70F02">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ED72F3" w:rsidRPr="003677EC" w:rsidRDefault="00314BAD" w:rsidP="00456ABA">
            <w:pPr>
              <w:jc w:val="both"/>
              <w:rPr>
                <w:rFonts w:ascii="Arial" w:eastAsia="Cambria" w:hAnsi="Arial" w:cs="Arial"/>
                <w:sz w:val="20"/>
                <w:szCs w:val="20"/>
                <w:lang w:val="es-ES_tradnl" w:eastAsia="en-US"/>
              </w:rPr>
            </w:pPr>
            <w:r>
              <w:rPr>
                <w:rFonts w:ascii="Arial" w:eastAsia="Cambria" w:hAnsi="Arial" w:cs="Arial"/>
                <w:sz w:val="22"/>
                <w:szCs w:val="22"/>
                <w:lang w:val="es-ES_tradnl" w:eastAsia="en-US"/>
              </w:rPr>
              <w:t xml:space="preserve"> </w:t>
            </w:r>
            <w:r w:rsidR="00CC7CB5" w:rsidRPr="003677EC">
              <w:rPr>
                <w:rFonts w:ascii="Arial" w:eastAsia="Cambria" w:hAnsi="Arial" w:cs="Arial"/>
                <w:sz w:val="20"/>
                <w:szCs w:val="20"/>
                <w:lang w:val="es-ES_tradnl" w:eastAsia="en-US"/>
              </w:rPr>
              <w:t>Dr. Julio Calvo Alvarado</w:t>
            </w:r>
            <w:r w:rsidR="0090700F" w:rsidRPr="003677EC">
              <w:rPr>
                <w:rFonts w:ascii="Arial" w:eastAsia="Cambria" w:hAnsi="Arial" w:cs="Arial"/>
                <w:sz w:val="20"/>
                <w:szCs w:val="20"/>
                <w:lang w:val="es-ES_tradnl" w:eastAsia="en-US"/>
              </w:rPr>
              <w:t>, Rector</w:t>
            </w:r>
            <w:r w:rsidR="00CC7CB5" w:rsidRPr="003677EC">
              <w:rPr>
                <w:rFonts w:ascii="Arial" w:eastAsia="Cambria" w:hAnsi="Arial" w:cs="Arial"/>
                <w:sz w:val="20"/>
                <w:szCs w:val="20"/>
                <w:lang w:val="es-ES_tradnl" w:eastAsia="en-US"/>
              </w:rPr>
              <w:t xml:space="preserve"> </w:t>
            </w:r>
          </w:p>
          <w:p w:rsidR="004D4C62" w:rsidRPr="003677EC" w:rsidRDefault="004D4C62" w:rsidP="00456ABA">
            <w:pPr>
              <w:jc w:val="both"/>
              <w:rPr>
                <w:rFonts w:ascii="Arial" w:eastAsia="Cambria" w:hAnsi="Arial" w:cs="Arial"/>
                <w:sz w:val="20"/>
                <w:szCs w:val="20"/>
                <w:lang w:val="es-ES_tradnl" w:eastAsia="en-US"/>
              </w:rPr>
            </w:pPr>
            <w:r w:rsidRPr="003677EC">
              <w:rPr>
                <w:rFonts w:ascii="Arial" w:eastAsia="Cambria" w:hAnsi="Arial" w:cs="Arial"/>
                <w:sz w:val="20"/>
                <w:szCs w:val="20"/>
                <w:lang w:val="es-ES_tradnl" w:eastAsia="en-US"/>
              </w:rPr>
              <w:t xml:space="preserve"> </w:t>
            </w:r>
            <w:r w:rsidRPr="003677EC">
              <w:rPr>
                <w:rFonts w:ascii="Arial" w:eastAsia="Cambria" w:hAnsi="Arial" w:cs="Arial"/>
                <w:sz w:val="20"/>
                <w:szCs w:val="20"/>
                <w:lang w:val="es-ES_tradnl" w:eastAsia="en-US"/>
              </w:rPr>
              <w:t>Lic. Marcelo Prieto Jiménez, Presidente</w:t>
            </w:r>
            <w:r w:rsidRPr="003677EC">
              <w:rPr>
                <w:rFonts w:ascii="Arial" w:eastAsia="Cambria" w:hAnsi="Arial" w:cs="Arial"/>
                <w:sz w:val="20"/>
                <w:szCs w:val="20"/>
                <w:lang w:val="es-ES_tradnl" w:eastAsia="en-US"/>
              </w:rPr>
              <w:t xml:space="preserve"> Consejo Nacional de Rectores </w:t>
            </w:r>
          </w:p>
          <w:p w:rsidR="004D4C62" w:rsidRPr="003677EC" w:rsidRDefault="004D4C62" w:rsidP="00456ABA">
            <w:pPr>
              <w:jc w:val="both"/>
              <w:rPr>
                <w:rFonts w:ascii="Arial" w:eastAsia="Cambria" w:hAnsi="Arial" w:cs="Arial"/>
                <w:sz w:val="20"/>
                <w:szCs w:val="20"/>
                <w:lang w:val="es-ES_tradnl" w:eastAsia="en-US"/>
              </w:rPr>
            </w:pPr>
            <w:r w:rsidRPr="003677EC">
              <w:rPr>
                <w:rFonts w:ascii="Arial" w:eastAsia="Cambria" w:hAnsi="Arial" w:cs="Arial"/>
                <w:sz w:val="20"/>
                <w:szCs w:val="20"/>
                <w:lang w:val="es-ES_tradnl" w:eastAsia="en-US"/>
              </w:rPr>
              <w:t xml:space="preserve"> Sr. Carlos Alvarado Quesada, Presidente de la República de Costa Rica</w:t>
            </w:r>
          </w:p>
          <w:p w:rsidR="009531F6" w:rsidRPr="003677EC" w:rsidRDefault="004D4C62" w:rsidP="009531F6">
            <w:pPr>
              <w:ind w:left="45"/>
              <w:jc w:val="both"/>
              <w:rPr>
                <w:rFonts w:ascii="Arial" w:eastAsia="Cambria" w:hAnsi="Arial" w:cs="Arial"/>
                <w:sz w:val="20"/>
                <w:szCs w:val="20"/>
                <w:lang w:val="es-ES_tradnl" w:eastAsia="en-US"/>
              </w:rPr>
            </w:pPr>
            <w:r w:rsidRPr="003677EC">
              <w:rPr>
                <w:rFonts w:ascii="Arial" w:eastAsia="Cambria" w:hAnsi="Arial" w:cs="Arial"/>
                <w:sz w:val="20"/>
                <w:szCs w:val="20"/>
                <w:lang w:val="es-ES_tradnl" w:eastAsia="en-US"/>
              </w:rPr>
              <w:t xml:space="preserve">Señores </w:t>
            </w:r>
            <w:r w:rsidR="009531F6" w:rsidRPr="009531F6">
              <w:rPr>
                <w:rFonts w:ascii="Arial" w:eastAsia="Cambria" w:hAnsi="Arial" w:cs="Arial"/>
                <w:sz w:val="20"/>
                <w:szCs w:val="20"/>
                <w:lang w:val="es-ES_tradnl" w:eastAsia="en-US"/>
              </w:rPr>
              <w:t>Consejo Universitario</w:t>
            </w:r>
            <w:r w:rsidR="009531F6" w:rsidRPr="003677EC">
              <w:rPr>
                <w:rFonts w:ascii="Arial" w:eastAsia="Cambria" w:hAnsi="Arial" w:cs="Arial"/>
                <w:sz w:val="20"/>
                <w:szCs w:val="20"/>
                <w:lang w:val="es-ES_tradnl" w:eastAsia="en-US"/>
              </w:rPr>
              <w:t>, Universidad de Costa Rica</w:t>
            </w:r>
          </w:p>
          <w:p w:rsidR="004D4C62" w:rsidRPr="003677EC" w:rsidRDefault="004D4C62" w:rsidP="009531F6">
            <w:pPr>
              <w:ind w:left="45"/>
              <w:jc w:val="both"/>
              <w:rPr>
                <w:rFonts w:ascii="Arial" w:eastAsia="Cambria" w:hAnsi="Arial" w:cs="Arial"/>
                <w:sz w:val="20"/>
                <w:szCs w:val="20"/>
                <w:lang w:val="es-ES_tradnl" w:eastAsia="en-US"/>
              </w:rPr>
            </w:pPr>
            <w:r w:rsidRPr="003677EC">
              <w:rPr>
                <w:rFonts w:ascii="Arial" w:eastAsia="Cambria" w:hAnsi="Arial" w:cs="Arial"/>
                <w:sz w:val="20"/>
                <w:szCs w:val="20"/>
                <w:lang w:val="es-ES_tradnl" w:eastAsia="en-US"/>
              </w:rPr>
              <w:t xml:space="preserve">Señores Consejo Universitario, Universidad Nacional </w:t>
            </w:r>
          </w:p>
          <w:p w:rsidR="004D4C62" w:rsidRPr="003677EC" w:rsidRDefault="004D4C62" w:rsidP="009531F6">
            <w:pPr>
              <w:ind w:left="45"/>
              <w:jc w:val="both"/>
              <w:rPr>
                <w:rFonts w:ascii="Arial" w:eastAsia="Cambria" w:hAnsi="Arial" w:cs="Arial"/>
                <w:sz w:val="20"/>
                <w:szCs w:val="20"/>
                <w:lang w:val="es-ES_tradnl" w:eastAsia="en-US"/>
              </w:rPr>
            </w:pPr>
            <w:r w:rsidRPr="003677EC">
              <w:rPr>
                <w:rFonts w:ascii="Arial" w:eastAsia="Cambria" w:hAnsi="Arial" w:cs="Arial"/>
                <w:sz w:val="20"/>
                <w:szCs w:val="20"/>
                <w:lang w:val="es-ES_tradnl" w:eastAsia="en-US"/>
              </w:rPr>
              <w:t>Señores Consejo Universitario, Universidad Técnica Nacional</w:t>
            </w:r>
          </w:p>
          <w:p w:rsidR="00855AA3" w:rsidRPr="003677EC" w:rsidRDefault="00855AA3" w:rsidP="009531F6">
            <w:pPr>
              <w:ind w:left="45"/>
              <w:jc w:val="both"/>
              <w:rPr>
                <w:rFonts w:ascii="Arial" w:eastAsia="Cambria" w:hAnsi="Arial" w:cs="Arial"/>
                <w:sz w:val="20"/>
                <w:szCs w:val="20"/>
                <w:lang w:val="es-ES_tradnl" w:eastAsia="en-US"/>
              </w:rPr>
            </w:pPr>
            <w:r w:rsidRPr="003677EC">
              <w:rPr>
                <w:rFonts w:ascii="Arial" w:eastAsia="Cambria" w:hAnsi="Arial" w:cs="Arial"/>
                <w:sz w:val="20"/>
                <w:szCs w:val="20"/>
                <w:lang w:val="es-ES_tradnl" w:eastAsia="en-US"/>
              </w:rPr>
              <w:t>Señores Consejo Universitario, UNED</w:t>
            </w:r>
          </w:p>
          <w:p w:rsidR="006B1B55" w:rsidRPr="003677EC" w:rsidRDefault="00855AA3" w:rsidP="00855AA3">
            <w:pPr>
              <w:jc w:val="both"/>
              <w:rPr>
                <w:rFonts w:ascii="Arial" w:eastAsia="Cambria" w:hAnsi="Arial" w:cs="Arial"/>
                <w:sz w:val="20"/>
                <w:szCs w:val="20"/>
                <w:lang w:val="es-ES_tradnl" w:eastAsia="en-US"/>
              </w:rPr>
            </w:pPr>
            <w:r w:rsidRPr="003677EC">
              <w:rPr>
                <w:rFonts w:ascii="Arial" w:eastAsia="Cambria" w:hAnsi="Arial" w:cs="Arial"/>
                <w:sz w:val="20"/>
                <w:szCs w:val="20"/>
                <w:lang w:val="es-ES_tradnl" w:eastAsia="en-US"/>
              </w:rPr>
              <w:t>Srta.</w:t>
            </w:r>
            <w:r w:rsidR="006C17E4" w:rsidRPr="003677EC">
              <w:rPr>
                <w:rFonts w:ascii="Arial" w:eastAsia="Cambria" w:hAnsi="Arial" w:cs="Arial"/>
                <w:sz w:val="20"/>
                <w:szCs w:val="20"/>
                <w:lang w:val="es-ES_tradnl" w:eastAsia="en-US"/>
              </w:rPr>
              <w:t xml:space="preserve"> Andrea Chacón </w:t>
            </w:r>
            <w:proofErr w:type="spellStart"/>
            <w:r w:rsidR="006C17E4" w:rsidRPr="003677EC">
              <w:rPr>
                <w:rFonts w:ascii="Arial" w:eastAsia="Cambria" w:hAnsi="Arial" w:cs="Arial"/>
                <w:sz w:val="20"/>
                <w:szCs w:val="20"/>
                <w:lang w:val="es-ES_tradnl" w:eastAsia="en-US"/>
              </w:rPr>
              <w:t>Chacón</w:t>
            </w:r>
            <w:proofErr w:type="spellEnd"/>
            <w:r w:rsidRPr="003677EC">
              <w:rPr>
                <w:rFonts w:ascii="Arial" w:eastAsia="Cambria" w:hAnsi="Arial" w:cs="Arial"/>
                <w:sz w:val="20"/>
                <w:szCs w:val="20"/>
                <w:lang w:val="es-ES_tradnl" w:eastAsia="en-US"/>
              </w:rPr>
              <w:t>,</w:t>
            </w:r>
            <w:r w:rsidR="006C17E4" w:rsidRPr="003677EC">
              <w:rPr>
                <w:rFonts w:ascii="Arial" w:eastAsia="Cambria" w:hAnsi="Arial" w:cs="Arial"/>
                <w:sz w:val="20"/>
                <w:szCs w:val="20"/>
                <w:lang w:val="es-ES_tradnl" w:eastAsia="en-US"/>
              </w:rPr>
              <w:t xml:space="preserve"> </w:t>
            </w:r>
            <w:r w:rsidRPr="003677EC">
              <w:rPr>
                <w:rFonts w:ascii="Arial" w:eastAsia="Cambria" w:hAnsi="Arial" w:cs="Arial"/>
                <w:sz w:val="20"/>
                <w:szCs w:val="20"/>
                <w:lang w:val="es-ES_tradnl" w:eastAsia="en-US"/>
              </w:rPr>
              <w:t xml:space="preserve">Presidenta Federación de Estudiantes de la UCR </w:t>
            </w:r>
          </w:p>
          <w:p w:rsidR="007205DA" w:rsidRPr="003677EC" w:rsidRDefault="007205DA" w:rsidP="00855AA3">
            <w:pPr>
              <w:jc w:val="both"/>
              <w:rPr>
                <w:rFonts w:ascii="Arial" w:eastAsia="Cambria" w:hAnsi="Arial" w:cs="Arial"/>
                <w:sz w:val="20"/>
                <w:szCs w:val="20"/>
                <w:lang w:val="es-ES_tradnl" w:eastAsia="en-US"/>
              </w:rPr>
            </w:pPr>
            <w:proofErr w:type="spellStart"/>
            <w:r w:rsidRPr="003677EC">
              <w:rPr>
                <w:rFonts w:ascii="Arial" w:eastAsia="Cambria" w:hAnsi="Arial" w:cs="Arial"/>
                <w:sz w:val="20"/>
                <w:szCs w:val="20"/>
                <w:lang w:val="es-ES_tradnl" w:eastAsia="en-US"/>
              </w:rPr>
              <w:t>M.Sc</w:t>
            </w:r>
            <w:proofErr w:type="spellEnd"/>
            <w:r w:rsidRPr="003677EC">
              <w:rPr>
                <w:rFonts w:ascii="Arial" w:eastAsia="Cambria" w:hAnsi="Arial" w:cs="Arial"/>
                <w:sz w:val="20"/>
                <w:szCs w:val="20"/>
                <w:lang w:val="es-ES_tradnl" w:eastAsia="en-US"/>
              </w:rPr>
              <w:t xml:space="preserve">. Carla Garita </w:t>
            </w:r>
            <w:r w:rsidR="006C17E4" w:rsidRPr="003677EC">
              <w:rPr>
                <w:rFonts w:ascii="Arial" w:eastAsia="Cambria" w:hAnsi="Arial" w:cs="Arial"/>
                <w:sz w:val="20"/>
                <w:szCs w:val="20"/>
                <w:lang w:val="es-ES_tradnl" w:eastAsia="en-US"/>
              </w:rPr>
              <w:t>Granados, Directora Oficina de Comunicación y Mercadeo</w:t>
            </w:r>
          </w:p>
          <w:p w:rsidR="007205DA" w:rsidRPr="003677EC" w:rsidRDefault="007205DA" w:rsidP="00855AA3">
            <w:pPr>
              <w:jc w:val="both"/>
              <w:rPr>
                <w:rFonts w:ascii="Arial" w:eastAsia="Cambria" w:hAnsi="Arial" w:cs="Arial"/>
                <w:sz w:val="20"/>
                <w:szCs w:val="20"/>
                <w:lang w:val="es-ES_tradnl" w:eastAsia="en-US"/>
              </w:rPr>
            </w:pPr>
            <w:r w:rsidRPr="003677EC">
              <w:rPr>
                <w:rFonts w:ascii="Arial" w:eastAsia="Cambria" w:hAnsi="Arial" w:cs="Arial"/>
                <w:sz w:val="20"/>
                <w:szCs w:val="20"/>
                <w:lang w:val="es-ES_tradnl" w:eastAsia="en-US"/>
              </w:rPr>
              <w:t xml:space="preserve">Comunidad Institucional </w:t>
            </w:r>
          </w:p>
          <w:p w:rsidR="00855AA3" w:rsidRPr="00F548D2" w:rsidRDefault="00855AA3" w:rsidP="00855AA3">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BD38AF" w:rsidP="00AA61D4">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A</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E. Ana Damaris Quesada Murillo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Directora Ejecutiva</w:t>
            </w:r>
            <w:r w:rsidR="00D66ACE">
              <w:rPr>
                <w:rFonts w:ascii="Arial" w:eastAsia="Cambria" w:hAnsi="Arial" w:cs="Arial"/>
                <w:sz w:val="22"/>
                <w:szCs w:val="22"/>
                <w:lang w:val="es-ES_tradnl" w:eastAsia="en-US"/>
              </w:rPr>
              <w:t xml:space="preserve"> </w:t>
            </w:r>
          </w:p>
          <w:p w:rsidR="007742A1" w:rsidRPr="008E0D8C" w:rsidRDefault="00BD38AF"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008D7E9D"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FD534B"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w:t>
            </w:r>
            <w:r w:rsidR="00363DC9">
              <w:rPr>
                <w:rFonts w:ascii="Arial" w:eastAsia="Cambria" w:hAnsi="Arial" w:cs="Arial"/>
                <w:b/>
                <w:sz w:val="22"/>
                <w:szCs w:val="22"/>
                <w:lang w:val="es-ES_tradnl" w:eastAsia="en-US"/>
              </w:rPr>
              <w:t>9</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571C76">
              <w:rPr>
                <w:rFonts w:ascii="Arial" w:eastAsia="Cambria" w:hAnsi="Arial" w:cs="Arial"/>
                <w:b/>
                <w:sz w:val="22"/>
                <w:szCs w:val="22"/>
                <w:lang w:val="es-ES_tradnl" w:eastAsia="en-US"/>
              </w:rPr>
              <w:t>mayo</w:t>
            </w:r>
            <w:r w:rsidR="00D76019">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9531F6" w:rsidRDefault="00FF209C" w:rsidP="009531F6">
            <w:pPr>
              <w:jc w:val="both"/>
              <w:rPr>
                <w:rFonts w:ascii="Arial" w:hAnsi="Arial" w:cs="Arial"/>
                <w:b/>
                <w:sz w:val="22"/>
                <w:szCs w:val="22"/>
                <w:lang w:val="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1E3F3C">
              <w:rPr>
                <w:rFonts w:ascii="Arial" w:eastAsia="Calibri" w:hAnsi="Arial" w:cs="Arial"/>
                <w:b/>
                <w:sz w:val="22"/>
                <w:szCs w:val="22"/>
              </w:rPr>
              <w:t>1</w:t>
            </w:r>
            <w:r w:rsidR="00363DC9">
              <w:rPr>
                <w:rFonts w:ascii="Arial" w:eastAsia="Calibri" w:hAnsi="Arial" w:cs="Arial"/>
                <w:b/>
                <w:sz w:val="22"/>
                <w:szCs w:val="22"/>
              </w:rPr>
              <w:t>9</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FD534B">
              <w:rPr>
                <w:rFonts w:ascii="Arial" w:eastAsia="Calibri" w:hAnsi="Arial" w:cs="Arial"/>
                <w:b/>
                <w:sz w:val="22"/>
                <w:szCs w:val="22"/>
              </w:rPr>
              <w:t>1</w:t>
            </w:r>
            <w:r w:rsidR="003D0A41">
              <w:rPr>
                <w:rFonts w:ascii="Arial" w:eastAsia="Calibri" w:hAnsi="Arial" w:cs="Arial"/>
                <w:b/>
                <w:sz w:val="22"/>
                <w:szCs w:val="22"/>
              </w:rPr>
              <w:t>6</w:t>
            </w:r>
            <w:r w:rsidR="007742A1" w:rsidRPr="008F0835">
              <w:rPr>
                <w:rFonts w:ascii="Arial" w:eastAsia="Calibri" w:hAnsi="Arial" w:cs="Arial"/>
                <w:b/>
                <w:sz w:val="22"/>
                <w:szCs w:val="22"/>
              </w:rPr>
              <w:t xml:space="preserve"> del </w:t>
            </w:r>
            <w:r w:rsidR="00FD534B">
              <w:rPr>
                <w:rFonts w:ascii="Arial" w:eastAsia="Calibri" w:hAnsi="Arial" w:cs="Arial"/>
                <w:b/>
                <w:sz w:val="22"/>
                <w:szCs w:val="22"/>
              </w:rPr>
              <w:t>2</w:t>
            </w:r>
            <w:r w:rsidR="00363DC9">
              <w:rPr>
                <w:rFonts w:ascii="Arial" w:eastAsia="Calibri" w:hAnsi="Arial" w:cs="Arial"/>
                <w:b/>
                <w:sz w:val="22"/>
                <w:szCs w:val="22"/>
              </w:rPr>
              <w:t>9</w:t>
            </w:r>
            <w:r w:rsidR="005A7222">
              <w:rPr>
                <w:rFonts w:ascii="Arial" w:eastAsia="Calibri" w:hAnsi="Arial" w:cs="Arial"/>
                <w:b/>
                <w:sz w:val="22"/>
                <w:szCs w:val="22"/>
              </w:rPr>
              <w:t xml:space="preserve"> de </w:t>
            </w:r>
            <w:r w:rsidR="00571C76">
              <w:rPr>
                <w:rFonts w:ascii="Arial" w:eastAsia="Calibri" w:hAnsi="Arial" w:cs="Arial"/>
                <w:b/>
                <w:sz w:val="22"/>
                <w:szCs w:val="22"/>
              </w:rPr>
              <w:t>mayo</w:t>
            </w:r>
            <w:r w:rsidR="005A7222">
              <w:rPr>
                <w:rFonts w:ascii="Arial" w:eastAsia="Calibri" w:hAnsi="Arial" w:cs="Arial"/>
                <w:b/>
                <w:sz w:val="22"/>
                <w:szCs w:val="22"/>
              </w:rPr>
              <w:t xml:space="preserve"> </w:t>
            </w:r>
            <w:r w:rsidR="00A772EF" w:rsidRPr="008F0835">
              <w:rPr>
                <w:rFonts w:ascii="Arial" w:eastAsia="Calibri" w:hAnsi="Arial" w:cs="Arial"/>
                <w:b/>
                <w:sz w:val="22"/>
                <w:szCs w:val="22"/>
              </w:rPr>
              <w:t>de 201</w:t>
            </w:r>
            <w:r w:rsidR="00AA61D4">
              <w:rPr>
                <w:rFonts w:ascii="Arial" w:eastAsia="Calibri" w:hAnsi="Arial" w:cs="Arial"/>
                <w:b/>
                <w:sz w:val="22"/>
                <w:szCs w:val="22"/>
              </w:rPr>
              <w:t>9</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3D0A41" w:rsidRPr="003D0A41">
              <w:rPr>
                <w:rFonts w:ascii="Arial" w:hAnsi="Arial" w:cs="Arial"/>
                <w:b/>
                <w:sz w:val="22"/>
                <w:szCs w:val="22"/>
                <w:lang w:val="es-CR"/>
              </w:rPr>
              <w:t>Unirse a la Declaratoria de Emergencia, ante la violencia sexual hacia las estudiantes en las universidades públicas, realizada por parte de estudiantes de la Universidad de Costa Rica, la Universidad Nacional y el Instituto Tecnológico de Costa Rica</w:t>
            </w:r>
          </w:p>
        </w:tc>
      </w:tr>
    </w:tbl>
    <w:p w:rsidR="00ED72F3" w:rsidRDefault="00ED72F3"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9531F6" w:rsidRDefault="009531F6" w:rsidP="007742A1">
      <w:pPr>
        <w:jc w:val="both"/>
        <w:rPr>
          <w:rFonts w:ascii="Arial" w:eastAsia="Cambria" w:hAnsi="Arial" w:cs="Arial"/>
          <w:lang w:val="es-ES_tradnl" w:eastAsia="en-US"/>
        </w:rPr>
      </w:pPr>
    </w:p>
    <w:p w:rsidR="009531F6" w:rsidRPr="009531F6" w:rsidRDefault="009531F6" w:rsidP="009531F6">
      <w:pPr>
        <w:tabs>
          <w:tab w:val="left" w:pos="3070"/>
        </w:tabs>
        <w:contextualSpacing/>
        <w:jc w:val="both"/>
        <w:outlineLvl w:val="0"/>
        <w:rPr>
          <w:rFonts w:ascii="Arial" w:hAnsi="Arial" w:cs="Arial"/>
          <w:b/>
          <w:lang w:val="es-CR"/>
        </w:rPr>
      </w:pPr>
      <w:r w:rsidRPr="009531F6">
        <w:rPr>
          <w:rFonts w:ascii="Arial" w:hAnsi="Arial" w:cs="Arial"/>
          <w:b/>
          <w:lang w:val="es-CR"/>
        </w:rPr>
        <w:t>RESULTANDO QUE:</w:t>
      </w:r>
    </w:p>
    <w:p w:rsidR="009531F6" w:rsidRPr="009531F6" w:rsidRDefault="009531F6" w:rsidP="009531F6">
      <w:pPr>
        <w:jc w:val="both"/>
        <w:rPr>
          <w:rFonts w:ascii="Arial" w:hAnsi="Arial" w:cs="Arial"/>
          <w:lang w:val="es-CR"/>
        </w:rPr>
      </w:pPr>
    </w:p>
    <w:p w:rsidR="009531F6" w:rsidRPr="009531F6" w:rsidRDefault="009531F6" w:rsidP="009531F6">
      <w:pPr>
        <w:numPr>
          <w:ilvl w:val="0"/>
          <w:numId w:val="14"/>
        </w:numPr>
        <w:ind w:left="360"/>
        <w:jc w:val="both"/>
        <w:rPr>
          <w:rFonts w:ascii="Arial" w:hAnsi="Arial" w:cs="Arial"/>
          <w:lang w:val="es-CR"/>
        </w:rPr>
      </w:pPr>
      <w:r w:rsidRPr="009531F6">
        <w:rPr>
          <w:rFonts w:ascii="Arial" w:hAnsi="Arial" w:cs="Arial"/>
          <w:lang w:val="es-CR"/>
        </w:rPr>
        <w:t>Los avances y luchas en materia de equidad de género, constituyen uno de los ejes centrales de los modelos que incluyen una visión amplia e integral de desarrollo, desde la perspectiva de defensa de los derechos humanos; plasmada en las convenciones y tratados internacionales en la materia; a saber:</w:t>
      </w:r>
    </w:p>
    <w:p w:rsidR="009531F6" w:rsidRPr="009531F6" w:rsidRDefault="009531F6" w:rsidP="009531F6">
      <w:pPr>
        <w:jc w:val="both"/>
        <w:rPr>
          <w:i/>
          <w:lang w:val="es-CR"/>
        </w:rPr>
      </w:pPr>
    </w:p>
    <w:p w:rsidR="009531F6" w:rsidRPr="009531F6" w:rsidRDefault="009531F6" w:rsidP="009531F6">
      <w:pPr>
        <w:numPr>
          <w:ilvl w:val="0"/>
          <w:numId w:val="33"/>
        </w:numPr>
        <w:tabs>
          <w:tab w:val="num" w:pos="785"/>
        </w:tabs>
        <w:ind w:left="785"/>
        <w:jc w:val="both"/>
        <w:rPr>
          <w:rFonts w:ascii="Arial" w:eastAsia="Arial Unicode MS" w:hAnsi="Arial" w:cs="Arial"/>
          <w:lang w:val="es-CR"/>
        </w:rPr>
      </w:pPr>
      <w:r w:rsidRPr="009531F6">
        <w:rPr>
          <w:rFonts w:ascii="Arial" w:hAnsi="Arial" w:cs="Arial"/>
          <w:lang w:val="es-CR"/>
        </w:rPr>
        <w:t>La Declaración Universal de Derechos Humanos, aprobada el 10 de diciembre de 1948, por la Organización de las Naciones Unidas.</w:t>
      </w:r>
    </w:p>
    <w:p w:rsidR="009531F6" w:rsidRPr="009531F6" w:rsidRDefault="009531F6" w:rsidP="009531F6">
      <w:pPr>
        <w:jc w:val="both"/>
        <w:rPr>
          <w:rFonts w:ascii="Arial" w:eastAsia="Arial Unicode MS" w:hAnsi="Arial" w:cs="Arial"/>
          <w:lang w:val="es-CR"/>
        </w:rPr>
      </w:pPr>
    </w:p>
    <w:p w:rsidR="009531F6" w:rsidRPr="009531F6" w:rsidRDefault="009531F6" w:rsidP="009531F6">
      <w:pPr>
        <w:numPr>
          <w:ilvl w:val="0"/>
          <w:numId w:val="33"/>
        </w:numPr>
        <w:tabs>
          <w:tab w:val="num" w:pos="785"/>
        </w:tabs>
        <w:ind w:left="785"/>
        <w:jc w:val="both"/>
        <w:rPr>
          <w:rFonts w:ascii="Arial" w:hAnsi="Arial" w:cs="Arial"/>
          <w:lang w:val="es-CR"/>
        </w:rPr>
      </w:pPr>
      <w:r w:rsidRPr="009531F6">
        <w:rPr>
          <w:rFonts w:ascii="Arial" w:hAnsi="Arial" w:cs="Arial"/>
          <w:lang w:val="es-CR"/>
        </w:rPr>
        <w:t xml:space="preserve">Convención sobre los Derechos Políticos de la Mujer Abierta la firma y ratificación por la Asamblea General en su resolución 640(VII), de 20 de diciembre de 1952.  </w:t>
      </w:r>
      <w:r w:rsidRPr="009531F6">
        <w:rPr>
          <w:rFonts w:ascii="Arial" w:hAnsi="Arial" w:cs="Arial"/>
          <w:iCs/>
          <w:lang w:val="es-CR"/>
        </w:rPr>
        <w:t>Entrada en vigor</w:t>
      </w:r>
      <w:r w:rsidRPr="009531F6">
        <w:rPr>
          <w:rFonts w:ascii="Arial" w:hAnsi="Arial" w:cs="Arial"/>
          <w:lang w:val="es-CR"/>
        </w:rPr>
        <w:t>: 7 de julio de 1954</w:t>
      </w:r>
    </w:p>
    <w:p w:rsidR="009531F6" w:rsidRPr="009531F6" w:rsidRDefault="009531F6" w:rsidP="009531F6">
      <w:pPr>
        <w:jc w:val="both"/>
        <w:rPr>
          <w:rFonts w:ascii="Arial" w:eastAsia="Arial Unicode MS" w:hAnsi="Arial" w:cs="Arial"/>
          <w:lang w:val="es-CR"/>
        </w:rPr>
      </w:pPr>
    </w:p>
    <w:p w:rsidR="009531F6" w:rsidRPr="009531F6" w:rsidRDefault="009531F6" w:rsidP="009531F6">
      <w:pPr>
        <w:numPr>
          <w:ilvl w:val="0"/>
          <w:numId w:val="33"/>
        </w:numPr>
        <w:tabs>
          <w:tab w:val="num" w:pos="785"/>
        </w:tabs>
        <w:ind w:left="785"/>
        <w:jc w:val="both"/>
        <w:rPr>
          <w:rFonts w:ascii="Arial" w:eastAsia="Arial Unicode MS" w:hAnsi="Arial" w:cs="Arial"/>
          <w:lang w:val="es-CR"/>
        </w:rPr>
      </w:pPr>
      <w:r w:rsidRPr="009531F6">
        <w:rPr>
          <w:rFonts w:ascii="Arial" w:hAnsi="Arial" w:cs="Arial"/>
          <w:lang w:val="es-CR"/>
        </w:rPr>
        <w:t>La Convención sobre la Eliminación de todas las formas de Discriminación contra la mujer aprobada por La Asamblea General de las Naciones Unidas, en 1979; y entró en vigor como tratado Internacional el 3 de septiembre de 1981</w:t>
      </w:r>
    </w:p>
    <w:p w:rsidR="009531F6" w:rsidRPr="009531F6" w:rsidRDefault="009531F6" w:rsidP="009531F6">
      <w:pPr>
        <w:jc w:val="both"/>
        <w:rPr>
          <w:rFonts w:ascii="Arial" w:eastAsia="Arial Unicode MS" w:hAnsi="Arial" w:cs="Arial"/>
          <w:lang w:val="es-CR"/>
        </w:rPr>
      </w:pPr>
    </w:p>
    <w:p w:rsidR="009531F6" w:rsidRPr="009531F6" w:rsidRDefault="009531F6" w:rsidP="009531F6">
      <w:pPr>
        <w:jc w:val="both"/>
        <w:rPr>
          <w:rFonts w:ascii="Arial" w:hAnsi="Arial" w:cs="Arial"/>
          <w:lang w:val="es-CR"/>
        </w:rPr>
      </w:pPr>
      <w:r w:rsidRPr="009531F6">
        <w:rPr>
          <w:rFonts w:ascii="Arial" w:hAnsi="Arial" w:cs="Arial"/>
          <w:bCs/>
          <w:lang w:val="es-CR"/>
        </w:rPr>
        <w:t>Convención Interamericana Para Prevenir, Sancionar y Erradicar La Violencia Contra La Mujer “Convención De Belém Do Pará”, adoptada en Belém do Pará, Brasil, el 9 de junio de 1994, en el vigésimo cuarto período ordinario de sesiones de la Asamblea General de la OEA</w:t>
      </w:r>
    </w:p>
    <w:p w:rsidR="009531F6" w:rsidRPr="009531F6" w:rsidRDefault="009531F6" w:rsidP="009531F6">
      <w:pPr>
        <w:numPr>
          <w:ilvl w:val="0"/>
          <w:numId w:val="33"/>
        </w:numPr>
        <w:tabs>
          <w:tab w:val="num" w:pos="785"/>
        </w:tabs>
        <w:ind w:left="785"/>
        <w:jc w:val="both"/>
        <w:rPr>
          <w:rFonts w:ascii="Arial" w:hAnsi="Arial" w:cs="Arial"/>
          <w:lang w:val="es-CR"/>
        </w:rPr>
      </w:pPr>
      <w:r w:rsidRPr="009531F6">
        <w:rPr>
          <w:rFonts w:ascii="Arial" w:hAnsi="Arial" w:cs="Arial"/>
          <w:lang w:val="es-CR"/>
        </w:rPr>
        <w:lastRenderedPageBreak/>
        <w:t xml:space="preserve">Plataforma de Acción de </w:t>
      </w:r>
      <w:r w:rsidRPr="009531F6">
        <w:rPr>
          <w:rFonts w:ascii="Arial" w:hAnsi="Arial" w:cs="Arial"/>
          <w:bCs/>
          <w:lang w:val="es-CR"/>
        </w:rPr>
        <w:t>La IV Conferencia Mundial de las Naciones Unidas sobre la Mujer, Beijing (1995).</w:t>
      </w:r>
    </w:p>
    <w:p w:rsidR="009531F6" w:rsidRPr="009531F6" w:rsidRDefault="009531F6" w:rsidP="009531F6">
      <w:pPr>
        <w:jc w:val="both"/>
        <w:rPr>
          <w:rFonts w:ascii="Arial" w:hAnsi="Arial" w:cs="Arial"/>
          <w:lang w:val="es-CR"/>
        </w:rPr>
      </w:pPr>
    </w:p>
    <w:p w:rsidR="009531F6" w:rsidRPr="009531F6" w:rsidRDefault="009531F6" w:rsidP="009531F6">
      <w:pPr>
        <w:numPr>
          <w:ilvl w:val="0"/>
          <w:numId w:val="33"/>
        </w:numPr>
        <w:tabs>
          <w:tab w:val="num" w:pos="785"/>
        </w:tabs>
        <w:ind w:left="785"/>
        <w:jc w:val="both"/>
        <w:rPr>
          <w:rFonts w:ascii="Arial" w:hAnsi="Arial" w:cs="Arial"/>
          <w:lang w:val="es-CR"/>
        </w:rPr>
      </w:pPr>
      <w:r w:rsidRPr="009531F6">
        <w:rPr>
          <w:rFonts w:ascii="Arial" w:hAnsi="Arial" w:cs="Arial"/>
          <w:bCs/>
          <w:lang w:val="es-CR"/>
        </w:rPr>
        <w:t>Declaración de la II Conferencia Mundial sobre Derechos Humanos. Viena 1993 donde se definen los Derechos de las Mujeres como Derechos Humanos.”</w:t>
      </w:r>
    </w:p>
    <w:p w:rsidR="009531F6" w:rsidRPr="009531F6" w:rsidRDefault="009531F6" w:rsidP="009531F6">
      <w:pPr>
        <w:jc w:val="both"/>
        <w:rPr>
          <w:i/>
          <w:lang w:val="es-CR"/>
        </w:rPr>
      </w:pPr>
    </w:p>
    <w:p w:rsidR="009531F6" w:rsidRPr="009531F6" w:rsidRDefault="009531F6" w:rsidP="009531F6">
      <w:pPr>
        <w:numPr>
          <w:ilvl w:val="0"/>
          <w:numId w:val="14"/>
        </w:numPr>
        <w:ind w:left="360"/>
        <w:jc w:val="both"/>
        <w:rPr>
          <w:rFonts w:ascii="Arial" w:hAnsi="Arial" w:cs="Arial"/>
          <w:lang w:val="es-CR"/>
        </w:rPr>
      </w:pPr>
      <w:r w:rsidRPr="009531F6">
        <w:rPr>
          <w:rFonts w:ascii="Arial" w:hAnsi="Arial" w:cs="Arial"/>
          <w:lang w:val="es-CR"/>
        </w:rPr>
        <w:t>Costa Rica los ha ratificado y para su cumplimiento ha creado un marco legal a nivel nacional, para eliminar todas las diversas formas de discriminación social y de violencia de género.</w:t>
      </w:r>
    </w:p>
    <w:p w:rsidR="009531F6" w:rsidRPr="009531F6" w:rsidRDefault="009531F6" w:rsidP="009531F6">
      <w:pPr>
        <w:ind w:left="360"/>
        <w:jc w:val="both"/>
        <w:rPr>
          <w:rFonts w:ascii="Arial" w:hAnsi="Arial" w:cs="Arial"/>
          <w:lang w:val="es-CR"/>
        </w:rPr>
      </w:pPr>
    </w:p>
    <w:p w:rsidR="009531F6" w:rsidRPr="009531F6" w:rsidRDefault="009531F6" w:rsidP="009531F6">
      <w:pPr>
        <w:numPr>
          <w:ilvl w:val="0"/>
          <w:numId w:val="14"/>
        </w:numPr>
        <w:ind w:left="360"/>
        <w:jc w:val="both"/>
        <w:rPr>
          <w:rFonts w:ascii="Arial" w:hAnsi="Arial" w:cs="Arial"/>
          <w:lang w:val="es-CR"/>
        </w:rPr>
      </w:pPr>
      <w:r w:rsidRPr="009531F6">
        <w:rPr>
          <w:rFonts w:ascii="Arial" w:hAnsi="Arial" w:cs="Arial"/>
          <w:lang w:val="es-CR"/>
        </w:rPr>
        <w:t>El inciso b) del Artículo 18, del Estatuto Orgánico, establece:</w:t>
      </w:r>
    </w:p>
    <w:p w:rsidR="009531F6" w:rsidRPr="009531F6" w:rsidRDefault="009531F6" w:rsidP="009531F6">
      <w:pPr>
        <w:ind w:left="709" w:right="284"/>
        <w:contextualSpacing/>
        <w:jc w:val="both"/>
        <w:rPr>
          <w:rFonts w:ascii="Arial" w:eastAsia="Calibri" w:hAnsi="Arial" w:cs="Arial"/>
          <w:bCs/>
          <w:i/>
          <w:sz w:val="22"/>
          <w:szCs w:val="22"/>
          <w:lang w:val="es-CR"/>
        </w:rPr>
      </w:pPr>
    </w:p>
    <w:p w:rsidR="009531F6" w:rsidRPr="009531F6" w:rsidRDefault="009531F6" w:rsidP="009531F6">
      <w:pPr>
        <w:ind w:left="709" w:right="284"/>
        <w:contextualSpacing/>
        <w:jc w:val="both"/>
        <w:rPr>
          <w:rFonts w:ascii="Arial" w:eastAsia="Calibri" w:hAnsi="Arial" w:cs="Arial"/>
          <w:bCs/>
          <w:i/>
          <w:sz w:val="22"/>
          <w:szCs w:val="22"/>
          <w:lang w:val="es-CR"/>
        </w:rPr>
      </w:pPr>
      <w:r w:rsidRPr="009531F6">
        <w:rPr>
          <w:rFonts w:ascii="Arial" w:eastAsia="Calibri" w:hAnsi="Arial" w:cs="Arial"/>
          <w:bCs/>
          <w:i/>
          <w:sz w:val="22"/>
          <w:szCs w:val="22"/>
          <w:lang w:val="es-CR"/>
        </w:rPr>
        <w:t>“Son funciones del Consejo Institucional:</w:t>
      </w:r>
    </w:p>
    <w:p w:rsidR="009531F6" w:rsidRPr="009531F6" w:rsidRDefault="009531F6" w:rsidP="009531F6">
      <w:pPr>
        <w:ind w:left="709" w:right="284"/>
        <w:contextualSpacing/>
        <w:jc w:val="both"/>
        <w:rPr>
          <w:rFonts w:ascii="Arial" w:eastAsia="Calibri" w:hAnsi="Arial" w:cs="Arial"/>
          <w:bCs/>
          <w:i/>
          <w:sz w:val="22"/>
          <w:szCs w:val="22"/>
          <w:lang w:val="es-CR"/>
        </w:rPr>
      </w:pPr>
      <w:r w:rsidRPr="009531F6">
        <w:rPr>
          <w:rFonts w:ascii="Arial" w:hAnsi="Arial" w:cs="Arial"/>
          <w:bCs/>
          <w:i/>
          <w:sz w:val="22"/>
          <w:szCs w:val="22"/>
          <w:lang w:val="es-CR"/>
        </w:rPr>
        <w:t>…</w:t>
      </w:r>
    </w:p>
    <w:p w:rsidR="009531F6" w:rsidRPr="009531F6" w:rsidRDefault="009531F6" w:rsidP="009531F6">
      <w:pPr>
        <w:ind w:left="709" w:right="284"/>
        <w:contextualSpacing/>
        <w:jc w:val="both"/>
        <w:rPr>
          <w:rFonts w:ascii="Arial" w:eastAsia="Calibri" w:hAnsi="Arial" w:cs="Arial"/>
          <w:bCs/>
          <w:i/>
          <w:sz w:val="22"/>
          <w:szCs w:val="22"/>
          <w:lang w:val="es-CR"/>
        </w:rPr>
      </w:pPr>
    </w:p>
    <w:p w:rsidR="009531F6" w:rsidRPr="009531F6" w:rsidRDefault="009531F6" w:rsidP="009531F6">
      <w:pPr>
        <w:ind w:left="709" w:right="284"/>
        <w:contextualSpacing/>
        <w:jc w:val="both"/>
        <w:rPr>
          <w:rFonts w:ascii="Arial" w:eastAsia="Calibri" w:hAnsi="Arial" w:cs="Arial"/>
          <w:bCs/>
          <w:i/>
          <w:sz w:val="22"/>
          <w:szCs w:val="22"/>
          <w:lang w:val="es-CR"/>
        </w:rPr>
      </w:pPr>
      <w:r w:rsidRPr="009531F6">
        <w:rPr>
          <w:rFonts w:ascii="Arial" w:eastAsia="Calibri" w:hAnsi="Arial" w:cs="Arial"/>
          <w:bCs/>
          <w:i/>
          <w:sz w:val="22"/>
          <w:szCs w:val="22"/>
          <w:lang w:val="es-CR"/>
        </w:rPr>
        <w:t>k. Velar por el trato justo a todos los miembros de la comunidad del Instituto”.</w:t>
      </w:r>
    </w:p>
    <w:p w:rsidR="009531F6" w:rsidRPr="009531F6" w:rsidRDefault="009531F6" w:rsidP="009531F6">
      <w:pPr>
        <w:jc w:val="both"/>
        <w:rPr>
          <w:rFonts w:ascii="Arial" w:hAnsi="Arial" w:cs="Arial"/>
          <w:lang w:val="es-C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9531F6" w:rsidRPr="009531F6" w:rsidTr="00A94937">
        <w:trPr>
          <w:trHeight w:val="112"/>
        </w:trPr>
        <w:tc>
          <w:tcPr>
            <w:tcW w:w="8897" w:type="dxa"/>
          </w:tcPr>
          <w:p w:rsidR="009531F6" w:rsidRPr="009531F6" w:rsidRDefault="009531F6" w:rsidP="009531F6">
            <w:pPr>
              <w:numPr>
                <w:ilvl w:val="0"/>
                <w:numId w:val="14"/>
              </w:numPr>
              <w:ind w:left="360" w:right="175"/>
              <w:jc w:val="both"/>
              <w:rPr>
                <w:rFonts w:ascii="Arial" w:hAnsi="Arial" w:cs="Arial"/>
                <w:lang w:val="es-CR"/>
              </w:rPr>
            </w:pPr>
            <w:r w:rsidRPr="009531F6">
              <w:rPr>
                <w:rFonts w:ascii="Arial" w:hAnsi="Arial" w:cs="Arial"/>
                <w:lang w:val="es-CR"/>
              </w:rPr>
              <w:t>La Asamblea Institucional Representativa aprobó en Sesión Ordinaria AIR-96-2019, I Semestre 2019, las siguientes políticas:</w:t>
            </w:r>
          </w:p>
        </w:tc>
      </w:tr>
    </w:tbl>
    <w:p w:rsidR="009531F6" w:rsidRPr="009531F6" w:rsidRDefault="009531F6" w:rsidP="009531F6">
      <w:pPr>
        <w:jc w:val="both"/>
        <w:rPr>
          <w:sz w:val="20"/>
          <w:szCs w:val="20"/>
          <w:lang w:val="es-CR"/>
        </w:rPr>
      </w:pPr>
      <w:r w:rsidRPr="009531F6">
        <w:rPr>
          <w:rFonts w:ascii="Arial" w:hAnsi="Arial" w:cs="Arial"/>
          <w:lang w:val="es-CR"/>
        </w:rPr>
        <w:t xml:space="preserve"> </w:t>
      </w:r>
    </w:p>
    <w:p w:rsidR="009531F6" w:rsidRPr="009531F6" w:rsidRDefault="009531F6" w:rsidP="009531F6">
      <w:pPr>
        <w:numPr>
          <w:ilvl w:val="0"/>
          <w:numId w:val="34"/>
        </w:numPr>
        <w:autoSpaceDE w:val="0"/>
        <w:autoSpaceDN w:val="0"/>
        <w:adjustRightInd w:val="0"/>
        <w:rPr>
          <w:rFonts w:ascii="Arial" w:eastAsia="Calibri" w:hAnsi="Arial" w:cs="Arial"/>
          <w:i/>
          <w:sz w:val="22"/>
          <w:szCs w:val="22"/>
          <w:lang w:eastAsia="en-US"/>
        </w:rPr>
      </w:pPr>
      <w:r w:rsidRPr="009531F6">
        <w:rPr>
          <w:rFonts w:ascii="Arial" w:eastAsia="Calibri" w:hAnsi="Arial" w:cs="Arial"/>
          <w:i/>
          <w:sz w:val="22"/>
          <w:szCs w:val="22"/>
          <w:lang w:eastAsia="en-US"/>
        </w:rPr>
        <w:t xml:space="preserve">“Incorporar en las Políticas Generales, aprobadas en la Sesión Ordinaria No. 88-2015 de la Asamblea Institucional Representativa del 7 de octubre de 2015, las siguientes políticas generales: </w:t>
      </w:r>
    </w:p>
    <w:p w:rsidR="009531F6" w:rsidRPr="009531F6" w:rsidRDefault="009531F6" w:rsidP="009531F6">
      <w:pPr>
        <w:autoSpaceDE w:val="0"/>
        <w:autoSpaceDN w:val="0"/>
        <w:adjustRightInd w:val="0"/>
        <w:ind w:left="720"/>
        <w:rPr>
          <w:rFonts w:ascii="Arial" w:eastAsia="Calibri" w:hAnsi="Arial" w:cs="Arial"/>
          <w:i/>
          <w:sz w:val="22"/>
          <w:szCs w:val="22"/>
          <w:lang w:eastAsia="en-US"/>
        </w:rPr>
      </w:pPr>
    </w:p>
    <w:p w:rsidR="009531F6" w:rsidRPr="009531F6" w:rsidRDefault="009531F6" w:rsidP="009531F6">
      <w:pPr>
        <w:ind w:left="709" w:hanging="425"/>
        <w:jc w:val="both"/>
        <w:rPr>
          <w:rFonts w:ascii="Arial" w:hAnsi="Arial" w:cs="Arial"/>
          <w:i/>
          <w:sz w:val="22"/>
          <w:szCs w:val="22"/>
          <w:lang w:val="es-CR"/>
        </w:rPr>
      </w:pPr>
      <w:r w:rsidRPr="009531F6">
        <w:rPr>
          <w:rFonts w:ascii="Arial" w:hAnsi="Arial" w:cs="Arial"/>
          <w:i/>
          <w:sz w:val="22"/>
          <w:szCs w:val="22"/>
          <w:lang w:val="es-CR"/>
        </w:rPr>
        <w:t xml:space="preserve">18. Se prohíbe la discriminación contra cualquier persona por su etnia, su lugar de procedencia, género, orientación sexual o identidad de género, estado civil, religión, opinión política, ascendencia nacional, filiación, condición de discapacidad, maternidad y paternidad, y su condición socioeconómica, edad o cualquier otra forma análoga de discriminación. También se prohíbe el acoso o el hostigamiento producido a las personas que estudian, laboran o están involucradas con la institución, independientemente de la posición jerárquica que ocupen. </w:t>
      </w:r>
    </w:p>
    <w:p w:rsidR="009531F6" w:rsidRPr="009531F6" w:rsidRDefault="009531F6" w:rsidP="009531F6">
      <w:pPr>
        <w:ind w:left="360"/>
        <w:jc w:val="both"/>
        <w:rPr>
          <w:rFonts w:ascii="Arial" w:hAnsi="Arial" w:cs="Arial"/>
          <w:i/>
          <w:sz w:val="22"/>
          <w:szCs w:val="22"/>
          <w:lang w:val="es-CR"/>
        </w:rPr>
      </w:pPr>
    </w:p>
    <w:p w:rsidR="009531F6" w:rsidRPr="009531F6" w:rsidRDefault="009531F6" w:rsidP="009531F6">
      <w:pPr>
        <w:ind w:left="709" w:hanging="425"/>
        <w:jc w:val="both"/>
        <w:rPr>
          <w:rFonts w:ascii="Arial" w:hAnsi="Arial" w:cs="Arial"/>
          <w:i/>
          <w:lang w:val="es-CR"/>
        </w:rPr>
      </w:pPr>
      <w:r w:rsidRPr="009531F6">
        <w:rPr>
          <w:rFonts w:ascii="Arial" w:hAnsi="Arial" w:cs="Arial"/>
          <w:i/>
          <w:sz w:val="22"/>
          <w:szCs w:val="22"/>
          <w:lang w:val="es-CR"/>
        </w:rPr>
        <w:t>19. Se pondrán en práctica procesos incluyentes y acciones que sirvan como medio de construcción”</w:t>
      </w:r>
    </w:p>
    <w:p w:rsidR="009531F6" w:rsidRPr="009531F6" w:rsidRDefault="009531F6" w:rsidP="009531F6">
      <w:pPr>
        <w:ind w:left="360"/>
        <w:jc w:val="both"/>
        <w:rPr>
          <w:rFonts w:ascii="Arial" w:hAnsi="Arial" w:cs="Arial"/>
          <w:lang w:val="es-CR"/>
        </w:rPr>
      </w:pPr>
    </w:p>
    <w:p w:rsidR="009531F6" w:rsidRPr="009531F6" w:rsidRDefault="009531F6" w:rsidP="009531F6">
      <w:pPr>
        <w:numPr>
          <w:ilvl w:val="0"/>
          <w:numId w:val="14"/>
        </w:numPr>
        <w:ind w:left="360"/>
        <w:jc w:val="both"/>
        <w:rPr>
          <w:rFonts w:ascii="Arial" w:hAnsi="Arial" w:cs="Arial"/>
          <w:lang w:val="es-CR"/>
        </w:rPr>
      </w:pPr>
      <w:r w:rsidRPr="009531F6">
        <w:rPr>
          <w:rFonts w:ascii="Arial" w:hAnsi="Arial" w:cs="Arial"/>
          <w:lang w:val="es-CR"/>
        </w:rPr>
        <w:t>El Consejo Institucional, ha tomado decisiones para atender el tema de género y el hostigamiento sexual, que se detallan a continuación:</w:t>
      </w:r>
    </w:p>
    <w:p w:rsidR="009531F6" w:rsidRPr="009531F6" w:rsidRDefault="009531F6" w:rsidP="009531F6">
      <w:pPr>
        <w:ind w:left="360"/>
        <w:jc w:val="both"/>
        <w:rPr>
          <w:rFonts w:ascii="Arial" w:hAnsi="Arial" w:cs="Arial"/>
          <w:lang w:val="es-CR"/>
        </w:rPr>
      </w:pPr>
    </w:p>
    <w:p w:rsidR="009531F6" w:rsidRPr="009531F6" w:rsidRDefault="009531F6" w:rsidP="009531F6">
      <w:pPr>
        <w:numPr>
          <w:ilvl w:val="1"/>
          <w:numId w:val="14"/>
        </w:numPr>
        <w:ind w:left="851" w:hanging="425"/>
        <w:jc w:val="both"/>
        <w:rPr>
          <w:rFonts w:ascii="Arial" w:hAnsi="Arial" w:cs="Arial"/>
          <w:lang w:val="es-CR"/>
        </w:rPr>
      </w:pPr>
      <w:r w:rsidRPr="009531F6">
        <w:rPr>
          <w:rFonts w:ascii="Arial" w:hAnsi="Arial" w:cs="Arial"/>
          <w:lang w:val="es-CR"/>
        </w:rPr>
        <w:t xml:space="preserve">La aprobación del Reglamento contra el Hostigamiento Sexual, 1996 </w:t>
      </w:r>
    </w:p>
    <w:p w:rsidR="009531F6" w:rsidRPr="009531F6" w:rsidRDefault="009531F6" w:rsidP="009531F6">
      <w:pPr>
        <w:ind w:left="1440"/>
        <w:jc w:val="both"/>
        <w:rPr>
          <w:rFonts w:ascii="Arial" w:hAnsi="Arial" w:cs="Arial"/>
          <w:lang w:val="es-CR"/>
        </w:rPr>
      </w:pPr>
    </w:p>
    <w:p w:rsidR="009531F6" w:rsidRPr="009531F6" w:rsidRDefault="009531F6" w:rsidP="009531F6">
      <w:pPr>
        <w:numPr>
          <w:ilvl w:val="1"/>
          <w:numId w:val="14"/>
        </w:numPr>
        <w:ind w:left="851" w:hanging="425"/>
        <w:jc w:val="both"/>
        <w:rPr>
          <w:rFonts w:ascii="Arial" w:hAnsi="Arial" w:cs="Arial"/>
          <w:lang w:val="es-CR"/>
        </w:rPr>
      </w:pPr>
      <w:r w:rsidRPr="009531F6">
        <w:rPr>
          <w:rFonts w:ascii="Arial" w:hAnsi="Arial" w:cs="Arial"/>
          <w:lang w:val="es-CR"/>
        </w:rPr>
        <w:t>Creación del Programa de Equidad de Género en Sesión Ordinaria 2075 del Consejo Institucional, Artículo 16, del 12 de agosto de 1999.</w:t>
      </w:r>
    </w:p>
    <w:p w:rsidR="009531F6" w:rsidRPr="009531F6" w:rsidRDefault="009531F6" w:rsidP="009531F6">
      <w:pPr>
        <w:ind w:left="1440"/>
        <w:jc w:val="both"/>
        <w:rPr>
          <w:rFonts w:ascii="Arial" w:hAnsi="Arial" w:cs="Arial"/>
          <w:lang w:val="es-CR"/>
        </w:rPr>
      </w:pPr>
    </w:p>
    <w:p w:rsidR="009531F6" w:rsidRPr="009531F6" w:rsidRDefault="009531F6" w:rsidP="009531F6">
      <w:pPr>
        <w:numPr>
          <w:ilvl w:val="1"/>
          <w:numId w:val="14"/>
        </w:numPr>
        <w:ind w:left="851" w:hanging="425"/>
        <w:jc w:val="both"/>
        <w:rPr>
          <w:rFonts w:ascii="Arial" w:hAnsi="Arial" w:cs="Arial"/>
          <w:lang w:val="es-CR"/>
        </w:rPr>
      </w:pPr>
      <w:r w:rsidRPr="009531F6">
        <w:rPr>
          <w:rFonts w:ascii="Arial" w:hAnsi="Arial" w:cs="Arial"/>
          <w:lang w:val="es-CR"/>
        </w:rPr>
        <w:t xml:space="preserve">La creación de la Oficina de Equidad de Género en Sesión Ordinaria No. 2599, Artículo 11, del 12 de marzo del 2009 </w:t>
      </w:r>
    </w:p>
    <w:p w:rsidR="009531F6" w:rsidRPr="009531F6" w:rsidRDefault="009531F6" w:rsidP="009531F6">
      <w:pPr>
        <w:ind w:left="1440"/>
        <w:jc w:val="both"/>
        <w:rPr>
          <w:rFonts w:ascii="Arial" w:hAnsi="Arial" w:cs="Arial"/>
          <w:lang w:val="es-CR"/>
        </w:rPr>
      </w:pPr>
    </w:p>
    <w:p w:rsidR="009531F6" w:rsidRPr="009531F6" w:rsidRDefault="009531F6" w:rsidP="009531F6">
      <w:pPr>
        <w:numPr>
          <w:ilvl w:val="1"/>
          <w:numId w:val="14"/>
        </w:numPr>
        <w:ind w:left="851" w:hanging="425"/>
        <w:jc w:val="both"/>
        <w:rPr>
          <w:rFonts w:ascii="Arial" w:hAnsi="Arial" w:cs="Arial"/>
          <w:lang w:val="es-CR"/>
        </w:rPr>
      </w:pPr>
      <w:r w:rsidRPr="009531F6">
        <w:rPr>
          <w:rFonts w:ascii="Arial" w:hAnsi="Arial" w:cs="Arial"/>
          <w:lang w:val="es-CR"/>
        </w:rPr>
        <w:t>Creación de una plaza de Profesional en Salud (Especialidad en Psicología) adscrita a la Oficina de Equidad de Género para atención de los Centros Académicos y Campus Tecnológicos Locales en la Sesión Ordinaria No. 2886, Artículo 11, del 24 de setiembre de 2014.Creación de Plazas 2015, Fondos FEES</w:t>
      </w:r>
    </w:p>
    <w:p w:rsidR="009531F6" w:rsidRPr="009531F6" w:rsidRDefault="009531F6" w:rsidP="009531F6">
      <w:pPr>
        <w:autoSpaceDE w:val="0"/>
        <w:autoSpaceDN w:val="0"/>
        <w:adjustRightInd w:val="0"/>
        <w:rPr>
          <w:rFonts w:ascii="Arial" w:hAnsi="Arial" w:cs="Arial"/>
          <w:lang w:val="es-CR" w:eastAsia="es-CR"/>
        </w:rPr>
      </w:pPr>
    </w:p>
    <w:p w:rsidR="009531F6" w:rsidRPr="009531F6" w:rsidRDefault="009531F6" w:rsidP="009531F6">
      <w:pPr>
        <w:numPr>
          <w:ilvl w:val="1"/>
          <w:numId w:val="14"/>
        </w:numPr>
        <w:ind w:left="851" w:hanging="425"/>
        <w:jc w:val="both"/>
        <w:rPr>
          <w:rFonts w:ascii="Arial" w:hAnsi="Arial" w:cs="Arial"/>
          <w:b/>
          <w:bCs/>
          <w:sz w:val="22"/>
          <w:szCs w:val="22"/>
          <w:lang w:val="es-CR" w:eastAsia="es-CR"/>
        </w:rPr>
      </w:pPr>
      <w:r w:rsidRPr="009531F6">
        <w:rPr>
          <w:rFonts w:ascii="Arial" w:hAnsi="Arial" w:cs="Arial"/>
          <w:lang w:val="es-CR"/>
        </w:rPr>
        <w:t>Reforma Integral del “Reglamento contra el hostigamiento sexual en el empleo y la docencia en el Instituto Tecnológico de Costa Rica en Sesión Ordinaria No. 3082, Artículo 8, del 9 de agosto del 2018</w:t>
      </w:r>
    </w:p>
    <w:p w:rsidR="009531F6" w:rsidRPr="009531F6" w:rsidRDefault="009531F6" w:rsidP="009531F6">
      <w:pPr>
        <w:ind w:left="708"/>
        <w:rPr>
          <w:rFonts w:ascii="Arial" w:hAnsi="Arial" w:cs="Arial"/>
          <w:b/>
          <w:bCs/>
          <w:lang w:val="es-CR" w:eastAsia="es-CR"/>
        </w:rPr>
      </w:pPr>
    </w:p>
    <w:p w:rsidR="009531F6" w:rsidRPr="009531F6" w:rsidRDefault="009531F6" w:rsidP="009531F6">
      <w:pPr>
        <w:numPr>
          <w:ilvl w:val="1"/>
          <w:numId w:val="14"/>
        </w:numPr>
        <w:ind w:left="851" w:hanging="425"/>
        <w:jc w:val="both"/>
        <w:rPr>
          <w:rFonts w:ascii="Arial" w:hAnsi="Arial" w:cs="Arial"/>
          <w:lang w:val="es-CR"/>
        </w:rPr>
      </w:pPr>
      <w:r w:rsidRPr="009531F6">
        <w:rPr>
          <w:rFonts w:ascii="Arial" w:hAnsi="Arial" w:cs="Arial"/>
          <w:bCs/>
          <w:lang w:val="es-CR" w:eastAsia="es-CR"/>
        </w:rPr>
        <w:t xml:space="preserve">Creación de una plaza de Profesional en Asesoría Legal, adscrita a la Oficina de Equidad de Género para la atención la Fiscalía contra el hostigamiento sexual y cumplir con la reforma del Reglamento contra el Hostigamiento sexual en el Sesión Ordinaria No. 3095, Artículo 8, del 31 de octubre de 2018. Fondos FEES </w:t>
      </w:r>
    </w:p>
    <w:p w:rsidR="009531F6" w:rsidRPr="009531F6" w:rsidRDefault="009531F6" w:rsidP="009531F6">
      <w:pPr>
        <w:ind w:left="708"/>
        <w:rPr>
          <w:rFonts w:ascii="Arial" w:hAnsi="Arial" w:cs="Arial"/>
          <w:lang w:val="es-CR"/>
        </w:rPr>
      </w:pPr>
    </w:p>
    <w:p w:rsidR="009531F6" w:rsidRPr="009531F6" w:rsidRDefault="009531F6" w:rsidP="009531F6">
      <w:pPr>
        <w:numPr>
          <w:ilvl w:val="0"/>
          <w:numId w:val="14"/>
        </w:numPr>
        <w:ind w:left="360"/>
        <w:jc w:val="both"/>
        <w:rPr>
          <w:rFonts w:ascii="Arial" w:hAnsi="Arial" w:cs="Arial"/>
          <w:lang w:val="es-CR"/>
        </w:rPr>
      </w:pPr>
      <w:r w:rsidRPr="009531F6">
        <w:rPr>
          <w:rFonts w:ascii="Arial" w:hAnsi="Arial" w:cs="Arial"/>
          <w:lang w:val="es-CR"/>
        </w:rPr>
        <w:t>El Gobierno de Costa Rica, ha aprobado dos decretos:</w:t>
      </w:r>
    </w:p>
    <w:p w:rsidR="009531F6" w:rsidRPr="009531F6" w:rsidRDefault="009531F6" w:rsidP="009531F6">
      <w:pPr>
        <w:ind w:left="360"/>
        <w:jc w:val="both"/>
        <w:rPr>
          <w:rFonts w:ascii="Arial" w:hAnsi="Arial" w:cs="Arial"/>
          <w:lang w:val="es-CR"/>
        </w:rPr>
      </w:pPr>
    </w:p>
    <w:p w:rsidR="009531F6" w:rsidRPr="009531F6" w:rsidRDefault="009531F6" w:rsidP="009531F6">
      <w:pPr>
        <w:numPr>
          <w:ilvl w:val="1"/>
          <w:numId w:val="14"/>
        </w:numPr>
        <w:ind w:left="709"/>
        <w:jc w:val="both"/>
        <w:rPr>
          <w:rFonts w:ascii="Arial" w:hAnsi="Arial" w:cs="Arial"/>
          <w:lang w:val="es-CR"/>
        </w:rPr>
      </w:pPr>
      <w:r w:rsidRPr="009531F6">
        <w:rPr>
          <w:rFonts w:ascii="Arial" w:hAnsi="Arial" w:cs="Arial"/>
          <w:lang w:val="es-CR"/>
        </w:rPr>
        <w:t xml:space="preserve">Decreto Nº 41240-MP-MCM que enfatiza claramente en “declarar de interés prioritario la intervención, la atención y la prevención de la </w:t>
      </w:r>
      <w:r w:rsidRPr="009531F6">
        <w:rPr>
          <w:rFonts w:ascii="Arial" w:hAnsi="Arial" w:cs="Arial"/>
          <w:lang w:val="es-CR" w:eastAsia="es-CR"/>
        </w:rPr>
        <w:t>violencia contra las mujeres”</w:t>
      </w:r>
    </w:p>
    <w:p w:rsidR="009531F6" w:rsidRPr="009531F6" w:rsidRDefault="009531F6" w:rsidP="009531F6">
      <w:pPr>
        <w:ind w:left="1440"/>
        <w:jc w:val="both"/>
        <w:rPr>
          <w:rFonts w:ascii="Arial" w:hAnsi="Arial" w:cs="Arial"/>
          <w:lang w:val="es-CR"/>
        </w:rPr>
      </w:pPr>
    </w:p>
    <w:p w:rsidR="009531F6" w:rsidRPr="009531F6" w:rsidRDefault="009531F6" w:rsidP="009531F6">
      <w:pPr>
        <w:numPr>
          <w:ilvl w:val="1"/>
          <w:numId w:val="14"/>
        </w:numPr>
        <w:ind w:left="709"/>
        <w:jc w:val="both"/>
        <w:rPr>
          <w:rFonts w:ascii="Arial" w:hAnsi="Arial" w:cs="Arial"/>
          <w:lang w:val="es-CR"/>
        </w:rPr>
      </w:pPr>
      <w:r w:rsidRPr="009531F6">
        <w:rPr>
          <w:rFonts w:ascii="Arial" w:hAnsi="Arial" w:cs="Arial"/>
          <w:lang w:val="es-CR" w:eastAsia="es-CR"/>
        </w:rPr>
        <w:t>Directriz Nª 018-MP-MCM “Necesidad actual de priorizar acciones para la intervención, la atención y la prevención de la violencia contra las mujeres”</w:t>
      </w:r>
    </w:p>
    <w:p w:rsidR="009531F6" w:rsidRPr="009531F6" w:rsidRDefault="009531F6" w:rsidP="009531F6">
      <w:pPr>
        <w:ind w:left="360"/>
        <w:jc w:val="both"/>
        <w:rPr>
          <w:rFonts w:ascii="Arial" w:hAnsi="Arial" w:cs="Arial"/>
          <w:sz w:val="20"/>
          <w:szCs w:val="20"/>
          <w:lang w:val="es-CR"/>
        </w:rPr>
      </w:pPr>
    </w:p>
    <w:p w:rsidR="009531F6" w:rsidRPr="009531F6" w:rsidRDefault="009531F6" w:rsidP="009531F6">
      <w:pPr>
        <w:numPr>
          <w:ilvl w:val="0"/>
          <w:numId w:val="14"/>
        </w:numPr>
        <w:ind w:left="360"/>
        <w:jc w:val="both"/>
        <w:rPr>
          <w:rFonts w:ascii="Arial" w:hAnsi="Arial" w:cs="Arial"/>
          <w:sz w:val="20"/>
          <w:szCs w:val="20"/>
          <w:lang w:val="es-CR"/>
        </w:rPr>
      </w:pPr>
      <w:r w:rsidRPr="009531F6">
        <w:rPr>
          <w:rFonts w:ascii="Arial" w:hAnsi="Arial" w:cs="Arial"/>
          <w:szCs w:val="20"/>
          <w:lang w:val="es-CR"/>
        </w:rPr>
        <w:t>La Comisión Nacional de Rectores CONARE, aprobó una Declaratoria 2019 Año de las Universidades Públicas por la igualdad de género, la no violencia y una sociedad más justa con los siguientes compromisos:</w:t>
      </w:r>
    </w:p>
    <w:p w:rsidR="009531F6" w:rsidRPr="009531F6" w:rsidRDefault="009531F6" w:rsidP="009531F6">
      <w:pPr>
        <w:ind w:left="360"/>
        <w:jc w:val="both"/>
        <w:rPr>
          <w:rFonts w:ascii="Arial" w:hAnsi="Arial" w:cs="Arial"/>
          <w:sz w:val="20"/>
          <w:szCs w:val="20"/>
          <w:lang w:val="es-CR"/>
        </w:rPr>
      </w:pPr>
    </w:p>
    <w:p w:rsidR="009531F6" w:rsidRPr="009531F6" w:rsidRDefault="009531F6" w:rsidP="009531F6">
      <w:pPr>
        <w:ind w:left="1440"/>
        <w:jc w:val="both"/>
        <w:rPr>
          <w:rFonts w:ascii="Arial" w:hAnsi="Arial" w:cs="Arial"/>
          <w:i/>
          <w:sz w:val="22"/>
          <w:szCs w:val="22"/>
          <w:lang w:val="es-CR"/>
        </w:rPr>
      </w:pPr>
      <w:r w:rsidRPr="009531F6">
        <w:rPr>
          <w:rFonts w:ascii="Arial" w:hAnsi="Arial" w:cs="Arial"/>
          <w:szCs w:val="20"/>
          <w:lang w:val="es-CR"/>
        </w:rPr>
        <w:t>“</w:t>
      </w:r>
      <w:r w:rsidRPr="009531F6">
        <w:rPr>
          <w:rFonts w:ascii="Arial" w:hAnsi="Arial" w:cs="Arial"/>
          <w:i/>
          <w:sz w:val="22"/>
          <w:szCs w:val="22"/>
          <w:lang w:val="es-CR"/>
        </w:rPr>
        <w:t>Objetivo General</w:t>
      </w:r>
    </w:p>
    <w:p w:rsidR="009531F6" w:rsidRPr="009531F6" w:rsidRDefault="009531F6" w:rsidP="009531F6">
      <w:pPr>
        <w:ind w:left="1440"/>
        <w:jc w:val="both"/>
        <w:rPr>
          <w:rFonts w:ascii="Arial" w:hAnsi="Arial" w:cs="Arial"/>
          <w:i/>
          <w:sz w:val="20"/>
          <w:szCs w:val="20"/>
          <w:lang w:val="es-CR"/>
        </w:rPr>
      </w:pPr>
      <w:r w:rsidRPr="009531F6">
        <w:rPr>
          <w:rFonts w:ascii="Arial" w:hAnsi="Arial" w:cs="Arial"/>
          <w:i/>
          <w:szCs w:val="20"/>
          <w:lang w:val="es-CR"/>
        </w:rPr>
        <w:t>Propiciar una cultura universitaria libre de discriminación y marginalización de género por medio de la incidencia en la organización y gestión de las universidades públicas, así como su proyección externa, con el fin de contribuir con el fortalecimiento de una sociedad más justa y el desarrollo humano sostenible”.</w:t>
      </w:r>
    </w:p>
    <w:p w:rsidR="009531F6" w:rsidRPr="009531F6" w:rsidRDefault="009531F6" w:rsidP="009531F6">
      <w:pPr>
        <w:ind w:left="1440"/>
        <w:jc w:val="both"/>
        <w:rPr>
          <w:rFonts w:ascii="Arial" w:hAnsi="Arial" w:cs="Arial"/>
          <w:sz w:val="20"/>
          <w:szCs w:val="20"/>
          <w:lang w:val="es-CR"/>
        </w:rPr>
      </w:pPr>
    </w:p>
    <w:p w:rsidR="009531F6" w:rsidRPr="009531F6" w:rsidRDefault="009531F6" w:rsidP="009531F6">
      <w:pPr>
        <w:jc w:val="both"/>
        <w:rPr>
          <w:rFonts w:ascii="Arial" w:hAnsi="Arial" w:cs="Arial"/>
          <w:b/>
          <w:lang w:val="es-CR"/>
        </w:rPr>
      </w:pPr>
      <w:r w:rsidRPr="009531F6">
        <w:rPr>
          <w:rFonts w:ascii="Arial" w:hAnsi="Arial" w:cs="Arial"/>
          <w:b/>
          <w:lang w:val="es-CR"/>
        </w:rPr>
        <w:t>CONSIDERANDO QUE:</w:t>
      </w:r>
    </w:p>
    <w:p w:rsidR="009531F6" w:rsidRPr="009531F6" w:rsidRDefault="009531F6" w:rsidP="009531F6">
      <w:pPr>
        <w:tabs>
          <w:tab w:val="left" w:pos="3070"/>
        </w:tabs>
        <w:contextualSpacing/>
        <w:jc w:val="both"/>
        <w:outlineLvl w:val="0"/>
        <w:rPr>
          <w:rFonts w:ascii="Arial" w:hAnsi="Arial" w:cs="Arial"/>
          <w:b/>
          <w:lang w:val="es-CR"/>
        </w:rPr>
      </w:pPr>
    </w:p>
    <w:p w:rsidR="009531F6" w:rsidRPr="009531F6" w:rsidRDefault="009531F6" w:rsidP="009531F6">
      <w:pPr>
        <w:numPr>
          <w:ilvl w:val="0"/>
          <w:numId w:val="15"/>
        </w:numPr>
        <w:ind w:left="426" w:right="-91" w:hanging="426"/>
        <w:jc w:val="both"/>
        <w:rPr>
          <w:rFonts w:ascii="Arial" w:hAnsi="Arial" w:cs="Arial"/>
          <w:szCs w:val="20"/>
          <w:lang w:val="es-CR"/>
        </w:rPr>
      </w:pPr>
      <w:r w:rsidRPr="009531F6">
        <w:rPr>
          <w:rFonts w:ascii="Arial" w:hAnsi="Arial" w:cs="Arial"/>
          <w:szCs w:val="20"/>
          <w:lang w:val="es-CR"/>
        </w:rPr>
        <w:t xml:space="preserve">La Oficina de Equidad de Género, es la instancia especializada para atender los casos de violencia de género.  De acuerdo con los registros de casos, se han atendido: 151 en el 2015, 159 en el 2016 y 143 en el 2017.  Los casos se presentan principalmente en las mujeres y el tipo de violencia, que se presenta con mayor frecuencia, es el hostigamiento sexual y violencia de pareja.  </w:t>
      </w:r>
    </w:p>
    <w:p w:rsidR="009531F6" w:rsidRPr="009531F6" w:rsidRDefault="009531F6" w:rsidP="009531F6">
      <w:pPr>
        <w:ind w:left="426" w:right="-91"/>
        <w:jc w:val="both"/>
        <w:rPr>
          <w:rFonts w:ascii="Arial" w:hAnsi="Arial" w:cs="Arial"/>
          <w:sz w:val="20"/>
          <w:szCs w:val="20"/>
          <w:lang w:val="es-CR"/>
        </w:rPr>
      </w:pPr>
    </w:p>
    <w:p w:rsidR="009531F6" w:rsidRPr="009531F6" w:rsidRDefault="009531F6" w:rsidP="009531F6">
      <w:pPr>
        <w:numPr>
          <w:ilvl w:val="0"/>
          <w:numId w:val="15"/>
        </w:numPr>
        <w:ind w:left="426" w:right="-91" w:hanging="426"/>
        <w:jc w:val="both"/>
        <w:rPr>
          <w:rFonts w:ascii="Arial" w:hAnsi="Arial" w:cs="Arial"/>
          <w:lang w:val="es-CR"/>
        </w:rPr>
      </w:pPr>
      <w:r w:rsidRPr="009531F6">
        <w:rPr>
          <w:rFonts w:ascii="Arial" w:hAnsi="Arial" w:cs="Arial"/>
          <w:lang w:val="es-CR"/>
        </w:rPr>
        <w:t>La Comisión de Planificación y Administración del Consejo Institucional, le envió al Señor Rector un Oficio SCI-309-2019 del 26 de abril del 2019, para solicitarle atención de los Oficios OEG 13- 2019 Y OEG 14–2019, sobre el inicio de la aplicación de la reforma del Reglamento contra el Hostigamiento Sexual.  Esta solicitud ya está siendo atendido por la Rectoría.</w:t>
      </w:r>
    </w:p>
    <w:p w:rsidR="009531F6" w:rsidRPr="009531F6" w:rsidRDefault="009531F6" w:rsidP="009531F6">
      <w:pPr>
        <w:autoSpaceDE w:val="0"/>
        <w:autoSpaceDN w:val="0"/>
        <w:adjustRightInd w:val="0"/>
        <w:spacing w:after="24"/>
        <w:jc w:val="both"/>
        <w:rPr>
          <w:rFonts w:ascii="Arial" w:hAnsi="Arial" w:cs="Arial"/>
          <w:lang w:val="es-CR" w:eastAsia="es-CR"/>
        </w:rPr>
      </w:pPr>
    </w:p>
    <w:p w:rsidR="009531F6" w:rsidRPr="009531F6" w:rsidRDefault="009531F6" w:rsidP="009531F6">
      <w:pPr>
        <w:numPr>
          <w:ilvl w:val="0"/>
          <w:numId w:val="15"/>
        </w:numPr>
        <w:ind w:left="426" w:right="-91" w:hanging="426"/>
        <w:jc w:val="both"/>
        <w:rPr>
          <w:rFonts w:ascii="Arial" w:hAnsi="Arial" w:cs="Arial"/>
          <w:lang w:val="es-CR"/>
        </w:rPr>
      </w:pPr>
      <w:r w:rsidRPr="009531F6">
        <w:rPr>
          <w:rFonts w:ascii="Arial" w:hAnsi="Arial" w:cs="Arial"/>
          <w:lang w:val="es-CR"/>
        </w:rPr>
        <w:t>Un grupo de estudiantes de la Universidad de Costa Rica, la Universidad Nacional y el Instituto Tecnológico de Costa Rica, presentaron una Declaratoria de Estado de Emergencia, ante la violencia sexual hacia las estudiantes en Universidades Públicas, el día lunes 27 de mayo del 2019.</w:t>
      </w:r>
    </w:p>
    <w:p w:rsidR="009531F6" w:rsidRPr="009531F6" w:rsidRDefault="009531F6" w:rsidP="009531F6">
      <w:pPr>
        <w:ind w:right="-91"/>
        <w:jc w:val="both"/>
        <w:rPr>
          <w:rFonts w:ascii="Arial" w:hAnsi="Arial" w:cs="Arial"/>
          <w:sz w:val="20"/>
          <w:szCs w:val="20"/>
          <w:lang w:val="es-CR"/>
        </w:rPr>
      </w:pPr>
    </w:p>
    <w:p w:rsidR="009531F6" w:rsidRPr="009531F6" w:rsidRDefault="009531F6" w:rsidP="009531F6">
      <w:pPr>
        <w:ind w:left="426" w:right="-91"/>
        <w:jc w:val="both"/>
        <w:rPr>
          <w:rFonts w:ascii="Arial" w:hAnsi="Arial" w:cs="Arial"/>
          <w:lang w:val="es-CR"/>
        </w:rPr>
      </w:pPr>
      <w:r w:rsidRPr="009531F6">
        <w:rPr>
          <w:rFonts w:ascii="Arial" w:hAnsi="Arial" w:cs="Arial"/>
          <w:lang w:val="es-CR"/>
        </w:rPr>
        <w:t>En el caso de ITCR, se solicita atender lo siguiente:</w:t>
      </w:r>
    </w:p>
    <w:p w:rsidR="009531F6" w:rsidRPr="009531F6" w:rsidRDefault="009531F6" w:rsidP="009531F6">
      <w:pPr>
        <w:ind w:left="706" w:right="-91"/>
        <w:jc w:val="both"/>
        <w:rPr>
          <w:rFonts w:ascii="Arial" w:hAnsi="Arial" w:cs="Arial"/>
          <w:lang w:val="es-CR"/>
        </w:rPr>
      </w:pPr>
    </w:p>
    <w:p w:rsidR="009531F6" w:rsidRPr="009531F6" w:rsidRDefault="009531F6" w:rsidP="009531F6">
      <w:pPr>
        <w:autoSpaceDE w:val="0"/>
        <w:autoSpaceDN w:val="0"/>
        <w:adjustRightInd w:val="0"/>
        <w:ind w:left="706"/>
        <w:jc w:val="both"/>
        <w:rPr>
          <w:rFonts w:ascii="Arial" w:hAnsi="Arial" w:cs="Arial"/>
          <w:i/>
          <w:lang w:val="es-CR" w:eastAsia="es-CR"/>
        </w:rPr>
      </w:pPr>
      <w:r w:rsidRPr="009531F6">
        <w:rPr>
          <w:rFonts w:ascii="Arial" w:hAnsi="Arial" w:cs="Arial"/>
          <w:lang w:val="es-CR" w:eastAsia="es-CR"/>
        </w:rPr>
        <w:t>“</w:t>
      </w:r>
      <w:r w:rsidRPr="009531F6">
        <w:rPr>
          <w:rFonts w:ascii="Arial" w:hAnsi="Arial" w:cs="Arial"/>
          <w:i/>
          <w:lang w:val="es-CR" w:eastAsia="es-CR"/>
        </w:rPr>
        <w:t xml:space="preserve">La Comisión Feminista del Frente Ecologista del ITCR, de la Sede Central y el Campus Tecnológico Local San José y la Colectiva Feminista </w:t>
      </w:r>
      <w:proofErr w:type="spellStart"/>
      <w:r w:rsidRPr="009531F6">
        <w:rPr>
          <w:rFonts w:ascii="Arial" w:hAnsi="Arial" w:cs="Arial"/>
          <w:i/>
          <w:lang w:val="es-CR" w:eastAsia="es-CR"/>
        </w:rPr>
        <w:t>LiberArte</w:t>
      </w:r>
      <w:proofErr w:type="spellEnd"/>
      <w:r w:rsidRPr="009531F6">
        <w:rPr>
          <w:rFonts w:ascii="Arial" w:hAnsi="Arial" w:cs="Arial"/>
          <w:i/>
          <w:lang w:val="es-CR" w:eastAsia="es-CR"/>
        </w:rPr>
        <w:t xml:space="preserve"> de Ingeniería en Diseño Industrial, en representación de las mujeres del Instituto Tecnológico de Costa Rica, extendemos las siguientes exigencias a nuestra universidad, con el fin de que sean atendidas con prioridad:</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hAnsi="Arial" w:cs="Arial"/>
          <w:i/>
          <w:lang w:val="es-CR" w:eastAsia="es-CR"/>
        </w:rPr>
      </w:pPr>
      <w:r w:rsidRPr="009531F6">
        <w:rPr>
          <w:rFonts w:ascii="Arial" w:hAnsi="Arial" w:cs="Arial"/>
          <w:i/>
          <w:lang w:val="es-CR" w:eastAsia="es-CR"/>
        </w:rPr>
        <w:t>1. Que la Oficina de Equidad de Género, Rectoría, la Vicerrectoría de Vida Estudiantil y Servicios Académicos (VIESA) y la FEITEC desarrollen mejores y más efectivos mecanismos de información y divulgación del Reglamento contra el Hostigamiento Sexual en el Empleo y la Academia del Instituto Tecnológico de Costa Rica, tal como se indica en el Capítulo “ll: PREVENCIÓN DEL HOSTIGAMIENTO SEXUAL Y DIVULGACIÓN DE TEMAS ASOCIADOS, artículo 6: de mecanismos de divulgación; así como campañas informativas en todas las sedes, más fuertes y constantes sobre los medios de denuncia que existen en la universidad, con el objetivo de que todas las mujeres pertenecientes a la comunidad estudiantil estén en pleno conocimiento de cómo proceder al ser víctimas de una situación de acoso u hostigamiento sexual”.</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hAnsi="Arial" w:cs="Arial"/>
          <w:i/>
          <w:lang w:val="es-CR" w:eastAsia="es-CR"/>
        </w:rPr>
      </w:pPr>
      <w:r w:rsidRPr="009531F6">
        <w:rPr>
          <w:rFonts w:ascii="Arial" w:hAnsi="Arial" w:cs="Arial"/>
          <w:i/>
          <w:lang w:val="es-CR" w:eastAsia="es-CR"/>
        </w:rPr>
        <w:t xml:space="preserve">2. Que los profesores denunciados y encontrados culpables por casos de acoso y hostigamiento, sean de conocimiento público en la Comunidad Estudiantil, con el objetivo de saber cuáles docentes ya tienen un historial relacionado al tema y así evitar que exista algún tipo de complicidad. Que se acabe de esta forma el pacto patriarcal, entre profesores que encubren abusadores, ignoran y minimizan las denuncias de las estudiantes. </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hAnsi="Arial" w:cs="Arial"/>
          <w:i/>
          <w:lang w:val="es-CR" w:eastAsia="es-CR"/>
        </w:rPr>
      </w:pPr>
      <w:r w:rsidRPr="009531F6">
        <w:rPr>
          <w:rFonts w:ascii="Arial" w:hAnsi="Arial" w:cs="Arial"/>
          <w:i/>
          <w:lang w:val="es-CR" w:eastAsia="es-CR"/>
        </w:rPr>
        <w:t>3. Que se valore seriamente la aplicación de sanciones más fuertes y de mayor extensión a los denunciados y culpables de acoso y hostigamiento.</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hAnsi="Arial" w:cs="Arial"/>
          <w:i/>
          <w:lang w:val="es-CR" w:eastAsia="es-CR"/>
        </w:rPr>
      </w:pPr>
      <w:r w:rsidRPr="009531F6">
        <w:rPr>
          <w:rFonts w:ascii="Arial" w:hAnsi="Arial" w:cs="Arial"/>
          <w:i/>
          <w:lang w:val="es-CR" w:eastAsia="es-CR"/>
        </w:rPr>
        <w:t>4. Que se desarrollen temáticas en contra del acoso y hostigamiento, en los cursos de introducción de cada carrera impartida de la universidad.</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hAnsi="Arial" w:cs="Arial"/>
          <w:i/>
          <w:lang w:val="es-CR" w:eastAsia="es-CR"/>
        </w:rPr>
      </w:pPr>
      <w:r w:rsidRPr="009531F6">
        <w:rPr>
          <w:rFonts w:ascii="Arial" w:hAnsi="Arial" w:cs="Arial"/>
          <w:i/>
          <w:lang w:val="es-CR" w:eastAsia="es-CR"/>
        </w:rPr>
        <w:t>5. Que se implemente un reglamento de buenas prácticas en cada escuela de la universidad, en el que se abarquen temas de equidad e igualdad de género y que deba ser firmado por cada profesor que labore en la escuela, de manera que se comprometan a cumplir con dichas prácticas, y que exista un mecanismo de evaluación de estas de forma que las faltas a las mismas tengan sus respectivas sanciones.</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hAnsi="Arial" w:cs="Arial"/>
          <w:i/>
          <w:lang w:val="es-CR" w:eastAsia="es-CR"/>
        </w:rPr>
      </w:pPr>
      <w:r w:rsidRPr="009531F6">
        <w:rPr>
          <w:rFonts w:ascii="Arial" w:hAnsi="Arial" w:cs="Arial"/>
          <w:i/>
          <w:lang w:val="es-CR" w:eastAsia="es-CR"/>
        </w:rPr>
        <w:t xml:space="preserve">6. Que se cumpla con lo estipulado en el Capítulo </w:t>
      </w:r>
      <w:proofErr w:type="spellStart"/>
      <w:r w:rsidRPr="009531F6">
        <w:rPr>
          <w:rFonts w:ascii="Arial" w:hAnsi="Arial" w:cs="Arial"/>
          <w:i/>
          <w:lang w:val="es-CR" w:eastAsia="es-CR"/>
        </w:rPr>
        <w:t>Vl</w:t>
      </w:r>
      <w:proofErr w:type="spellEnd"/>
      <w:r w:rsidRPr="009531F6">
        <w:rPr>
          <w:rFonts w:ascii="Arial" w:hAnsi="Arial" w:cs="Arial"/>
          <w:i/>
          <w:lang w:val="es-CR" w:eastAsia="es-CR"/>
        </w:rPr>
        <w:t>: DE LA COMISIÓN</w:t>
      </w:r>
    </w:p>
    <w:p w:rsidR="009531F6" w:rsidRPr="009531F6" w:rsidRDefault="009531F6" w:rsidP="009531F6">
      <w:pPr>
        <w:autoSpaceDE w:val="0"/>
        <w:autoSpaceDN w:val="0"/>
        <w:adjustRightInd w:val="0"/>
        <w:ind w:left="993"/>
        <w:jc w:val="both"/>
        <w:rPr>
          <w:rFonts w:ascii="Arial" w:hAnsi="Arial" w:cs="Arial"/>
          <w:i/>
          <w:lang w:val="es-CR" w:eastAsia="es-CR"/>
        </w:rPr>
      </w:pPr>
      <w:r w:rsidRPr="009531F6">
        <w:rPr>
          <w:rFonts w:ascii="Arial" w:hAnsi="Arial" w:cs="Arial"/>
          <w:i/>
          <w:lang w:val="es-CR" w:eastAsia="es-CR"/>
        </w:rPr>
        <w:t>INSTITUCIONAL CONTRA EL HOSTIGAMIENTO SEXUAL (CIHS) Y</w:t>
      </w:r>
    </w:p>
    <w:p w:rsidR="009531F6" w:rsidRPr="009531F6" w:rsidRDefault="009531F6" w:rsidP="009531F6">
      <w:pPr>
        <w:autoSpaceDE w:val="0"/>
        <w:autoSpaceDN w:val="0"/>
        <w:adjustRightInd w:val="0"/>
        <w:ind w:left="993"/>
        <w:jc w:val="both"/>
        <w:rPr>
          <w:rFonts w:ascii="Arial" w:hAnsi="Arial" w:cs="Arial"/>
          <w:i/>
          <w:lang w:val="es-CR" w:eastAsia="es-CR"/>
        </w:rPr>
      </w:pPr>
      <w:r w:rsidRPr="009531F6">
        <w:rPr>
          <w:rFonts w:ascii="Arial" w:hAnsi="Arial" w:cs="Arial"/>
          <w:i/>
          <w:lang w:val="es-CR" w:eastAsia="es-CR"/>
        </w:rPr>
        <w:t>COMISIONES INVESTIGADORAS, artículo 21: “De las funciones de la comisión institucional contra el hostigamiento sexual, del Reglamento contra el hostigamiento sexual en el TEC. Que las personas pertenecientes a dicha comisión sean de conocimiento público, así como su plan de trabajo anual para el cumplimiento de las acciones preventivas, procesos de capacitación y otras asignadas por este Reglamento y por la Ley, indicado en el inciso b de este mismo artículo”.</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hAnsi="Arial" w:cs="Arial"/>
          <w:i/>
          <w:lang w:val="es-CR" w:eastAsia="es-CR"/>
        </w:rPr>
      </w:pPr>
      <w:r w:rsidRPr="009531F6">
        <w:rPr>
          <w:rFonts w:ascii="Arial" w:hAnsi="Arial" w:cs="Arial"/>
          <w:i/>
          <w:lang w:val="es-CR" w:eastAsia="es-CR"/>
        </w:rPr>
        <w:lastRenderedPageBreak/>
        <w:t>7. Que se aclare amplia y específicamente cuáles faltas se consideran como leves, graves y muy graves, clasificación que se indica en el “capítulo IV: FALTAS Y SANCIONES, artículo 11: Faltas, del reglamento estipulado”.</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hAnsi="Arial" w:cs="Arial"/>
          <w:i/>
          <w:lang w:val="es-CR" w:eastAsia="es-CR"/>
        </w:rPr>
      </w:pPr>
      <w:r w:rsidRPr="009531F6">
        <w:rPr>
          <w:rFonts w:ascii="Arial" w:hAnsi="Arial" w:cs="Arial"/>
          <w:i/>
          <w:lang w:val="es-CR" w:eastAsia="es-CR"/>
        </w:rPr>
        <w:t>8. Que se desarrolle e implemente lo antes posible, un reglamento en contra de todo tipo de hostigamiento y no solamente el hostigamiento sexual en el Instituto Tecnológico de Costa Rica.</w:t>
      </w:r>
    </w:p>
    <w:p w:rsidR="009531F6" w:rsidRPr="009531F6" w:rsidRDefault="009531F6" w:rsidP="009531F6">
      <w:pPr>
        <w:autoSpaceDE w:val="0"/>
        <w:autoSpaceDN w:val="0"/>
        <w:adjustRightInd w:val="0"/>
        <w:ind w:left="706"/>
        <w:jc w:val="both"/>
        <w:rPr>
          <w:rFonts w:ascii="Arial" w:hAnsi="Arial" w:cs="Arial"/>
          <w:i/>
          <w:lang w:val="es-CR" w:eastAsia="es-CR"/>
        </w:rPr>
      </w:pPr>
    </w:p>
    <w:p w:rsidR="009531F6" w:rsidRPr="009531F6" w:rsidRDefault="009531F6" w:rsidP="009531F6">
      <w:pPr>
        <w:autoSpaceDE w:val="0"/>
        <w:autoSpaceDN w:val="0"/>
        <w:adjustRightInd w:val="0"/>
        <w:ind w:left="993" w:hanging="284"/>
        <w:jc w:val="both"/>
        <w:rPr>
          <w:rFonts w:ascii="Arial" w:eastAsia="ArialMT" w:hAnsi="Arial" w:cs="Arial"/>
          <w:i/>
          <w:lang w:val="es-CR" w:eastAsia="es-CR"/>
        </w:rPr>
      </w:pPr>
      <w:r w:rsidRPr="009531F6">
        <w:rPr>
          <w:rFonts w:ascii="Arial" w:hAnsi="Arial" w:cs="Arial"/>
          <w:i/>
          <w:lang w:val="es-CR" w:eastAsia="es-CR"/>
        </w:rPr>
        <w:t>9. Que en los Consejos de Escuela y en las Asambleas Generales de Estudiantes, se abra un espacio de discusión para temas con perspectiva de género, enfocados en el contexto propio de cada carrera.”</w:t>
      </w:r>
    </w:p>
    <w:p w:rsidR="009531F6" w:rsidRPr="009531F6" w:rsidRDefault="009531F6" w:rsidP="009531F6">
      <w:pPr>
        <w:ind w:right="-91"/>
        <w:jc w:val="both"/>
        <w:rPr>
          <w:rFonts w:ascii="Arial" w:hAnsi="Arial" w:cs="Arial"/>
          <w:sz w:val="20"/>
          <w:szCs w:val="20"/>
          <w:lang w:val="es-CR"/>
        </w:rPr>
      </w:pPr>
    </w:p>
    <w:p w:rsidR="009531F6" w:rsidRPr="009531F6" w:rsidRDefault="009531F6" w:rsidP="009531F6">
      <w:pPr>
        <w:ind w:right="-91"/>
        <w:rPr>
          <w:rFonts w:ascii="Arial" w:hAnsi="Arial" w:cs="Arial"/>
          <w:b/>
          <w:lang w:val="es-CR"/>
        </w:rPr>
      </w:pPr>
      <w:r w:rsidRPr="009531F6">
        <w:rPr>
          <w:rFonts w:ascii="Arial" w:hAnsi="Arial" w:cs="Arial"/>
          <w:b/>
          <w:lang w:val="es-CR"/>
        </w:rPr>
        <w:t>SE</w:t>
      </w:r>
      <w:r>
        <w:rPr>
          <w:rFonts w:ascii="Arial" w:hAnsi="Arial" w:cs="Arial"/>
          <w:b/>
          <w:lang w:val="es-CR"/>
        </w:rPr>
        <w:t xml:space="preserve"> ACUERDA</w:t>
      </w:r>
      <w:r w:rsidRPr="009531F6">
        <w:rPr>
          <w:rFonts w:ascii="Arial" w:hAnsi="Arial" w:cs="Arial"/>
          <w:b/>
          <w:lang w:val="es-CR"/>
        </w:rPr>
        <w:t>:</w:t>
      </w:r>
    </w:p>
    <w:p w:rsidR="009531F6" w:rsidRPr="009531F6" w:rsidRDefault="009531F6" w:rsidP="009531F6">
      <w:pPr>
        <w:ind w:left="360" w:right="-91"/>
        <w:rPr>
          <w:rFonts w:ascii="Arial" w:hAnsi="Arial" w:cs="Arial"/>
          <w:sz w:val="16"/>
          <w:szCs w:val="16"/>
        </w:rPr>
      </w:pPr>
    </w:p>
    <w:p w:rsidR="009531F6" w:rsidRPr="009531F6" w:rsidRDefault="009531F6" w:rsidP="009531F6">
      <w:pPr>
        <w:numPr>
          <w:ilvl w:val="0"/>
          <w:numId w:val="13"/>
        </w:numPr>
        <w:ind w:left="426" w:right="-91" w:hanging="426"/>
        <w:jc w:val="both"/>
        <w:rPr>
          <w:rFonts w:ascii="Arial" w:hAnsi="Arial" w:cs="Arial"/>
          <w:lang w:val="es-CR"/>
        </w:rPr>
      </w:pPr>
      <w:r w:rsidRPr="009531F6">
        <w:rPr>
          <w:rFonts w:ascii="Arial" w:hAnsi="Arial" w:cs="Arial"/>
        </w:rPr>
        <w:t>Repudiar todo tipo de violencia sexual hacia las mujeres.</w:t>
      </w:r>
    </w:p>
    <w:p w:rsidR="009531F6" w:rsidRPr="009531F6" w:rsidRDefault="009531F6" w:rsidP="009531F6">
      <w:pPr>
        <w:ind w:left="360" w:right="-91"/>
        <w:jc w:val="both"/>
        <w:rPr>
          <w:rFonts w:ascii="Arial" w:hAnsi="Arial" w:cs="Arial"/>
          <w:lang w:val="es-CR"/>
        </w:rPr>
      </w:pPr>
    </w:p>
    <w:p w:rsidR="009531F6" w:rsidRPr="009531F6" w:rsidRDefault="009531F6" w:rsidP="009531F6">
      <w:pPr>
        <w:numPr>
          <w:ilvl w:val="0"/>
          <w:numId w:val="13"/>
        </w:numPr>
        <w:ind w:left="426" w:right="-91" w:hanging="426"/>
        <w:jc w:val="both"/>
        <w:rPr>
          <w:rFonts w:ascii="Arial" w:hAnsi="Arial" w:cs="Arial"/>
          <w:lang w:val="es-CR"/>
        </w:rPr>
      </w:pPr>
      <w:r w:rsidRPr="009531F6">
        <w:rPr>
          <w:rFonts w:ascii="Arial" w:hAnsi="Arial" w:cs="Arial"/>
        </w:rPr>
        <w:t>Reafirmar el compromiso como universidad pública, de velar y contribuir en la construcción de una sociedad más justa y equitativa.</w:t>
      </w:r>
    </w:p>
    <w:p w:rsidR="009531F6" w:rsidRPr="009531F6" w:rsidRDefault="009531F6" w:rsidP="009531F6">
      <w:pPr>
        <w:ind w:left="360" w:right="-91"/>
        <w:jc w:val="both"/>
        <w:rPr>
          <w:rFonts w:ascii="Arial" w:hAnsi="Arial" w:cs="Arial"/>
          <w:lang w:val="es-CR"/>
        </w:rPr>
      </w:pPr>
    </w:p>
    <w:p w:rsidR="009531F6" w:rsidRPr="009531F6" w:rsidRDefault="009531F6" w:rsidP="009531F6">
      <w:pPr>
        <w:numPr>
          <w:ilvl w:val="0"/>
          <w:numId w:val="13"/>
        </w:numPr>
        <w:ind w:left="426" w:right="-91" w:hanging="426"/>
        <w:jc w:val="both"/>
        <w:rPr>
          <w:rFonts w:ascii="Arial" w:hAnsi="Arial" w:cs="Arial"/>
          <w:lang w:val="es-CR"/>
        </w:rPr>
      </w:pPr>
      <w:r w:rsidRPr="009531F6">
        <w:rPr>
          <w:rFonts w:ascii="Arial" w:hAnsi="Arial" w:cs="Arial"/>
          <w:lang w:val="es-CR"/>
        </w:rPr>
        <w:t>Unirse a la Declaratoria de Estado de Emergencia, ante la violencia sexual hacia las estudiantes en Universidades Públicas.</w:t>
      </w:r>
    </w:p>
    <w:p w:rsidR="009531F6" w:rsidRPr="009531F6" w:rsidRDefault="009531F6" w:rsidP="009531F6">
      <w:pPr>
        <w:ind w:left="708"/>
        <w:rPr>
          <w:rFonts w:ascii="Arial" w:hAnsi="Arial" w:cs="Arial"/>
          <w:lang w:val="es-CR"/>
        </w:rPr>
      </w:pPr>
    </w:p>
    <w:p w:rsidR="009531F6" w:rsidRPr="009531F6" w:rsidRDefault="009531F6" w:rsidP="009531F6">
      <w:pPr>
        <w:numPr>
          <w:ilvl w:val="0"/>
          <w:numId w:val="13"/>
        </w:numPr>
        <w:ind w:left="426" w:right="-91" w:hanging="426"/>
        <w:jc w:val="both"/>
        <w:rPr>
          <w:rFonts w:ascii="Arial" w:hAnsi="Arial" w:cs="Arial"/>
          <w:lang w:val="es-CR"/>
        </w:rPr>
      </w:pPr>
      <w:r w:rsidRPr="009531F6">
        <w:rPr>
          <w:rFonts w:ascii="Arial" w:hAnsi="Arial" w:cs="Arial"/>
          <w:lang w:val="es-CR"/>
        </w:rPr>
        <w:t xml:space="preserve">Solicitar a la Rectoría: </w:t>
      </w:r>
    </w:p>
    <w:p w:rsidR="009531F6" w:rsidRPr="009531F6" w:rsidRDefault="009531F6" w:rsidP="009531F6">
      <w:pPr>
        <w:ind w:right="-91"/>
        <w:jc w:val="both"/>
        <w:rPr>
          <w:rFonts w:ascii="Arial" w:hAnsi="Arial" w:cs="Arial"/>
          <w:lang w:val="es-CR"/>
        </w:rPr>
      </w:pPr>
      <w:r w:rsidRPr="009531F6">
        <w:rPr>
          <w:rFonts w:ascii="Arial" w:hAnsi="Arial" w:cs="Arial"/>
          <w:lang w:val="es-CR"/>
        </w:rPr>
        <w:t xml:space="preserve"> </w:t>
      </w:r>
    </w:p>
    <w:p w:rsidR="009531F6" w:rsidRPr="009531F6" w:rsidRDefault="009531F6" w:rsidP="009531F6">
      <w:pPr>
        <w:ind w:left="1134" w:hanging="426"/>
        <w:jc w:val="both"/>
        <w:rPr>
          <w:rFonts w:ascii="Arial" w:hAnsi="Arial" w:cs="Arial"/>
          <w:lang w:val="es-CR"/>
        </w:rPr>
      </w:pPr>
      <w:r w:rsidRPr="009531F6">
        <w:rPr>
          <w:rFonts w:ascii="Arial" w:hAnsi="Arial" w:cs="Arial"/>
          <w:lang w:val="es-CR"/>
        </w:rPr>
        <w:t>a.</w:t>
      </w:r>
      <w:r w:rsidRPr="009531F6">
        <w:rPr>
          <w:rFonts w:ascii="Arial" w:hAnsi="Arial" w:cs="Arial"/>
          <w:lang w:val="es-CR"/>
        </w:rPr>
        <w:tab/>
        <w:t>Dar respuesta a las peticiones que considera la Declaratoria, en coordinación con la Oficina de Equidad de Género, la Comisión contra el Hostigamiento Sexual, las Vicerrectorías y todos los Campus Tecnológicos Locales y Centros Académicos del ITCR.</w:t>
      </w:r>
    </w:p>
    <w:p w:rsidR="009531F6" w:rsidRPr="009531F6" w:rsidRDefault="009531F6" w:rsidP="009531F6">
      <w:pPr>
        <w:ind w:left="708"/>
        <w:jc w:val="both"/>
        <w:rPr>
          <w:rFonts w:ascii="Arial" w:hAnsi="Arial" w:cs="Arial"/>
          <w:lang w:val="es-CR"/>
        </w:rPr>
      </w:pPr>
    </w:p>
    <w:p w:rsidR="009531F6" w:rsidRPr="009531F6" w:rsidRDefault="009531F6" w:rsidP="009531F6">
      <w:pPr>
        <w:ind w:left="1134" w:hanging="426"/>
        <w:jc w:val="both"/>
        <w:rPr>
          <w:rFonts w:ascii="Arial" w:hAnsi="Arial" w:cs="Arial"/>
          <w:lang w:val="es-CR"/>
        </w:rPr>
      </w:pPr>
      <w:r w:rsidRPr="009531F6">
        <w:rPr>
          <w:rFonts w:ascii="Arial" w:hAnsi="Arial" w:cs="Arial"/>
          <w:lang w:val="es-CR"/>
        </w:rPr>
        <w:t>b.</w:t>
      </w:r>
      <w:r w:rsidRPr="009531F6">
        <w:rPr>
          <w:rFonts w:ascii="Arial" w:hAnsi="Arial" w:cs="Arial"/>
          <w:lang w:val="es-CR"/>
        </w:rPr>
        <w:tab/>
        <w:t>Presentar informe al Consejo Institucional sobre lo actuado, en un plazo de 10 días hábiles, contados desde la comunicación del presente acuerdo.</w:t>
      </w:r>
    </w:p>
    <w:p w:rsidR="009531F6" w:rsidRPr="009531F6" w:rsidRDefault="009531F6" w:rsidP="009531F6">
      <w:pPr>
        <w:ind w:left="708"/>
        <w:rPr>
          <w:rFonts w:ascii="Arial" w:hAnsi="Arial" w:cs="Arial"/>
          <w:lang w:val="es-CR"/>
        </w:rPr>
      </w:pPr>
    </w:p>
    <w:p w:rsidR="009531F6" w:rsidRPr="009531F6" w:rsidRDefault="009531F6" w:rsidP="009531F6">
      <w:pPr>
        <w:numPr>
          <w:ilvl w:val="0"/>
          <w:numId w:val="13"/>
        </w:numPr>
        <w:ind w:left="426" w:right="-91" w:hanging="426"/>
        <w:jc w:val="both"/>
        <w:rPr>
          <w:rFonts w:ascii="Arial" w:hAnsi="Arial" w:cs="Arial"/>
          <w:lang w:val="es-CR"/>
        </w:rPr>
      </w:pPr>
      <w:r w:rsidRPr="009531F6">
        <w:rPr>
          <w:rFonts w:ascii="Arial" w:hAnsi="Arial" w:cs="Arial"/>
          <w:lang w:val="es-CR"/>
        </w:rPr>
        <w:t>Indicar que contra este acuerdo podrá interponerse recurso de revocatoria ante este consejo o de apelación ante la Asamblea Institucional Representativa, en el plazo máximo de cinco días hábiles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rsidR="009531F6" w:rsidRPr="009531F6" w:rsidRDefault="009531F6" w:rsidP="009531F6">
      <w:pPr>
        <w:ind w:left="360" w:right="-91"/>
        <w:jc w:val="both"/>
        <w:rPr>
          <w:rFonts w:ascii="Arial" w:hAnsi="Arial" w:cs="Arial"/>
          <w:lang w:val="es-CR"/>
        </w:rPr>
      </w:pPr>
    </w:p>
    <w:p w:rsidR="009531F6" w:rsidRPr="009531F6" w:rsidRDefault="009531F6" w:rsidP="009531F6">
      <w:pPr>
        <w:numPr>
          <w:ilvl w:val="0"/>
          <w:numId w:val="13"/>
        </w:numPr>
        <w:ind w:left="426" w:right="-91" w:hanging="426"/>
        <w:jc w:val="both"/>
        <w:rPr>
          <w:rFonts w:ascii="Arial" w:hAnsi="Arial" w:cs="Arial"/>
          <w:lang w:val="es-CR"/>
        </w:rPr>
      </w:pPr>
      <w:r w:rsidRPr="009531F6">
        <w:rPr>
          <w:rFonts w:ascii="Arial" w:hAnsi="Arial" w:cs="Arial"/>
          <w:lang w:val="es-CR"/>
        </w:rPr>
        <w:t>Comunicar a la Comunidad Institucional</w:t>
      </w:r>
    </w:p>
    <w:p w:rsidR="009D29F1" w:rsidRPr="009D29F1" w:rsidRDefault="009D29F1" w:rsidP="009531F6">
      <w:pPr>
        <w:contextualSpacing/>
        <w:jc w:val="both"/>
        <w:rPr>
          <w:rFonts w:ascii="Arial" w:hAnsi="Arial" w:cs="Arial"/>
        </w:rPr>
      </w:pPr>
    </w:p>
    <w:p w:rsidR="00917157" w:rsidRPr="009531F6" w:rsidRDefault="003C360C" w:rsidP="009531F6">
      <w:pPr>
        <w:numPr>
          <w:ilvl w:val="0"/>
          <w:numId w:val="13"/>
        </w:numPr>
        <w:ind w:left="426" w:right="-91" w:hanging="426"/>
        <w:jc w:val="both"/>
        <w:rPr>
          <w:rFonts w:ascii="Arial" w:hAnsi="Arial" w:cs="Arial"/>
        </w:rPr>
      </w:pPr>
      <w:r w:rsidRPr="003C360C">
        <w:rPr>
          <w:rFonts w:ascii="Arial" w:hAnsi="Arial" w:cs="Arial"/>
          <w:lang w:val="es-CR"/>
        </w:rPr>
        <w:t>Comunicar.</w:t>
      </w:r>
      <w:r>
        <w:rPr>
          <w:rFonts w:ascii="Arial" w:hAnsi="Arial" w:cs="Arial"/>
          <w:b/>
          <w:lang w:val="es-CR"/>
        </w:rPr>
        <w:t xml:space="preserve">  </w:t>
      </w:r>
      <w:r w:rsidR="00917157">
        <w:rPr>
          <w:rFonts w:ascii="Arial" w:hAnsi="Arial" w:cs="Arial"/>
          <w:b/>
          <w:lang w:val="es-CR"/>
        </w:rPr>
        <w:t>ACUERDO FIRME.</w:t>
      </w:r>
    </w:p>
    <w:p w:rsidR="00722346" w:rsidRPr="003677EC" w:rsidRDefault="00722346" w:rsidP="003677EC">
      <w:pPr>
        <w:rPr>
          <w:rFonts w:ascii="Arial" w:hAnsi="Arial" w:cs="Arial"/>
        </w:rPr>
      </w:pPr>
    </w:p>
    <w:p w:rsidR="00722346" w:rsidRPr="009531F6" w:rsidRDefault="009531F6" w:rsidP="009531F6">
      <w:pPr>
        <w:ind w:left="-709" w:firstLine="709"/>
        <w:rPr>
          <w:rFonts w:ascii="Arial" w:hAnsi="Arial" w:cs="Arial"/>
          <w:b/>
          <w:sz w:val="22"/>
          <w:szCs w:val="22"/>
          <w:lang w:val="es-CR"/>
        </w:rPr>
      </w:pPr>
      <w:r w:rsidRPr="009531F6">
        <w:rPr>
          <w:rFonts w:ascii="Arial" w:hAnsi="Arial" w:cs="Arial"/>
          <w:b/>
          <w:sz w:val="22"/>
          <w:szCs w:val="22"/>
          <w:lang w:val="es-CR"/>
        </w:rPr>
        <w:t>Palabras clave:  Unirse – Declaratoria – Emergencia- abuso -sexual -aulas</w:t>
      </w:r>
    </w:p>
    <w:p w:rsidR="00CF46CC" w:rsidRPr="00722346" w:rsidRDefault="00CF46CC" w:rsidP="00722346">
      <w:pPr>
        <w:rPr>
          <w:rFonts w:ascii="Arial" w:hAnsi="Arial" w:cs="Arial"/>
          <w:b/>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B77B04" w:rsidRPr="003677EC" w:rsidRDefault="00C413F4" w:rsidP="00F41044">
      <w:pPr>
        <w:jc w:val="both"/>
        <w:rPr>
          <w:rFonts w:ascii="Arial" w:hAnsi="Arial" w:cs="Arial"/>
          <w:b/>
          <w:sz w:val="16"/>
          <w:szCs w:val="16"/>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bookmarkStart w:id="0" w:name="_GoBack"/>
      <w:bookmarkEnd w:id="0"/>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sectPr w:rsidR="00F41044" w:rsidRPr="00B77B0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B7" w:rsidRDefault="009160B7">
      <w:r>
        <w:separator/>
      </w:r>
    </w:p>
  </w:endnote>
  <w:endnote w:type="continuationSeparator" w:id="0">
    <w:p w:rsidR="009160B7" w:rsidRDefault="0091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B7" w:rsidRDefault="009160B7">
      <w:r>
        <w:separator/>
      </w:r>
    </w:p>
  </w:footnote>
  <w:footnote w:type="continuationSeparator" w:id="0">
    <w:p w:rsidR="009160B7" w:rsidRDefault="0091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w:t>
    </w:r>
    <w:r w:rsidR="001E3F3C">
      <w:rPr>
        <w:rFonts w:ascii="Arial" w:eastAsia="Cambria" w:hAnsi="Arial" w:cs="Arial"/>
        <w:i/>
        <w:sz w:val="18"/>
        <w:szCs w:val="18"/>
        <w:lang w:val="es-ES_tradnl" w:eastAsia="x-none"/>
      </w:rPr>
      <w:t>1</w:t>
    </w:r>
    <w:r w:rsidR="00363DC9">
      <w:rPr>
        <w:rFonts w:ascii="Arial" w:eastAsia="Cambria" w:hAnsi="Arial" w:cs="Arial"/>
        <w:i/>
        <w:sz w:val="18"/>
        <w:szCs w:val="18"/>
        <w:lang w:val="es-ES_tradnl" w:eastAsia="x-none"/>
      </w:rPr>
      <w:t>9</w:t>
    </w:r>
    <w:r w:rsidRPr="00D958BC">
      <w:rPr>
        <w:rFonts w:ascii="Arial" w:eastAsia="Cambria" w:hAnsi="Arial" w:cs="Arial"/>
        <w:i/>
        <w:sz w:val="18"/>
        <w:szCs w:val="18"/>
        <w:lang w:val="es-ES_tradnl" w:eastAsia="x-none"/>
      </w:rPr>
      <w:t xml:space="preserve"> Artículo</w:t>
    </w:r>
    <w:r w:rsidR="00314BAD">
      <w:rPr>
        <w:rFonts w:ascii="Arial" w:eastAsia="Cambria" w:hAnsi="Arial" w:cs="Arial"/>
        <w:i/>
        <w:sz w:val="18"/>
        <w:szCs w:val="18"/>
        <w:lang w:val="es-ES_tradnl" w:eastAsia="x-none"/>
      </w:rPr>
      <w:t xml:space="preserve"> 1</w:t>
    </w:r>
    <w:r w:rsidR="009531F6">
      <w:rPr>
        <w:rFonts w:ascii="Arial" w:eastAsia="Cambria" w:hAnsi="Arial" w:cs="Arial"/>
        <w:i/>
        <w:sz w:val="18"/>
        <w:szCs w:val="18"/>
        <w:lang w:val="es-ES_tradnl" w:eastAsia="x-none"/>
      </w:rPr>
      <w:t>6</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FD534B">
      <w:rPr>
        <w:rFonts w:ascii="Arial" w:eastAsia="Cambria" w:hAnsi="Arial" w:cs="Arial"/>
        <w:i/>
        <w:sz w:val="18"/>
        <w:szCs w:val="18"/>
        <w:lang w:val="es-ES_tradnl" w:eastAsia="x-none"/>
      </w:rPr>
      <w:t>2</w:t>
    </w:r>
    <w:r w:rsidR="00363DC9">
      <w:rPr>
        <w:rFonts w:ascii="Arial" w:eastAsia="Cambria" w:hAnsi="Arial" w:cs="Arial"/>
        <w:i/>
        <w:sz w:val="18"/>
        <w:szCs w:val="18"/>
        <w:lang w:val="es-ES_tradnl" w:eastAsia="x-none"/>
      </w:rPr>
      <w:t>9</w:t>
    </w:r>
    <w:r w:rsidR="00FD534B">
      <w:rPr>
        <w:rFonts w:ascii="Arial" w:eastAsia="Cambria" w:hAnsi="Arial" w:cs="Arial"/>
        <w:i/>
        <w:sz w:val="18"/>
        <w:szCs w:val="18"/>
        <w:lang w:val="es-ES_tradnl" w:eastAsia="x-none"/>
      </w:rPr>
      <w:t xml:space="preserve"> </w:t>
    </w:r>
    <w:r w:rsidR="005A7222">
      <w:rPr>
        <w:rFonts w:ascii="Arial" w:eastAsia="Cambria" w:hAnsi="Arial" w:cs="Arial"/>
        <w:i/>
        <w:sz w:val="18"/>
        <w:szCs w:val="18"/>
        <w:lang w:val="es-ES_tradnl" w:eastAsia="x-none"/>
      </w:rPr>
      <w:t xml:space="preserve">de </w:t>
    </w:r>
    <w:r w:rsidR="00571C76">
      <w:rPr>
        <w:rFonts w:ascii="Arial" w:eastAsia="Cambria" w:hAnsi="Arial" w:cs="Arial"/>
        <w:i/>
        <w:sz w:val="18"/>
        <w:szCs w:val="18"/>
        <w:lang w:val="es-ES_tradnl" w:eastAsia="x-none"/>
      </w:rPr>
      <w:t>mayo</w:t>
    </w:r>
    <w:r w:rsidR="005A7222">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AA61D4">
      <w:rPr>
        <w:rFonts w:ascii="Arial" w:eastAsia="Cambria" w:hAnsi="Arial" w:cs="Arial"/>
        <w:i/>
        <w:sz w:val="18"/>
        <w:szCs w:val="18"/>
        <w:lang w:val="es-ES_tradnl" w:eastAsia="x-none"/>
      </w:rPr>
      <w:t>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3677EC">
      <w:rPr>
        <w:rFonts w:ascii="Arial" w:eastAsia="Cambria" w:hAnsi="Arial" w:cs="Arial"/>
        <w:i/>
        <w:noProof/>
        <w:sz w:val="18"/>
        <w:szCs w:val="18"/>
        <w:lang w:val="es-ES_tradnl" w:eastAsia="x-none"/>
      </w:rPr>
      <w:t>4</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58001B"/>
    <w:multiLevelType w:val="hybridMultilevel"/>
    <w:tmpl w:val="37A40CA0"/>
    <w:lvl w:ilvl="0" w:tplc="C4BE44FC">
      <w:start w:val="1"/>
      <w:numFmt w:val="decimal"/>
      <w:lvlText w:val="%1."/>
      <w:lvlJc w:val="left"/>
      <w:pPr>
        <w:ind w:left="360" w:hanging="360"/>
      </w:pPr>
      <w:rPr>
        <w:b/>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911675"/>
    <w:multiLevelType w:val="hybridMultilevel"/>
    <w:tmpl w:val="6C4E444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Times New Roman"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Times New Roman"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Times New Roman" w:hint="default"/>
      </w:rPr>
    </w:lvl>
    <w:lvl w:ilvl="8" w:tplc="140A0005">
      <w:start w:val="1"/>
      <w:numFmt w:val="bullet"/>
      <w:lvlText w:val=""/>
      <w:lvlJc w:val="left"/>
      <w:pPr>
        <w:ind w:left="6480" w:hanging="360"/>
      </w:pPr>
      <w:rPr>
        <w:rFonts w:ascii="Wingdings" w:hAnsi="Wingdings" w:hint="default"/>
      </w:rPr>
    </w:lvl>
  </w:abstractNum>
  <w:abstractNum w:abstractNumId="4" w15:restartNumberingAfterBreak="0">
    <w:nsid w:val="0E6A2499"/>
    <w:multiLevelType w:val="hybridMultilevel"/>
    <w:tmpl w:val="ED6CFDDE"/>
    <w:lvl w:ilvl="0" w:tplc="C97654C8">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DB1622"/>
    <w:multiLevelType w:val="hybridMultilevel"/>
    <w:tmpl w:val="3B00C8E4"/>
    <w:lvl w:ilvl="0" w:tplc="78B4FC56">
      <w:start w:val="1"/>
      <w:numFmt w:val="decimal"/>
      <w:lvlText w:val="%1."/>
      <w:lvlJc w:val="left"/>
      <w:pPr>
        <w:ind w:left="720" w:hanging="360"/>
      </w:pPr>
      <w:rPr>
        <w:b/>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A01FB4"/>
    <w:multiLevelType w:val="hybridMultilevel"/>
    <w:tmpl w:val="0532D30C"/>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228579F8"/>
    <w:multiLevelType w:val="hybridMultilevel"/>
    <w:tmpl w:val="EDAEE0BE"/>
    <w:lvl w:ilvl="0" w:tplc="80EC530C">
      <w:start w:val="2"/>
      <w:numFmt w:val="lowerLetter"/>
      <w:lvlText w:val="%1."/>
      <w:lvlJc w:val="left"/>
      <w:pPr>
        <w:tabs>
          <w:tab w:val="num" w:pos="360"/>
        </w:tabs>
        <w:ind w:left="360" w:hanging="360"/>
      </w:pPr>
      <w:rPr>
        <w:rFonts w:cs="TTE1865388t00" w:hint="default"/>
        <w:b/>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7D2700B"/>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D22650"/>
    <w:multiLevelType w:val="hybridMultilevel"/>
    <w:tmpl w:val="03449E1E"/>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1" w15:restartNumberingAfterBreak="0">
    <w:nsid w:val="31FE12BA"/>
    <w:multiLevelType w:val="hybridMultilevel"/>
    <w:tmpl w:val="7794E638"/>
    <w:lvl w:ilvl="0" w:tplc="B9F81788">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323B497B"/>
    <w:multiLevelType w:val="hybridMultilevel"/>
    <w:tmpl w:val="69C64498"/>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34457C96"/>
    <w:multiLevelType w:val="hybridMultilevel"/>
    <w:tmpl w:val="44587940"/>
    <w:lvl w:ilvl="0" w:tplc="0E60F9E6">
      <w:start w:val="1"/>
      <w:numFmt w:val="lowerLetter"/>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4" w15:restartNumberingAfterBreak="0">
    <w:nsid w:val="37852E90"/>
    <w:multiLevelType w:val="hybridMultilevel"/>
    <w:tmpl w:val="5ECC2DE6"/>
    <w:lvl w:ilvl="0" w:tplc="0D1C376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6F2D92"/>
    <w:multiLevelType w:val="multilevel"/>
    <w:tmpl w:val="C820FF60"/>
    <w:lvl w:ilvl="0">
      <w:start w:val="1"/>
      <w:numFmt w:val="decimal"/>
      <w:lvlText w:val="%1."/>
      <w:lvlJc w:val="left"/>
      <w:pPr>
        <w:tabs>
          <w:tab w:val="num" w:pos="3252"/>
        </w:tabs>
        <w:ind w:left="3252" w:hanging="360"/>
      </w:pPr>
    </w:lvl>
    <w:lvl w:ilvl="1" w:tentative="1">
      <w:start w:val="1"/>
      <w:numFmt w:val="decimal"/>
      <w:lvlText w:val="%2."/>
      <w:lvlJc w:val="left"/>
      <w:pPr>
        <w:tabs>
          <w:tab w:val="num" w:pos="3972"/>
        </w:tabs>
        <w:ind w:left="3972" w:hanging="360"/>
      </w:pPr>
    </w:lvl>
    <w:lvl w:ilvl="2" w:tentative="1">
      <w:start w:val="1"/>
      <w:numFmt w:val="decimal"/>
      <w:lvlText w:val="%3."/>
      <w:lvlJc w:val="left"/>
      <w:pPr>
        <w:tabs>
          <w:tab w:val="num" w:pos="4692"/>
        </w:tabs>
        <w:ind w:left="4692" w:hanging="360"/>
      </w:pPr>
    </w:lvl>
    <w:lvl w:ilvl="3" w:tentative="1">
      <w:start w:val="1"/>
      <w:numFmt w:val="decimal"/>
      <w:lvlText w:val="%4."/>
      <w:lvlJc w:val="left"/>
      <w:pPr>
        <w:tabs>
          <w:tab w:val="num" w:pos="5412"/>
        </w:tabs>
        <w:ind w:left="5412" w:hanging="360"/>
      </w:pPr>
    </w:lvl>
    <w:lvl w:ilvl="4" w:tentative="1">
      <w:start w:val="1"/>
      <w:numFmt w:val="decimal"/>
      <w:lvlText w:val="%5."/>
      <w:lvlJc w:val="left"/>
      <w:pPr>
        <w:tabs>
          <w:tab w:val="num" w:pos="6132"/>
        </w:tabs>
        <w:ind w:left="6132" w:hanging="360"/>
      </w:pPr>
    </w:lvl>
    <w:lvl w:ilvl="5" w:tentative="1">
      <w:start w:val="1"/>
      <w:numFmt w:val="decimal"/>
      <w:lvlText w:val="%6."/>
      <w:lvlJc w:val="left"/>
      <w:pPr>
        <w:tabs>
          <w:tab w:val="num" w:pos="6852"/>
        </w:tabs>
        <w:ind w:left="6852" w:hanging="360"/>
      </w:pPr>
    </w:lvl>
    <w:lvl w:ilvl="6" w:tentative="1">
      <w:start w:val="1"/>
      <w:numFmt w:val="decimal"/>
      <w:lvlText w:val="%7."/>
      <w:lvlJc w:val="left"/>
      <w:pPr>
        <w:tabs>
          <w:tab w:val="num" w:pos="7572"/>
        </w:tabs>
        <w:ind w:left="7572" w:hanging="360"/>
      </w:pPr>
    </w:lvl>
    <w:lvl w:ilvl="7" w:tentative="1">
      <w:start w:val="1"/>
      <w:numFmt w:val="decimal"/>
      <w:lvlText w:val="%8."/>
      <w:lvlJc w:val="left"/>
      <w:pPr>
        <w:tabs>
          <w:tab w:val="num" w:pos="8292"/>
        </w:tabs>
        <w:ind w:left="8292" w:hanging="360"/>
      </w:pPr>
    </w:lvl>
    <w:lvl w:ilvl="8" w:tentative="1">
      <w:start w:val="1"/>
      <w:numFmt w:val="decimal"/>
      <w:lvlText w:val="%9."/>
      <w:lvlJc w:val="left"/>
      <w:pPr>
        <w:tabs>
          <w:tab w:val="num" w:pos="9012"/>
        </w:tabs>
        <w:ind w:left="9012" w:hanging="360"/>
      </w:pPr>
    </w:lvl>
  </w:abstractNum>
  <w:abstractNum w:abstractNumId="17" w15:restartNumberingAfterBreak="0">
    <w:nsid w:val="415B14ED"/>
    <w:multiLevelType w:val="hybridMultilevel"/>
    <w:tmpl w:val="97E6E832"/>
    <w:lvl w:ilvl="0" w:tplc="4ABA2008">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ED594C"/>
    <w:multiLevelType w:val="hybridMultilevel"/>
    <w:tmpl w:val="ED0EF1A8"/>
    <w:lvl w:ilvl="0" w:tplc="D62E1A0C">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9" w15:restartNumberingAfterBreak="0">
    <w:nsid w:val="45C31E7A"/>
    <w:multiLevelType w:val="hybridMultilevel"/>
    <w:tmpl w:val="07AEE9D0"/>
    <w:lvl w:ilvl="0" w:tplc="8EF00520">
      <w:start w:val="1"/>
      <w:numFmt w:val="decimal"/>
      <w:lvlText w:val="%1."/>
      <w:lvlJc w:val="left"/>
      <w:pPr>
        <w:ind w:left="360" w:hanging="360"/>
      </w:pPr>
      <w:rPr>
        <w:b/>
        <w:i w:val="0"/>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8B6092"/>
    <w:multiLevelType w:val="hybridMultilevel"/>
    <w:tmpl w:val="F580ECF4"/>
    <w:lvl w:ilvl="0" w:tplc="E40E742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A513D42"/>
    <w:multiLevelType w:val="hybridMultilevel"/>
    <w:tmpl w:val="9D8EBF24"/>
    <w:lvl w:ilvl="0" w:tplc="0C0A0009">
      <w:start w:val="1"/>
      <w:numFmt w:val="bullet"/>
      <w:lvlText w:val=""/>
      <w:lvlJc w:val="left"/>
      <w:pPr>
        <w:tabs>
          <w:tab w:val="num" w:pos="360"/>
        </w:tabs>
        <w:ind w:left="360" w:hanging="360"/>
      </w:pPr>
      <w:rPr>
        <w:rFonts w:ascii="Wingdings" w:hAnsi="Wingdings" w:hint="default"/>
      </w:rPr>
    </w:lvl>
    <w:lvl w:ilvl="1" w:tplc="FCC6EF12">
      <w:start w:val="1"/>
      <w:numFmt w:val="bullet"/>
      <w:lvlText w:val=""/>
      <w:lvlJc w:val="left"/>
      <w:pPr>
        <w:tabs>
          <w:tab w:val="num" w:pos="1080"/>
        </w:tabs>
        <w:ind w:left="1080" w:hanging="360"/>
      </w:pPr>
      <w:rPr>
        <w:rFonts w:ascii="Symbol" w:hAnsi="Symbol" w:hint="default"/>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51840198"/>
    <w:multiLevelType w:val="hybridMultilevel"/>
    <w:tmpl w:val="92DA360A"/>
    <w:lvl w:ilvl="0" w:tplc="DF344760">
      <w:start w:val="1"/>
      <w:numFmt w:val="upperRoman"/>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5CA5FF4"/>
    <w:multiLevelType w:val="hybridMultilevel"/>
    <w:tmpl w:val="83B2EA84"/>
    <w:lvl w:ilvl="0" w:tplc="5BB493C6">
      <w:start w:val="1"/>
      <w:numFmt w:val="decimal"/>
      <w:lvlText w:val="%1."/>
      <w:lvlJc w:val="left"/>
      <w:pPr>
        <w:ind w:left="720" w:hanging="360"/>
      </w:pPr>
      <w:rPr>
        <w:rFonts w:hint="default"/>
        <w:b/>
        <w:sz w:val="22"/>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2B634D6"/>
    <w:multiLevelType w:val="hybridMultilevel"/>
    <w:tmpl w:val="814267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326768F"/>
    <w:multiLevelType w:val="hybridMultilevel"/>
    <w:tmpl w:val="531A6E9C"/>
    <w:lvl w:ilvl="0" w:tplc="D62E1A0C">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6" w15:restartNumberingAfterBreak="0">
    <w:nsid w:val="6399399C"/>
    <w:multiLevelType w:val="hybridMultilevel"/>
    <w:tmpl w:val="ED2EAF30"/>
    <w:lvl w:ilvl="0" w:tplc="446062C6">
      <w:start w:val="1"/>
      <w:numFmt w:val="lowerLetter"/>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B5851CD"/>
    <w:multiLevelType w:val="hybridMultilevel"/>
    <w:tmpl w:val="92DA360A"/>
    <w:lvl w:ilvl="0" w:tplc="DF344760">
      <w:start w:val="1"/>
      <w:numFmt w:val="upperRoman"/>
      <w:lvlText w:val="%1."/>
      <w:lvlJc w:val="left"/>
      <w:pPr>
        <w:ind w:left="72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FD336ED"/>
    <w:multiLevelType w:val="hybridMultilevel"/>
    <w:tmpl w:val="3F02B9EC"/>
    <w:lvl w:ilvl="0" w:tplc="EED4F206">
      <w:start w:val="1"/>
      <w:numFmt w:val="lowerLetter"/>
      <w:lvlText w:val="%1."/>
      <w:lvlJc w:val="left"/>
      <w:pPr>
        <w:ind w:left="360" w:hanging="360"/>
      </w:pPr>
      <w:rPr>
        <w:rFonts w:hint="default"/>
        <w:b/>
        <w:i w:val="0"/>
        <w:strike w:val="0"/>
        <w:color w:val="auto"/>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DA320A"/>
    <w:multiLevelType w:val="hybridMultilevel"/>
    <w:tmpl w:val="C4265A7C"/>
    <w:lvl w:ilvl="0" w:tplc="33C8D0B2">
      <w:start w:val="1"/>
      <w:numFmt w:val="decimal"/>
      <w:lvlText w:val="%1."/>
      <w:lvlJc w:val="left"/>
      <w:pPr>
        <w:ind w:left="5747" w:hanging="360"/>
      </w:pPr>
      <w:rPr>
        <w:rFonts w:ascii="Arial" w:hAnsi="Arial" w:cs="Arial" w:hint="default"/>
        <w:b/>
        <w:i w:val="0"/>
        <w:sz w:val="24"/>
        <w:szCs w:val="24"/>
      </w:rPr>
    </w:lvl>
    <w:lvl w:ilvl="1" w:tplc="A9105952">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8FC32BA"/>
    <w:multiLevelType w:val="hybridMultilevel"/>
    <w:tmpl w:val="A78A0200"/>
    <w:lvl w:ilvl="0" w:tplc="32CC3A2C">
      <w:start w:val="2"/>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91A38DB"/>
    <w:multiLevelType w:val="hybridMultilevel"/>
    <w:tmpl w:val="7244280C"/>
    <w:lvl w:ilvl="0" w:tplc="DBD4D45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7F9E3619"/>
    <w:multiLevelType w:val="hybridMultilevel"/>
    <w:tmpl w:val="F5ECEF4A"/>
    <w:lvl w:ilvl="0" w:tplc="80F6053E">
      <w:start w:val="1"/>
      <w:numFmt w:val="decimal"/>
      <w:lvlText w:val="%1."/>
      <w:lvlJc w:val="left"/>
      <w:pPr>
        <w:ind w:left="720" w:hanging="360"/>
      </w:pPr>
      <w:rPr>
        <w:b/>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20"/>
  </w:num>
  <w:num w:numId="5">
    <w:abstractNumId w:val="32"/>
  </w:num>
  <w:num w:numId="6">
    <w:abstractNumId w:val="14"/>
  </w:num>
  <w:num w:numId="7">
    <w:abstractNumId w:val="12"/>
  </w:num>
  <w:num w:numId="8">
    <w:abstractNumId w:val="22"/>
  </w:num>
  <w:num w:numId="9">
    <w:abstractNumId w:val="29"/>
  </w:num>
  <w:num w:numId="10">
    <w:abstractNumId w:val="19"/>
  </w:num>
  <w:num w:numId="11">
    <w:abstractNumId w:val="16"/>
  </w:num>
  <w:num w:numId="12">
    <w:abstractNumId w:val="31"/>
  </w:num>
  <w:num w:numId="13">
    <w:abstractNumId w:val="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6"/>
  </w:num>
  <w:num w:numId="17">
    <w:abstractNumId w:val="17"/>
  </w:num>
  <w:num w:numId="18">
    <w:abstractNumId w:val="9"/>
  </w:num>
  <w:num w:numId="19">
    <w:abstractNumId w:val="24"/>
  </w:num>
  <w:num w:numId="20">
    <w:abstractNumId w:val="3"/>
  </w:num>
  <w:num w:numId="21">
    <w:abstractNumId w:val="25"/>
  </w:num>
  <w:num w:numId="22">
    <w:abstractNumId w:val="18"/>
  </w:num>
  <w:num w:numId="23">
    <w:abstractNumId w:val="8"/>
  </w:num>
  <w:num w:numId="24">
    <w:abstractNumId w:val="11"/>
  </w:num>
  <w:num w:numId="25">
    <w:abstractNumId w:val="28"/>
  </w:num>
  <w:num w:numId="26">
    <w:abstractNumId w:val="2"/>
  </w:num>
  <w:num w:numId="27">
    <w:abstractNumId w:val="27"/>
  </w:num>
  <w:num w:numId="28">
    <w:abstractNumId w:val="4"/>
  </w:num>
  <w:num w:numId="29">
    <w:abstractNumId w:val="33"/>
  </w:num>
  <w:num w:numId="30">
    <w:abstractNumId w:val="7"/>
  </w:num>
  <w:num w:numId="31">
    <w:abstractNumId w:val="13"/>
  </w:num>
  <w:num w:numId="32">
    <w:abstractNumId w:val="10"/>
  </w:num>
  <w:num w:numId="33">
    <w:abstractNumId w:val="21"/>
  </w:num>
  <w:num w:numId="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4CE4"/>
    <w:rsid w:val="0000518D"/>
    <w:rsid w:val="0000683B"/>
    <w:rsid w:val="000077CC"/>
    <w:rsid w:val="00010592"/>
    <w:rsid w:val="00011DBE"/>
    <w:rsid w:val="000120EB"/>
    <w:rsid w:val="000128E2"/>
    <w:rsid w:val="000152E6"/>
    <w:rsid w:val="00017DE2"/>
    <w:rsid w:val="00020858"/>
    <w:rsid w:val="000213DD"/>
    <w:rsid w:val="00024564"/>
    <w:rsid w:val="00024A27"/>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63D3"/>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A5D"/>
    <w:rsid w:val="00196E82"/>
    <w:rsid w:val="001A0A20"/>
    <w:rsid w:val="001A214B"/>
    <w:rsid w:val="001A33C3"/>
    <w:rsid w:val="001A75FF"/>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3F3C"/>
    <w:rsid w:val="001E684C"/>
    <w:rsid w:val="001E69A6"/>
    <w:rsid w:val="001E69C9"/>
    <w:rsid w:val="001E6DC5"/>
    <w:rsid w:val="001F0C0F"/>
    <w:rsid w:val="001F26FD"/>
    <w:rsid w:val="001F3B35"/>
    <w:rsid w:val="001F3C06"/>
    <w:rsid w:val="001F3E92"/>
    <w:rsid w:val="0020019E"/>
    <w:rsid w:val="00200318"/>
    <w:rsid w:val="0020223D"/>
    <w:rsid w:val="00202E06"/>
    <w:rsid w:val="00203662"/>
    <w:rsid w:val="0020429C"/>
    <w:rsid w:val="00204A01"/>
    <w:rsid w:val="00204A3D"/>
    <w:rsid w:val="0020530C"/>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3D21"/>
    <w:rsid w:val="00264EFA"/>
    <w:rsid w:val="00266024"/>
    <w:rsid w:val="00266221"/>
    <w:rsid w:val="002668E5"/>
    <w:rsid w:val="0026727D"/>
    <w:rsid w:val="00267A3B"/>
    <w:rsid w:val="00267FAF"/>
    <w:rsid w:val="002743B7"/>
    <w:rsid w:val="00274B8E"/>
    <w:rsid w:val="00275822"/>
    <w:rsid w:val="00275FE3"/>
    <w:rsid w:val="0027711F"/>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095D"/>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47F1"/>
    <w:rsid w:val="00305BC2"/>
    <w:rsid w:val="00310865"/>
    <w:rsid w:val="00314BAD"/>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0750"/>
    <w:rsid w:val="00363DC9"/>
    <w:rsid w:val="00365D1B"/>
    <w:rsid w:val="0036607E"/>
    <w:rsid w:val="00366F0E"/>
    <w:rsid w:val="003677EC"/>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24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60C"/>
    <w:rsid w:val="003C388C"/>
    <w:rsid w:val="003C46A0"/>
    <w:rsid w:val="003C5113"/>
    <w:rsid w:val="003C5FFE"/>
    <w:rsid w:val="003C6ED7"/>
    <w:rsid w:val="003D0A41"/>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035"/>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5D5E"/>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4C62"/>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46E4B"/>
    <w:rsid w:val="00554E8E"/>
    <w:rsid w:val="005578CB"/>
    <w:rsid w:val="005579A5"/>
    <w:rsid w:val="00561FD4"/>
    <w:rsid w:val="00563417"/>
    <w:rsid w:val="00563E83"/>
    <w:rsid w:val="005653A1"/>
    <w:rsid w:val="0056674D"/>
    <w:rsid w:val="00570916"/>
    <w:rsid w:val="00571C7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222"/>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3D1A"/>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4A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2D8A"/>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B55"/>
    <w:rsid w:val="006B1D76"/>
    <w:rsid w:val="006B20B4"/>
    <w:rsid w:val="006B3AB9"/>
    <w:rsid w:val="006B3AF3"/>
    <w:rsid w:val="006B4FBB"/>
    <w:rsid w:val="006B59C4"/>
    <w:rsid w:val="006B5EC0"/>
    <w:rsid w:val="006B7393"/>
    <w:rsid w:val="006B7D15"/>
    <w:rsid w:val="006C17E4"/>
    <w:rsid w:val="006C3D72"/>
    <w:rsid w:val="006C45BA"/>
    <w:rsid w:val="006C4FFB"/>
    <w:rsid w:val="006C7BCB"/>
    <w:rsid w:val="006D0052"/>
    <w:rsid w:val="006D0E65"/>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06ED"/>
    <w:rsid w:val="00700F21"/>
    <w:rsid w:val="00704042"/>
    <w:rsid w:val="00706FEC"/>
    <w:rsid w:val="0071118B"/>
    <w:rsid w:val="007133B5"/>
    <w:rsid w:val="007140BA"/>
    <w:rsid w:val="0071574F"/>
    <w:rsid w:val="00716307"/>
    <w:rsid w:val="00716A85"/>
    <w:rsid w:val="00717E7B"/>
    <w:rsid w:val="0072025D"/>
    <w:rsid w:val="007205DA"/>
    <w:rsid w:val="00720E26"/>
    <w:rsid w:val="00722346"/>
    <w:rsid w:val="00722637"/>
    <w:rsid w:val="00722F40"/>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806"/>
    <w:rsid w:val="00791D2B"/>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55AA3"/>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26A7"/>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5D0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4B0"/>
    <w:rsid w:val="00911F5C"/>
    <w:rsid w:val="00911F70"/>
    <w:rsid w:val="009120EB"/>
    <w:rsid w:val="00914473"/>
    <w:rsid w:val="00914F38"/>
    <w:rsid w:val="00915D94"/>
    <w:rsid w:val="009160B7"/>
    <w:rsid w:val="00917157"/>
    <w:rsid w:val="00917F97"/>
    <w:rsid w:val="00924AA2"/>
    <w:rsid w:val="009258C6"/>
    <w:rsid w:val="00925985"/>
    <w:rsid w:val="00930A02"/>
    <w:rsid w:val="00931FBC"/>
    <w:rsid w:val="00932C87"/>
    <w:rsid w:val="009401C7"/>
    <w:rsid w:val="00941DA2"/>
    <w:rsid w:val="00945C56"/>
    <w:rsid w:val="009462DD"/>
    <w:rsid w:val="009526A4"/>
    <w:rsid w:val="00952F8F"/>
    <w:rsid w:val="009531F6"/>
    <w:rsid w:val="00953265"/>
    <w:rsid w:val="00953CA5"/>
    <w:rsid w:val="009546D0"/>
    <w:rsid w:val="009561A9"/>
    <w:rsid w:val="00956670"/>
    <w:rsid w:val="0096004A"/>
    <w:rsid w:val="00961770"/>
    <w:rsid w:val="00961D14"/>
    <w:rsid w:val="00962660"/>
    <w:rsid w:val="00963F04"/>
    <w:rsid w:val="00964B8E"/>
    <w:rsid w:val="00964EEB"/>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29F1"/>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0F6"/>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49F8"/>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1AC7"/>
    <w:rsid w:val="00A91D17"/>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3ABC"/>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5A50"/>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737"/>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4970"/>
    <w:rsid w:val="00BC53DB"/>
    <w:rsid w:val="00BD38AF"/>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6475"/>
    <w:rsid w:val="00C47C47"/>
    <w:rsid w:val="00C521FE"/>
    <w:rsid w:val="00C540BB"/>
    <w:rsid w:val="00C54CCA"/>
    <w:rsid w:val="00C54F22"/>
    <w:rsid w:val="00C55D84"/>
    <w:rsid w:val="00C56393"/>
    <w:rsid w:val="00C56BFB"/>
    <w:rsid w:val="00C6045C"/>
    <w:rsid w:val="00C6171B"/>
    <w:rsid w:val="00C61909"/>
    <w:rsid w:val="00C62A27"/>
    <w:rsid w:val="00C64580"/>
    <w:rsid w:val="00C64624"/>
    <w:rsid w:val="00C65E08"/>
    <w:rsid w:val="00C67192"/>
    <w:rsid w:val="00C70F02"/>
    <w:rsid w:val="00C718B7"/>
    <w:rsid w:val="00C71968"/>
    <w:rsid w:val="00C73715"/>
    <w:rsid w:val="00C74064"/>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C7CB5"/>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6CC"/>
    <w:rsid w:val="00CF4A51"/>
    <w:rsid w:val="00D00E82"/>
    <w:rsid w:val="00D0233D"/>
    <w:rsid w:val="00D023EE"/>
    <w:rsid w:val="00D0240D"/>
    <w:rsid w:val="00D03F8C"/>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3CE4"/>
    <w:rsid w:val="00D350A6"/>
    <w:rsid w:val="00D3783E"/>
    <w:rsid w:val="00D37A3C"/>
    <w:rsid w:val="00D41CFB"/>
    <w:rsid w:val="00D43903"/>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43D2"/>
    <w:rsid w:val="00D975CB"/>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4D8"/>
    <w:rsid w:val="00DE0B28"/>
    <w:rsid w:val="00DE29A7"/>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669FC"/>
    <w:rsid w:val="00E70574"/>
    <w:rsid w:val="00E718A6"/>
    <w:rsid w:val="00E77421"/>
    <w:rsid w:val="00E80FBE"/>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D72F3"/>
    <w:rsid w:val="00EE0E1C"/>
    <w:rsid w:val="00EE38FD"/>
    <w:rsid w:val="00EE4333"/>
    <w:rsid w:val="00EE4A43"/>
    <w:rsid w:val="00EE5B66"/>
    <w:rsid w:val="00EF12D0"/>
    <w:rsid w:val="00EF2547"/>
    <w:rsid w:val="00EF434A"/>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574DD"/>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873EA"/>
    <w:rsid w:val="00F9258D"/>
    <w:rsid w:val="00F925E2"/>
    <w:rsid w:val="00F93629"/>
    <w:rsid w:val="00F9525E"/>
    <w:rsid w:val="00F952C5"/>
    <w:rsid w:val="00F95643"/>
    <w:rsid w:val="00F96A43"/>
    <w:rsid w:val="00F96DD8"/>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34B"/>
    <w:rsid w:val="00FD56CC"/>
    <w:rsid w:val="00FD5A54"/>
    <w:rsid w:val="00FD5D76"/>
    <w:rsid w:val="00FD6179"/>
    <w:rsid w:val="00FD648E"/>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A4FF7"/>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00F21"/>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4686169">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17305094">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46311773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F5C86-7F44-44F2-A413-4E5ED597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Pages>
  <Words>1886</Words>
  <Characters>10373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144</cp:revision>
  <cp:lastPrinted>2019-05-29T21:27:00Z</cp:lastPrinted>
  <dcterms:created xsi:type="dcterms:W3CDTF">2018-05-02T21:37:00Z</dcterms:created>
  <dcterms:modified xsi:type="dcterms:W3CDTF">2019-05-29T21:28:00Z</dcterms:modified>
</cp:coreProperties>
</file>