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A96599">
        <w:rPr>
          <w:rFonts w:ascii="Arial" w:hAnsi="Arial" w:cs="Arial"/>
          <w:b/>
          <w:bCs/>
          <w:iCs/>
          <w:sz w:val="26"/>
          <w:szCs w:val="22"/>
          <w:lang w:val="es-CR"/>
        </w:rPr>
        <w:t>391</w:t>
      </w:r>
      <w:bookmarkStart w:id="0" w:name="_GoBack"/>
      <w:bookmarkEnd w:id="0"/>
      <w:r w:rsidR="0097601A">
        <w:rPr>
          <w:rFonts w:ascii="Arial" w:hAnsi="Arial" w:cs="Arial"/>
          <w:b/>
          <w:bCs/>
          <w:iCs/>
          <w:sz w:val="26"/>
          <w:szCs w:val="22"/>
          <w:lang w:val="es-CR"/>
        </w:rPr>
        <w:t>-</w:t>
      </w:r>
      <w:r w:rsidRPr="00D958BC">
        <w:rPr>
          <w:rFonts w:ascii="Arial" w:hAnsi="Arial" w:cs="Arial"/>
          <w:b/>
          <w:bCs/>
          <w:iCs/>
          <w:sz w:val="26"/>
          <w:szCs w:val="22"/>
          <w:lang w:val="es-CR"/>
        </w:rPr>
        <w:t>201</w:t>
      </w:r>
      <w:r w:rsidR="000857E5">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348" w:type="dxa"/>
        <w:tblInd w:w="108" w:type="dxa"/>
        <w:tblLayout w:type="fixed"/>
        <w:tblLook w:val="01E0" w:firstRow="1" w:lastRow="1" w:firstColumn="1" w:lastColumn="1" w:noHBand="0" w:noVBand="0"/>
      </w:tblPr>
      <w:tblGrid>
        <w:gridCol w:w="1374"/>
        <w:gridCol w:w="7974"/>
      </w:tblGrid>
      <w:tr w:rsidR="007742A1" w:rsidRPr="00C413F4" w:rsidTr="00C76420">
        <w:trPr>
          <w:trHeight w:val="588"/>
        </w:trPr>
        <w:tc>
          <w:tcPr>
            <w:tcW w:w="1374"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7974" w:type="dxa"/>
          </w:tcPr>
          <w:p w:rsidR="000C7F00" w:rsidRDefault="007A1C46" w:rsidP="00456ABA">
            <w:pPr>
              <w:jc w:val="both"/>
              <w:rPr>
                <w:rFonts w:ascii="Arial" w:eastAsia="Cambria" w:hAnsi="Arial" w:cs="Arial"/>
                <w:sz w:val="22"/>
                <w:szCs w:val="22"/>
                <w:lang w:val="es-ES_tradnl" w:eastAsia="en-US"/>
              </w:rPr>
            </w:pPr>
            <w:r w:rsidRPr="009E28A0">
              <w:rPr>
                <w:rFonts w:ascii="Arial" w:eastAsia="Cambria" w:hAnsi="Arial" w:cs="Arial"/>
                <w:sz w:val="22"/>
                <w:szCs w:val="22"/>
                <w:lang w:val="es-ES_tradnl" w:eastAsia="en-US"/>
              </w:rPr>
              <w:t>Dr. Julio Calvo Alvarado</w:t>
            </w:r>
            <w:r w:rsidR="0090700F" w:rsidRPr="009E28A0">
              <w:rPr>
                <w:rFonts w:ascii="Arial" w:eastAsia="Cambria" w:hAnsi="Arial" w:cs="Arial"/>
                <w:sz w:val="22"/>
                <w:szCs w:val="22"/>
                <w:lang w:val="es-ES_tradnl" w:eastAsia="en-US"/>
              </w:rPr>
              <w:t>, Rector</w:t>
            </w:r>
          </w:p>
          <w:p w:rsidR="00A96599" w:rsidRPr="00A96599" w:rsidRDefault="00A96599" w:rsidP="00A96599">
            <w:pPr>
              <w:jc w:val="both"/>
              <w:rPr>
                <w:rFonts w:ascii="Arial" w:eastAsia="Calibri" w:hAnsi="Arial" w:cs="Arial"/>
                <w:sz w:val="22"/>
                <w:szCs w:val="22"/>
                <w:lang w:val="es-ES_tradnl" w:eastAsia="en-US"/>
              </w:rPr>
            </w:pPr>
            <w:r w:rsidRPr="00A96599">
              <w:rPr>
                <w:rFonts w:ascii="Arial" w:eastAsia="Calibri" w:hAnsi="Arial" w:cs="Arial"/>
                <w:sz w:val="22"/>
                <w:szCs w:val="22"/>
                <w:lang w:val="es-ES_tradnl" w:eastAsia="en-US"/>
              </w:rPr>
              <w:t>Ing. Luis Paulino Méndez, Presidente FUNDATEC</w:t>
            </w:r>
          </w:p>
          <w:p w:rsidR="00A96599" w:rsidRPr="00A96599" w:rsidRDefault="00A96599" w:rsidP="00A96599">
            <w:pPr>
              <w:jc w:val="both"/>
              <w:rPr>
                <w:rFonts w:ascii="Arial" w:eastAsia="Calibri" w:hAnsi="Arial" w:cs="Arial"/>
                <w:sz w:val="22"/>
                <w:szCs w:val="22"/>
                <w:lang w:val="es-ES_tradnl" w:eastAsia="en-US"/>
              </w:rPr>
            </w:pPr>
            <w:r w:rsidRPr="00A96599">
              <w:rPr>
                <w:rFonts w:ascii="Arial" w:eastAsia="Calibri" w:hAnsi="Arial" w:cs="Arial"/>
                <w:sz w:val="22"/>
                <w:szCs w:val="22"/>
                <w:lang w:val="es-ES_tradnl" w:eastAsia="en-US"/>
              </w:rPr>
              <w:t>M.A.E Damaris Cordero Castillo, Delegada Ejecutiva FUNDATEC</w:t>
            </w:r>
          </w:p>
          <w:p w:rsidR="00A96599" w:rsidRPr="00A96599" w:rsidRDefault="00A96599" w:rsidP="00A96599">
            <w:pPr>
              <w:jc w:val="both"/>
              <w:rPr>
                <w:rFonts w:ascii="Arial" w:eastAsia="Calibri" w:hAnsi="Arial" w:cs="Arial"/>
                <w:sz w:val="22"/>
                <w:szCs w:val="22"/>
                <w:lang w:val="es-ES_tradnl" w:eastAsia="en-US"/>
              </w:rPr>
            </w:pPr>
            <w:r w:rsidRPr="00A96599">
              <w:rPr>
                <w:rFonts w:ascii="Arial" w:eastAsia="Calibri" w:hAnsi="Arial" w:cs="Arial"/>
                <w:sz w:val="22"/>
                <w:szCs w:val="22"/>
                <w:lang w:val="es-ES_tradnl" w:eastAsia="en-US"/>
              </w:rPr>
              <w:t>Dr. Humberto Villalta Solano, Vicerrector de Administración</w:t>
            </w:r>
          </w:p>
          <w:p w:rsidR="00A96599" w:rsidRPr="00A96599" w:rsidRDefault="00A96599" w:rsidP="00A96599">
            <w:pPr>
              <w:jc w:val="both"/>
              <w:rPr>
                <w:rFonts w:ascii="Arial" w:eastAsia="Calibri" w:hAnsi="Arial" w:cs="Arial"/>
                <w:sz w:val="22"/>
                <w:szCs w:val="22"/>
                <w:lang w:val="es-ES_tradnl" w:eastAsia="en-US"/>
              </w:rPr>
            </w:pPr>
            <w:r w:rsidRPr="00A96599">
              <w:rPr>
                <w:rFonts w:ascii="Arial" w:eastAsia="Calibri" w:hAnsi="Arial" w:cs="Arial"/>
                <w:sz w:val="22"/>
                <w:szCs w:val="22"/>
                <w:lang w:val="es-ES_tradnl" w:eastAsia="en-US"/>
              </w:rPr>
              <w:t>Dr. Alexander Berrocal Jiménez, Vicerrector de Investigación y Extensión</w:t>
            </w:r>
          </w:p>
          <w:p w:rsidR="00A96599" w:rsidRPr="00A96599" w:rsidRDefault="00A96599" w:rsidP="00A96599">
            <w:pPr>
              <w:jc w:val="both"/>
              <w:rPr>
                <w:rFonts w:ascii="Arial" w:eastAsia="Calibri" w:hAnsi="Arial" w:cs="Arial"/>
                <w:sz w:val="22"/>
                <w:szCs w:val="22"/>
                <w:lang w:val="es-ES_tradnl" w:eastAsia="en-US"/>
              </w:rPr>
            </w:pPr>
            <w:r w:rsidRPr="00A96599">
              <w:rPr>
                <w:rFonts w:ascii="Arial" w:eastAsia="Calibri" w:hAnsi="Arial" w:cs="Arial"/>
                <w:sz w:val="22"/>
                <w:szCs w:val="22"/>
                <w:lang w:val="es-ES_tradnl" w:eastAsia="en-US"/>
              </w:rPr>
              <w:t>Licda. Silvia Watson Araya, Directora Departamento Financiero Contable</w:t>
            </w:r>
          </w:p>
          <w:p w:rsidR="00A96599" w:rsidRPr="00A96599" w:rsidRDefault="00A96599" w:rsidP="00A96599">
            <w:pPr>
              <w:jc w:val="both"/>
              <w:rPr>
                <w:rFonts w:ascii="Arial" w:eastAsia="Cambria" w:hAnsi="Arial" w:cs="Arial"/>
                <w:sz w:val="22"/>
                <w:szCs w:val="22"/>
                <w:lang w:val="es-ES_tradnl" w:eastAsia="en-US"/>
              </w:rPr>
            </w:pPr>
            <w:r w:rsidRPr="00A96599">
              <w:rPr>
                <w:rFonts w:ascii="Arial" w:eastAsia="Cambria" w:hAnsi="Arial" w:cs="Arial"/>
                <w:sz w:val="22"/>
                <w:szCs w:val="22"/>
                <w:lang w:val="es-ES_tradnl" w:eastAsia="en-US"/>
              </w:rPr>
              <w:t>Dra. Carmen Elena Madriz Quirós, Directora Dirección de Posgrado</w:t>
            </w:r>
          </w:p>
          <w:p w:rsidR="009E28A0" w:rsidRPr="009E28A0" w:rsidRDefault="009E28A0" w:rsidP="00A03887">
            <w:pPr>
              <w:jc w:val="both"/>
              <w:rPr>
                <w:rFonts w:ascii="Arial" w:eastAsia="Cambria" w:hAnsi="Arial" w:cs="Arial"/>
                <w:sz w:val="22"/>
                <w:szCs w:val="22"/>
                <w:lang w:val="es-ES_tradnl" w:eastAsia="en-US"/>
              </w:rPr>
            </w:pPr>
          </w:p>
        </w:tc>
      </w:tr>
      <w:tr w:rsidR="007742A1" w:rsidRPr="00D958BC" w:rsidTr="00C76420">
        <w:trPr>
          <w:trHeight w:val="578"/>
        </w:trPr>
        <w:tc>
          <w:tcPr>
            <w:tcW w:w="1374"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974" w:type="dxa"/>
          </w:tcPr>
          <w:p w:rsidR="006D0CA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A</w:t>
            </w:r>
            <w:r w:rsidR="00443580">
              <w:rPr>
                <w:rFonts w:ascii="Arial" w:eastAsia="Cambria" w:hAnsi="Arial" w:cs="Arial"/>
                <w:sz w:val="22"/>
                <w:szCs w:val="22"/>
                <w:lang w:val="es-ES_tradnl" w:eastAsia="en-US"/>
              </w:rPr>
              <w:t>.</w:t>
            </w:r>
            <w:r>
              <w:rPr>
                <w:rFonts w:ascii="Arial" w:eastAsia="Cambria" w:hAnsi="Arial" w:cs="Arial"/>
                <w:sz w:val="22"/>
                <w:szCs w:val="22"/>
                <w:lang w:val="es-ES_tradnl" w:eastAsia="en-US"/>
              </w:rPr>
              <w:t>E. Ana Damaris Quesada Murillo</w:t>
            </w:r>
            <w:r w:rsidR="00337E83"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Directora Ejecutiva</w:t>
            </w:r>
          </w:p>
          <w:p w:rsidR="007742A1" w:rsidRPr="008E0D8C" w:rsidRDefault="006D0CAC" w:rsidP="006D0CAC">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008D7E9D" w:rsidRPr="008E0D8C">
              <w:rPr>
                <w:rFonts w:ascii="Arial" w:eastAsia="Cambria" w:hAnsi="Arial" w:cs="Arial"/>
                <w:sz w:val="22"/>
                <w:szCs w:val="22"/>
                <w:lang w:val="es-ES_tradnl" w:eastAsia="en-US"/>
              </w:rPr>
              <w:t>Consejo Institucional</w:t>
            </w:r>
          </w:p>
        </w:tc>
      </w:tr>
      <w:tr w:rsidR="007742A1" w:rsidRPr="00D958BC" w:rsidTr="00C76420">
        <w:trPr>
          <w:trHeight w:val="251"/>
        </w:trPr>
        <w:tc>
          <w:tcPr>
            <w:tcW w:w="1374"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974" w:type="dxa"/>
          </w:tcPr>
          <w:p w:rsidR="007742A1" w:rsidRPr="008E0D8C" w:rsidRDefault="007742A1" w:rsidP="007742A1">
            <w:pPr>
              <w:tabs>
                <w:tab w:val="right" w:pos="2410"/>
                <w:tab w:val="left" w:pos="2694"/>
              </w:tabs>
              <w:rPr>
                <w:rFonts w:ascii="Arial" w:eastAsia="Cambria" w:hAnsi="Arial" w:cs="Arial"/>
                <w:b/>
                <w:sz w:val="22"/>
                <w:szCs w:val="22"/>
                <w:lang w:eastAsia="en-US"/>
              </w:rPr>
            </w:pPr>
          </w:p>
          <w:p w:rsidR="007F1052" w:rsidRPr="008E0D8C" w:rsidRDefault="00A03887"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2</w:t>
            </w:r>
            <w:r w:rsidR="006873E1">
              <w:rPr>
                <w:rFonts w:ascii="Arial" w:eastAsia="Cambria" w:hAnsi="Arial" w:cs="Arial"/>
                <w:b/>
                <w:sz w:val="22"/>
                <w:szCs w:val="22"/>
                <w:lang w:val="es-ES_tradnl" w:eastAsia="en-US"/>
              </w:rPr>
              <w:t>9</w:t>
            </w:r>
            <w:r w:rsidR="000857E5">
              <w:rPr>
                <w:rFonts w:ascii="Arial" w:eastAsia="Cambria" w:hAnsi="Arial" w:cs="Arial"/>
                <w:b/>
                <w:sz w:val="22"/>
                <w:szCs w:val="22"/>
                <w:lang w:val="es-ES_tradnl" w:eastAsia="en-US"/>
              </w:rPr>
              <w:t xml:space="preserve"> de </w:t>
            </w:r>
            <w:r w:rsidR="00CB5706">
              <w:rPr>
                <w:rFonts w:ascii="Arial" w:eastAsia="Cambria" w:hAnsi="Arial" w:cs="Arial"/>
                <w:b/>
                <w:sz w:val="22"/>
                <w:szCs w:val="22"/>
                <w:lang w:val="es-ES_tradnl" w:eastAsia="en-US"/>
              </w:rPr>
              <w:t>mayo</w:t>
            </w:r>
            <w:r w:rsidR="000857E5">
              <w:rPr>
                <w:rFonts w:ascii="Arial" w:eastAsia="Cambria" w:hAnsi="Arial" w:cs="Arial"/>
                <w:b/>
                <w:sz w:val="22"/>
                <w:szCs w:val="22"/>
                <w:lang w:val="es-ES_tradnl" w:eastAsia="en-US"/>
              </w:rPr>
              <w:t xml:space="preserve"> </w:t>
            </w:r>
            <w:r w:rsidR="007742A1" w:rsidRPr="008E0D8C">
              <w:rPr>
                <w:rFonts w:ascii="Arial" w:eastAsia="Cambria" w:hAnsi="Arial" w:cs="Arial"/>
                <w:b/>
                <w:sz w:val="22"/>
                <w:szCs w:val="22"/>
                <w:lang w:val="es-ES_tradnl" w:eastAsia="en-US"/>
              </w:rPr>
              <w:t>de 201</w:t>
            </w:r>
            <w:r w:rsidR="00AA61D4">
              <w:rPr>
                <w:rFonts w:ascii="Arial" w:eastAsia="Cambria" w:hAnsi="Arial" w:cs="Arial"/>
                <w:b/>
                <w:sz w:val="22"/>
                <w:szCs w:val="22"/>
                <w:lang w:val="es-ES_tradnl" w:eastAsia="en-US"/>
              </w:rPr>
              <w:t>9</w:t>
            </w:r>
          </w:p>
          <w:p w:rsidR="00336F05" w:rsidRPr="008E0D8C" w:rsidRDefault="00336F05" w:rsidP="000B5852">
            <w:pPr>
              <w:jc w:val="both"/>
              <w:rPr>
                <w:rFonts w:ascii="Arial" w:eastAsia="Cambria" w:hAnsi="Arial" w:cs="Arial"/>
                <w:b/>
                <w:sz w:val="22"/>
                <w:szCs w:val="22"/>
                <w:lang w:val="es-ES_tradnl" w:eastAsia="en-US"/>
              </w:rPr>
            </w:pPr>
          </w:p>
        </w:tc>
      </w:tr>
      <w:tr w:rsidR="00A2484D" w:rsidRPr="00F2344D" w:rsidTr="00C76420">
        <w:trPr>
          <w:trHeight w:val="251"/>
        </w:trPr>
        <w:tc>
          <w:tcPr>
            <w:tcW w:w="1374"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974" w:type="dxa"/>
          </w:tcPr>
          <w:p w:rsidR="00821E37" w:rsidRPr="00E53665" w:rsidRDefault="00FF209C" w:rsidP="006873E1">
            <w:pPr>
              <w:jc w:val="both"/>
              <w:rPr>
                <w:rFonts w:ascii="Arial" w:hAnsi="Arial" w:cs="Arial"/>
                <w:color w:val="000000" w:themeColor="text1"/>
                <w:sz w:val="22"/>
                <w:szCs w:val="22"/>
              </w:rPr>
            </w:pPr>
            <w:r w:rsidRPr="00F2344D">
              <w:rPr>
                <w:rFonts w:ascii="Arial" w:eastAsia="Calibri" w:hAnsi="Arial" w:cs="Arial"/>
                <w:b/>
                <w:sz w:val="22"/>
                <w:szCs w:val="22"/>
              </w:rPr>
              <w:t>S</w:t>
            </w:r>
            <w:r w:rsidR="007742A1" w:rsidRPr="00F2344D">
              <w:rPr>
                <w:rFonts w:ascii="Arial" w:eastAsia="Calibri" w:hAnsi="Arial" w:cs="Arial"/>
                <w:b/>
                <w:sz w:val="22"/>
                <w:szCs w:val="22"/>
              </w:rPr>
              <w:t xml:space="preserve">esión Ordinaria No. </w:t>
            </w:r>
            <w:r w:rsidR="00337455" w:rsidRPr="00F2344D">
              <w:rPr>
                <w:rFonts w:ascii="Arial" w:eastAsia="Calibri" w:hAnsi="Arial" w:cs="Arial"/>
                <w:b/>
                <w:sz w:val="22"/>
                <w:szCs w:val="22"/>
              </w:rPr>
              <w:t>3</w:t>
            </w:r>
            <w:r w:rsidR="003F3400" w:rsidRPr="00F2344D">
              <w:rPr>
                <w:rFonts w:ascii="Arial" w:eastAsia="Calibri" w:hAnsi="Arial" w:cs="Arial"/>
                <w:b/>
                <w:sz w:val="22"/>
                <w:szCs w:val="22"/>
              </w:rPr>
              <w:t>1</w:t>
            </w:r>
            <w:r w:rsidR="008F6C51" w:rsidRPr="00F2344D">
              <w:rPr>
                <w:rFonts w:ascii="Arial" w:eastAsia="Calibri" w:hAnsi="Arial" w:cs="Arial"/>
                <w:b/>
                <w:sz w:val="22"/>
                <w:szCs w:val="22"/>
              </w:rPr>
              <w:t>1</w:t>
            </w:r>
            <w:r w:rsidR="006873E1">
              <w:rPr>
                <w:rFonts w:ascii="Arial" w:eastAsia="Calibri" w:hAnsi="Arial" w:cs="Arial"/>
                <w:b/>
                <w:sz w:val="22"/>
                <w:szCs w:val="22"/>
              </w:rPr>
              <w:t>9</w:t>
            </w:r>
            <w:r w:rsidR="007742A1" w:rsidRPr="00F2344D">
              <w:rPr>
                <w:rFonts w:ascii="Arial" w:eastAsia="Calibri" w:hAnsi="Arial" w:cs="Arial"/>
                <w:b/>
                <w:sz w:val="22"/>
                <w:szCs w:val="22"/>
              </w:rPr>
              <w:t>, Artículo</w:t>
            </w:r>
            <w:r w:rsidR="00A5669A" w:rsidRPr="00F2344D">
              <w:rPr>
                <w:rFonts w:ascii="Arial" w:eastAsia="Calibri" w:hAnsi="Arial" w:cs="Arial"/>
                <w:b/>
                <w:sz w:val="22"/>
                <w:szCs w:val="22"/>
              </w:rPr>
              <w:t xml:space="preserve"> </w:t>
            </w:r>
            <w:r w:rsidR="00A03887">
              <w:rPr>
                <w:rFonts w:ascii="Arial" w:eastAsia="Calibri" w:hAnsi="Arial" w:cs="Arial"/>
                <w:b/>
                <w:sz w:val="22"/>
                <w:szCs w:val="22"/>
              </w:rPr>
              <w:t>7</w:t>
            </w:r>
            <w:r w:rsidR="00FF3C43" w:rsidRPr="00F2344D">
              <w:rPr>
                <w:rFonts w:ascii="Arial" w:eastAsia="Calibri" w:hAnsi="Arial" w:cs="Arial"/>
                <w:b/>
                <w:sz w:val="22"/>
                <w:szCs w:val="22"/>
              </w:rPr>
              <w:t>,</w:t>
            </w:r>
            <w:r w:rsidR="007742A1" w:rsidRPr="00F2344D">
              <w:rPr>
                <w:rFonts w:ascii="Arial" w:eastAsia="Calibri" w:hAnsi="Arial" w:cs="Arial"/>
                <w:b/>
                <w:sz w:val="22"/>
                <w:szCs w:val="22"/>
              </w:rPr>
              <w:t xml:space="preserve"> del </w:t>
            </w:r>
            <w:r w:rsidR="00A03887">
              <w:rPr>
                <w:rFonts w:ascii="Arial" w:eastAsia="Calibri" w:hAnsi="Arial" w:cs="Arial"/>
                <w:b/>
                <w:sz w:val="22"/>
                <w:szCs w:val="22"/>
              </w:rPr>
              <w:t>2</w:t>
            </w:r>
            <w:r w:rsidR="006873E1">
              <w:rPr>
                <w:rFonts w:ascii="Arial" w:eastAsia="Calibri" w:hAnsi="Arial" w:cs="Arial"/>
                <w:b/>
                <w:sz w:val="22"/>
                <w:szCs w:val="22"/>
              </w:rPr>
              <w:t>9</w:t>
            </w:r>
            <w:r w:rsidR="000857E5" w:rsidRPr="00F2344D">
              <w:rPr>
                <w:rFonts w:ascii="Arial" w:eastAsia="Calibri" w:hAnsi="Arial" w:cs="Arial"/>
                <w:b/>
                <w:sz w:val="22"/>
                <w:szCs w:val="22"/>
              </w:rPr>
              <w:t xml:space="preserve"> de </w:t>
            </w:r>
            <w:r w:rsidR="00CB5706">
              <w:rPr>
                <w:rFonts w:ascii="Arial" w:eastAsia="Calibri" w:hAnsi="Arial" w:cs="Arial"/>
                <w:b/>
                <w:sz w:val="22"/>
                <w:szCs w:val="22"/>
              </w:rPr>
              <w:t>mayo</w:t>
            </w:r>
            <w:r w:rsidR="00E818A8" w:rsidRPr="00F2344D">
              <w:rPr>
                <w:rFonts w:ascii="Arial" w:eastAsia="Calibri" w:hAnsi="Arial" w:cs="Arial"/>
                <w:b/>
                <w:sz w:val="22"/>
                <w:szCs w:val="22"/>
              </w:rPr>
              <w:t xml:space="preserve"> </w:t>
            </w:r>
            <w:r w:rsidR="00A772EF" w:rsidRPr="00F2344D">
              <w:rPr>
                <w:rFonts w:ascii="Arial" w:eastAsia="Calibri" w:hAnsi="Arial" w:cs="Arial"/>
                <w:b/>
                <w:sz w:val="22"/>
                <w:szCs w:val="22"/>
              </w:rPr>
              <w:t>de 201</w:t>
            </w:r>
            <w:r w:rsidR="00AA61D4" w:rsidRPr="00F2344D">
              <w:rPr>
                <w:rFonts w:ascii="Arial" w:eastAsia="Calibri" w:hAnsi="Arial" w:cs="Arial"/>
                <w:b/>
                <w:sz w:val="22"/>
                <w:szCs w:val="22"/>
              </w:rPr>
              <w:t>9</w:t>
            </w:r>
            <w:r w:rsidR="00925985" w:rsidRPr="00F2344D">
              <w:rPr>
                <w:rFonts w:ascii="Arial" w:eastAsia="Calibri" w:hAnsi="Arial" w:cs="Arial"/>
                <w:b/>
                <w:sz w:val="22"/>
                <w:szCs w:val="22"/>
              </w:rPr>
              <w:t>.</w:t>
            </w:r>
            <w:r w:rsidR="00037459">
              <w:rPr>
                <w:rFonts w:ascii="Arial" w:eastAsia="Calibri" w:hAnsi="Arial" w:cs="Arial"/>
                <w:b/>
                <w:sz w:val="22"/>
                <w:szCs w:val="22"/>
              </w:rPr>
              <w:t xml:space="preserve"> </w:t>
            </w:r>
            <w:r w:rsidR="00FA2A79" w:rsidRPr="00FA2A79">
              <w:rPr>
                <w:rFonts w:ascii="Arial" w:eastAsia="Cambria" w:hAnsi="Arial" w:cs="Arial"/>
                <w:b/>
                <w:bCs/>
                <w:sz w:val="22"/>
                <w:szCs w:val="22"/>
                <w:lang w:val="es-CR" w:eastAsia="en-US"/>
              </w:rPr>
              <w:t xml:space="preserve">Subsanación del acuerdo de la Sesión Ordinaria No. 3099, Artículo 10, del 28 de noviembre de 2018. Modificación del Artículo 32 del “Reglamento para la vinculación remunerada externa del Instituto Tecnológico de Costa Rica con la </w:t>
            </w:r>
            <w:proofErr w:type="spellStart"/>
            <w:r w:rsidR="00FA2A79" w:rsidRPr="00FA2A79">
              <w:rPr>
                <w:rFonts w:ascii="Arial" w:eastAsia="Cambria" w:hAnsi="Arial" w:cs="Arial"/>
                <w:b/>
                <w:bCs/>
                <w:sz w:val="22"/>
                <w:szCs w:val="22"/>
                <w:lang w:val="es-CR" w:eastAsia="en-US"/>
              </w:rPr>
              <w:t>coadyuvancia</w:t>
            </w:r>
            <w:proofErr w:type="spellEnd"/>
            <w:r w:rsidR="00FA2A79" w:rsidRPr="00FA2A79">
              <w:rPr>
                <w:rFonts w:ascii="Arial" w:eastAsia="Cambria" w:hAnsi="Arial" w:cs="Arial"/>
                <w:b/>
                <w:bCs/>
                <w:sz w:val="22"/>
                <w:szCs w:val="22"/>
                <w:lang w:val="es-CR" w:eastAsia="en-US"/>
              </w:rPr>
              <w:t xml:space="preserve"> de la FUNDATEC”, para disminuir el costo administrativo de FUNDATEC, de un 7% a un 6%, a partir del mes de enero de 2019.</w:t>
            </w:r>
          </w:p>
        </w:tc>
      </w:tr>
    </w:tbl>
    <w:p w:rsidR="00FF209C" w:rsidRDefault="00FF209C"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A96599" w:rsidRDefault="00A96599" w:rsidP="007742A1">
      <w:pPr>
        <w:jc w:val="both"/>
        <w:rPr>
          <w:rFonts w:ascii="Arial" w:eastAsia="Cambria" w:hAnsi="Arial" w:cs="Arial"/>
          <w:lang w:val="es-ES_tradnl" w:eastAsia="en-US"/>
        </w:rPr>
      </w:pPr>
    </w:p>
    <w:p w:rsidR="00A96599" w:rsidRPr="00E76103" w:rsidRDefault="00A96599" w:rsidP="00A96599">
      <w:pPr>
        <w:jc w:val="both"/>
        <w:rPr>
          <w:rFonts w:ascii="Arial" w:eastAsia="Calibri" w:hAnsi="Arial" w:cs="Arial"/>
          <w:b/>
          <w:bCs/>
          <w:lang w:val="es-CR" w:eastAsia="en-US"/>
        </w:rPr>
      </w:pPr>
      <w:r w:rsidRPr="00E76103">
        <w:rPr>
          <w:rFonts w:ascii="Arial" w:eastAsia="Calibri" w:hAnsi="Arial" w:cs="Arial"/>
          <w:b/>
          <w:bCs/>
          <w:lang w:val="es-CR" w:eastAsia="en-US"/>
        </w:rPr>
        <w:t>RESULTANDO QUE:</w:t>
      </w:r>
    </w:p>
    <w:p w:rsidR="00A96599" w:rsidRPr="00BD09BC" w:rsidRDefault="00A96599" w:rsidP="00A96599">
      <w:pPr>
        <w:rPr>
          <w:rFonts w:ascii="Arial" w:eastAsia="Calibri" w:hAnsi="Arial" w:cs="Arial"/>
          <w:sz w:val="16"/>
          <w:szCs w:val="16"/>
        </w:rPr>
      </w:pPr>
    </w:p>
    <w:p w:rsidR="00A96599" w:rsidRPr="00DB50F5" w:rsidRDefault="00A96599" w:rsidP="00A96599">
      <w:pPr>
        <w:pStyle w:val="Prrafodelista"/>
        <w:numPr>
          <w:ilvl w:val="0"/>
          <w:numId w:val="18"/>
        </w:numPr>
        <w:contextualSpacing/>
        <w:jc w:val="both"/>
        <w:rPr>
          <w:rFonts w:ascii="Arial" w:eastAsia="Calibri" w:hAnsi="Arial" w:cs="Arial"/>
        </w:rPr>
      </w:pPr>
      <w:r w:rsidRPr="00DB50F5">
        <w:rPr>
          <w:rFonts w:ascii="Arial" w:eastAsia="Calibri" w:hAnsi="Arial" w:cs="Arial"/>
        </w:rPr>
        <w:t>La Asamblea Institucional Representativa modificó, en la Sesión Ordinaria 95-2018, del 03 de octubre de 2018, según publicación en la Gaceta 530 del 22 de octubre de 2018, los artículos 136 y 137 del Estatuto Orgánico, para que se lean de la siguiente manera:</w:t>
      </w:r>
    </w:p>
    <w:p w:rsidR="00A96599" w:rsidRPr="00BD09BC" w:rsidRDefault="00A96599" w:rsidP="00A96599">
      <w:pPr>
        <w:jc w:val="both"/>
        <w:rPr>
          <w:rFonts w:ascii="Arial" w:eastAsia="Cambria" w:hAnsi="Arial" w:cs="Arial"/>
          <w:sz w:val="16"/>
          <w:szCs w:val="16"/>
          <w:lang w:eastAsia="en-US"/>
        </w:rPr>
      </w:pPr>
    </w:p>
    <w:p w:rsidR="00A96599" w:rsidRDefault="00A96599" w:rsidP="00A96599">
      <w:pPr>
        <w:pStyle w:val="Default"/>
        <w:ind w:left="851" w:right="333"/>
        <w:jc w:val="both"/>
        <w:rPr>
          <w:b/>
          <w:bCs/>
          <w:i/>
          <w:sz w:val="20"/>
          <w:szCs w:val="20"/>
        </w:rPr>
      </w:pPr>
      <w:r w:rsidRPr="00E76103">
        <w:rPr>
          <w:b/>
          <w:bCs/>
          <w:i/>
          <w:sz w:val="20"/>
          <w:szCs w:val="20"/>
        </w:rPr>
        <w:t xml:space="preserve">“Artículo 136 </w:t>
      </w:r>
    </w:p>
    <w:p w:rsidR="00A96599" w:rsidRPr="00E76103" w:rsidRDefault="00A96599" w:rsidP="00A96599">
      <w:pPr>
        <w:pStyle w:val="Default"/>
        <w:ind w:left="851" w:right="333"/>
        <w:jc w:val="both"/>
        <w:rPr>
          <w:i/>
          <w:sz w:val="20"/>
          <w:szCs w:val="20"/>
        </w:rPr>
      </w:pPr>
    </w:p>
    <w:p w:rsidR="00A96599" w:rsidRDefault="00A96599" w:rsidP="00A96599">
      <w:pPr>
        <w:pStyle w:val="Default"/>
        <w:ind w:left="851" w:right="333"/>
        <w:jc w:val="both"/>
        <w:rPr>
          <w:i/>
          <w:sz w:val="20"/>
          <w:szCs w:val="20"/>
        </w:rPr>
      </w:pPr>
      <w:r w:rsidRPr="00E76103">
        <w:rPr>
          <w:i/>
          <w:sz w:val="20"/>
          <w:szCs w:val="20"/>
        </w:rPr>
        <w:t xml:space="preserve">Contra los actos y resoluciones de mero trámite, incidentales o finales de los órganos colegiados y autoridades institucionales que ejerzan funciones de dirección o administrativas, se podrán establecer los recursos ordinarios de revocatoria y de apelación y los extraordinarios de aclaración o adición, de reposición o reconsideración y de revisión; además de la gestión de queja. </w:t>
      </w:r>
    </w:p>
    <w:p w:rsidR="00A96599" w:rsidRPr="00E76103" w:rsidRDefault="00A96599" w:rsidP="00A96599">
      <w:pPr>
        <w:pStyle w:val="Default"/>
        <w:ind w:left="851" w:right="333"/>
        <w:jc w:val="both"/>
        <w:rPr>
          <w:i/>
          <w:sz w:val="20"/>
          <w:szCs w:val="20"/>
        </w:rPr>
      </w:pPr>
    </w:p>
    <w:p w:rsidR="00A96599" w:rsidRPr="00E76103" w:rsidRDefault="00A96599" w:rsidP="00A96599">
      <w:pPr>
        <w:pStyle w:val="Default"/>
        <w:ind w:left="851" w:right="333"/>
        <w:jc w:val="both"/>
        <w:rPr>
          <w:i/>
          <w:sz w:val="20"/>
          <w:szCs w:val="20"/>
        </w:rPr>
      </w:pPr>
      <w:r w:rsidRPr="00E76103">
        <w:rPr>
          <w:i/>
          <w:sz w:val="20"/>
          <w:szCs w:val="20"/>
        </w:rPr>
        <w:t xml:space="preserve">Todo acto y resolución emitida por órganos colegiados o autoridades institucionales deberá indicar los tipos de recursos que admite y sus respectivos plazos de presentación. </w:t>
      </w:r>
    </w:p>
    <w:p w:rsidR="00A96599" w:rsidRPr="00E76103" w:rsidRDefault="00A96599" w:rsidP="00A96599">
      <w:pPr>
        <w:pStyle w:val="Default"/>
        <w:ind w:left="851" w:right="333"/>
        <w:jc w:val="both"/>
        <w:rPr>
          <w:i/>
          <w:sz w:val="20"/>
          <w:szCs w:val="20"/>
        </w:rPr>
      </w:pPr>
      <w:r w:rsidRPr="00E76103">
        <w:rPr>
          <w:i/>
          <w:sz w:val="20"/>
          <w:szCs w:val="20"/>
        </w:rPr>
        <w:t xml:space="preserve">Los actos o resoluciones que no indiquen lo anterior se considerarán nulos y no surtirán sus efectos hasta tanto no subsanen ese defecto. </w:t>
      </w:r>
    </w:p>
    <w:p w:rsidR="00A96599" w:rsidRPr="00B511E8" w:rsidRDefault="00A96599" w:rsidP="00A96599">
      <w:pPr>
        <w:pStyle w:val="Default"/>
        <w:ind w:left="851" w:right="333"/>
        <w:jc w:val="both"/>
        <w:rPr>
          <w:i/>
          <w:sz w:val="16"/>
          <w:szCs w:val="16"/>
        </w:rPr>
      </w:pPr>
    </w:p>
    <w:p w:rsidR="00A96599" w:rsidRDefault="00A96599" w:rsidP="00A96599">
      <w:pPr>
        <w:pStyle w:val="Default"/>
        <w:ind w:left="851" w:right="333"/>
        <w:jc w:val="both"/>
        <w:rPr>
          <w:b/>
          <w:bCs/>
          <w:i/>
          <w:sz w:val="20"/>
          <w:szCs w:val="20"/>
        </w:rPr>
      </w:pPr>
      <w:r w:rsidRPr="00E76103">
        <w:rPr>
          <w:b/>
          <w:bCs/>
          <w:i/>
          <w:sz w:val="20"/>
          <w:szCs w:val="20"/>
        </w:rPr>
        <w:t xml:space="preserve">Artículo 137 </w:t>
      </w:r>
    </w:p>
    <w:p w:rsidR="00A96599" w:rsidRPr="00E76103" w:rsidRDefault="00A96599" w:rsidP="00A96599">
      <w:pPr>
        <w:pStyle w:val="Default"/>
        <w:ind w:left="851" w:right="333"/>
        <w:jc w:val="both"/>
        <w:rPr>
          <w:i/>
          <w:sz w:val="20"/>
          <w:szCs w:val="20"/>
        </w:rPr>
      </w:pPr>
    </w:p>
    <w:p w:rsidR="00A96599" w:rsidRPr="00E76103" w:rsidRDefault="00A96599" w:rsidP="00A96599">
      <w:pPr>
        <w:pStyle w:val="Default"/>
        <w:ind w:left="851" w:right="333"/>
        <w:rPr>
          <w:i/>
          <w:sz w:val="20"/>
          <w:szCs w:val="20"/>
        </w:rPr>
      </w:pPr>
      <w:r w:rsidRPr="00E76103">
        <w:rPr>
          <w:i/>
          <w:sz w:val="20"/>
          <w:szCs w:val="20"/>
        </w:rPr>
        <w:t>Corresponde al superior jerárquico conocer en alzada la apelación. Todo recurso presentado fuera de plazo, será inadmisible y rechazado ad portas por extemporáneo”.</w:t>
      </w:r>
    </w:p>
    <w:p w:rsidR="00A96599" w:rsidRPr="00BD09BC" w:rsidRDefault="00A96599" w:rsidP="00A96599">
      <w:pPr>
        <w:jc w:val="both"/>
        <w:rPr>
          <w:rFonts w:ascii="Arial" w:eastAsia="Cambria" w:hAnsi="Arial" w:cs="Arial"/>
          <w:sz w:val="16"/>
          <w:szCs w:val="16"/>
          <w:lang w:eastAsia="en-US"/>
        </w:rPr>
      </w:pPr>
    </w:p>
    <w:p w:rsidR="00A96599" w:rsidRPr="006C7265" w:rsidRDefault="00A96599" w:rsidP="00A96599">
      <w:pPr>
        <w:pStyle w:val="Prrafodelista"/>
        <w:numPr>
          <w:ilvl w:val="0"/>
          <w:numId w:val="18"/>
        </w:numPr>
        <w:contextualSpacing/>
        <w:jc w:val="both"/>
        <w:rPr>
          <w:rFonts w:ascii="Arial" w:eastAsia="Calibri" w:hAnsi="Arial" w:cs="Arial"/>
        </w:rPr>
      </w:pPr>
      <w:r w:rsidRPr="006C7265">
        <w:rPr>
          <w:rFonts w:ascii="Arial" w:eastAsia="Calibri" w:hAnsi="Arial" w:cs="Arial"/>
        </w:rPr>
        <w:t xml:space="preserve">En la Sesión Ordinaria No. 3099, Artículo 10, del 28 de noviembre de 2018, se adoptó el acuerdo </w:t>
      </w:r>
      <w:r w:rsidRPr="00375EB4">
        <w:rPr>
          <w:rFonts w:ascii="Arial" w:eastAsia="Calibri" w:hAnsi="Arial" w:cs="Arial"/>
          <w:i/>
        </w:rPr>
        <w:t>“</w:t>
      </w:r>
      <w:r w:rsidRPr="00375EB4">
        <w:rPr>
          <w:rFonts w:ascii="Arial" w:eastAsia="Calibri" w:hAnsi="Arial" w:cs="Arial"/>
          <w:color w:val="000000"/>
          <w:lang w:val="es-CR" w:eastAsia="en-US"/>
        </w:rPr>
        <w:t>Modificación</w:t>
      </w:r>
      <w:r w:rsidRPr="00375EB4">
        <w:rPr>
          <w:rFonts w:ascii="Arial" w:eastAsia="Cambria" w:hAnsi="Arial" w:cs="Arial"/>
          <w:bCs/>
          <w:lang w:val="es-CR" w:eastAsia="en-US"/>
        </w:rPr>
        <w:t xml:space="preserve"> del Artículo 32 del “</w:t>
      </w:r>
      <w:r w:rsidRPr="00375EB4">
        <w:rPr>
          <w:rFonts w:ascii="Arial" w:hAnsi="Arial" w:cs="Arial"/>
          <w:bCs/>
          <w:lang w:val="es-CR" w:eastAsia="en-US"/>
        </w:rPr>
        <w:t xml:space="preserve">Reglamento para la vinculación remunerada externa del Instituto Tecnológico de Costa Rica con la </w:t>
      </w:r>
      <w:proofErr w:type="spellStart"/>
      <w:r w:rsidRPr="00375EB4">
        <w:rPr>
          <w:rFonts w:ascii="Arial" w:hAnsi="Arial" w:cs="Arial"/>
          <w:bCs/>
          <w:lang w:val="es-CR" w:eastAsia="en-US"/>
        </w:rPr>
        <w:t>coadyuvancia</w:t>
      </w:r>
      <w:proofErr w:type="spellEnd"/>
      <w:r w:rsidRPr="00375EB4">
        <w:rPr>
          <w:rFonts w:ascii="Arial" w:hAnsi="Arial" w:cs="Arial"/>
          <w:bCs/>
          <w:lang w:val="es-CR" w:eastAsia="en-US"/>
        </w:rPr>
        <w:t xml:space="preserve"> </w:t>
      </w:r>
      <w:r w:rsidRPr="00375EB4">
        <w:rPr>
          <w:rFonts w:ascii="Arial" w:hAnsi="Arial" w:cs="Arial"/>
          <w:bCs/>
          <w:lang w:val="es-CR" w:eastAsia="en-US"/>
        </w:rPr>
        <w:lastRenderedPageBreak/>
        <w:t>de la FUNDATEC”, para disminuir el costo administrativo de FUNDATEC, de un 7% a un 6%, a partir del mes de enero de 2019</w:t>
      </w:r>
      <w:r w:rsidRPr="00375EB4">
        <w:rPr>
          <w:rFonts w:ascii="Arial" w:hAnsi="Arial" w:cs="Arial"/>
          <w:bCs/>
          <w:i/>
        </w:rPr>
        <w:t>”</w:t>
      </w:r>
      <w:r w:rsidRPr="00375EB4">
        <w:rPr>
          <w:rFonts w:ascii="Arial" w:eastAsia="Calibri" w:hAnsi="Arial" w:cs="Arial"/>
          <w:i/>
        </w:rPr>
        <w:t>.</w:t>
      </w:r>
    </w:p>
    <w:p w:rsidR="00A96599" w:rsidRPr="00BD09BC" w:rsidRDefault="00A96599" w:rsidP="00A96599">
      <w:pPr>
        <w:jc w:val="both"/>
        <w:rPr>
          <w:rFonts w:ascii="Arial" w:eastAsia="Cambria" w:hAnsi="Arial" w:cs="Arial"/>
          <w:sz w:val="16"/>
          <w:szCs w:val="16"/>
          <w:lang w:eastAsia="en-US"/>
        </w:rPr>
      </w:pPr>
    </w:p>
    <w:p w:rsidR="00A96599" w:rsidRPr="00DB50F5" w:rsidRDefault="00A96599" w:rsidP="00A96599">
      <w:pPr>
        <w:pStyle w:val="Prrafodelista"/>
        <w:numPr>
          <w:ilvl w:val="0"/>
          <w:numId w:val="18"/>
        </w:numPr>
        <w:contextualSpacing/>
        <w:jc w:val="both"/>
        <w:rPr>
          <w:rFonts w:ascii="Arial" w:eastAsia="Calibri" w:hAnsi="Arial" w:cs="Arial"/>
        </w:rPr>
      </w:pPr>
      <w:r w:rsidRPr="00DB50F5">
        <w:rPr>
          <w:rFonts w:ascii="Arial" w:eastAsia="Calibri" w:hAnsi="Arial" w:cs="Arial"/>
        </w:rPr>
        <w:t>El Artículo 72 del Reglamento del Consejo Institucional, establece lo siguiente:</w:t>
      </w:r>
    </w:p>
    <w:p w:rsidR="00A96599" w:rsidRPr="0048713D" w:rsidRDefault="00A96599" w:rsidP="00A96599">
      <w:pPr>
        <w:jc w:val="both"/>
        <w:rPr>
          <w:rFonts w:ascii="Verdana" w:hAnsi="Verdana"/>
          <w:sz w:val="10"/>
          <w:szCs w:val="10"/>
          <w:lang w:eastAsia="es-CR"/>
        </w:rPr>
      </w:pPr>
    </w:p>
    <w:p w:rsidR="00A96599" w:rsidRPr="00E76103" w:rsidRDefault="00A96599" w:rsidP="00A96599">
      <w:pPr>
        <w:pStyle w:val="Default"/>
        <w:ind w:left="851" w:right="333"/>
        <w:jc w:val="both"/>
        <w:rPr>
          <w:i/>
          <w:sz w:val="20"/>
          <w:szCs w:val="20"/>
        </w:rPr>
      </w:pPr>
      <w:r w:rsidRPr="00E76103">
        <w:rPr>
          <w:i/>
          <w:sz w:val="20"/>
          <w:szCs w:val="20"/>
          <w:lang w:val="es-ES"/>
        </w:rPr>
        <w:t>“</w:t>
      </w:r>
      <w:r w:rsidRPr="00E76103">
        <w:rPr>
          <w:i/>
          <w:sz w:val="20"/>
          <w:szCs w:val="20"/>
        </w:rPr>
        <w:t>Contra los actos y resoluciones del Consejo Institucional podrán establecerse los recursos ordinarios de revocatoria y apelación, salvo los asuntos en materia de contratación administrativa”.</w:t>
      </w:r>
    </w:p>
    <w:p w:rsidR="00A96599" w:rsidRPr="00BD09BC" w:rsidRDefault="00A96599" w:rsidP="00A96599">
      <w:pPr>
        <w:jc w:val="both"/>
        <w:rPr>
          <w:rFonts w:ascii="Arial" w:eastAsia="Cambria" w:hAnsi="Arial" w:cs="Arial"/>
          <w:sz w:val="16"/>
          <w:szCs w:val="16"/>
          <w:lang w:eastAsia="en-US"/>
        </w:rPr>
      </w:pPr>
    </w:p>
    <w:p w:rsidR="00A96599" w:rsidRPr="00A96599" w:rsidRDefault="00A96599" w:rsidP="00A96599">
      <w:pPr>
        <w:pStyle w:val="Prrafodelista"/>
        <w:numPr>
          <w:ilvl w:val="0"/>
          <w:numId w:val="18"/>
        </w:numPr>
        <w:contextualSpacing/>
        <w:jc w:val="both"/>
        <w:rPr>
          <w:rFonts w:ascii="Arial" w:eastAsia="Calibri" w:hAnsi="Arial" w:cs="Arial"/>
        </w:rPr>
      </w:pPr>
      <w:r w:rsidRPr="00DB50F5">
        <w:rPr>
          <w:rFonts w:ascii="Arial" w:eastAsia="Calibri" w:hAnsi="Arial" w:cs="Arial"/>
        </w:rPr>
        <w:t>El artículo 5 de la “Norma Reglamentaria de los Artículos 136 y 137 del Estatuto Orgánico”, aprobada por la Asamblea Institucional Representativa en la Sesión Ordinaria 95-2018 del 03 de octubre de 2018, publicadas en la Gaceta 530 del 22 de octubre de 2018, indica:</w:t>
      </w:r>
    </w:p>
    <w:p w:rsidR="00A96599" w:rsidRPr="00B511E8" w:rsidRDefault="00A96599" w:rsidP="00A96599">
      <w:pPr>
        <w:jc w:val="both"/>
        <w:rPr>
          <w:rFonts w:ascii="Arial" w:eastAsia="Calibri" w:hAnsi="Arial" w:cs="Arial"/>
          <w:sz w:val="16"/>
          <w:szCs w:val="16"/>
        </w:rPr>
      </w:pPr>
    </w:p>
    <w:p w:rsidR="00A96599" w:rsidRDefault="00A96599" w:rsidP="00A96599">
      <w:pPr>
        <w:pStyle w:val="Default"/>
        <w:ind w:left="851" w:right="333"/>
        <w:jc w:val="both"/>
        <w:rPr>
          <w:b/>
          <w:i/>
          <w:sz w:val="20"/>
          <w:szCs w:val="20"/>
        </w:rPr>
      </w:pPr>
      <w:r w:rsidRPr="00CD0E15">
        <w:rPr>
          <w:b/>
          <w:i/>
          <w:sz w:val="20"/>
          <w:szCs w:val="20"/>
          <w:lang w:val="es-ES"/>
        </w:rPr>
        <w:t>“</w:t>
      </w:r>
      <w:r w:rsidRPr="00CD0E15">
        <w:rPr>
          <w:b/>
          <w:i/>
          <w:sz w:val="20"/>
          <w:szCs w:val="20"/>
        </w:rPr>
        <w:t>Artículo 5.</w:t>
      </w:r>
    </w:p>
    <w:p w:rsidR="00A96599" w:rsidRPr="00E76103" w:rsidRDefault="00A96599" w:rsidP="00A96599">
      <w:pPr>
        <w:pStyle w:val="Default"/>
        <w:ind w:left="851" w:right="333"/>
        <w:jc w:val="both"/>
        <w:rPr>
          <w:i/>
          <w:sz w:val="20"/>
          <w:szCs w:val="20"/>
        </w:rPr>
      </w:pPr>
      <w:r w:rsidRPr="00E76103">
        <w:rPr>
          <w:i/>
          <w:sz w:val="20"/>
          <w:szCs w:val="20"/>
        </w:rPr>
        <w:t>El plazo para interponer los recursos ordinarios de revocatoria o de apelación es de cinco (5) días hábiles, contados a partir del día hábil siguiente a la fecha en que se ha notificado o publicado el acuerdo o la resolución objeto del recurso. El órgano recurrido cuenta con un plazo perentorio de 10 días hábiles para resolver el recurso interpuesto, salvo que haya norma especial que disponga otro plazo.</w:t>
      </w:r>
    </w:p>
    <w:p w:rsidR="00A96599" w:rsidRPr="00E76103" w:rsidRDefault="00A96599" w:rsidP="00A96599">
      <w:pPr>
        <w:pStyle w:val="Default"/>
        <w:ind w:left="851" w:right="333"/>
        <w:jc w:val="both"/>
        <w:rPr>
          <w:i/>
          <w:sz w:val="20"/>
          <w:szCs w:val="20"/>
        </w:rPr>
      </w:pPr>
      <w:r w:rsidRPr="00E76103">
        <w:rPr>
          <w:i/>
          <w:sz w:val="20"/>
          <w:szCs w:val="20"/>
        </w:rPr>
        <w:t>En caso que el recurrente opte por interponer en el mismo acto el recurso de revocatoria y en subsidio el de apelación, el órgano de primera instancia, salvo que acoja totalmente el recurso presentado en su contra, contará con un plazo de dos (2) días hábiles para trasladar a su superior jerárquico la resolución o acuerdo con que resuelve el recurso de revocatoria, junto al expediente que se formó en la atención del caso, a partir del día hábil siguiente al dictado de su resolución”.</w:t>
      </w:r>
    </w:p>
    <w:p w:rsidR="00A96599" w:rsidRPr="00E76103" w:rsidRDefault="00A96599" w:rsidP="00A96599">
      <w:pPr>
        <w:jc w:val="both"/>
        <w:rPr>
          <w:rFonts w:ascii="Arial" w:eastAsia="Calibri" w:hAnsi="Arial" w:cs="Arial"/>
          <w:sz w:val="22"/>
          <w:szCs w:val="22"/>
        </w:rPr>
      </w:pPr>
    </w:p>
    <w:p w:rsidR="00A96599" w:rsidRPr="006E5217" w:rsidRDefault="00A96599" w:rsidP="00A96599">
      <w:pPr>
        <w:jc w:val="both"/>
        <w:rPr>
          <w:rFonts w:ascii="Arial" w:eastAsia="Calibri" w:hAnsi="Arial" w:cs="Arial"/>
          <w:b/>
          <w:bCs/>
          <w:lang w:val="es-CR" w:eastAsia="en-US"/>
        </w:rPr>
      </w:pPr>
      <w:r w:rsidRPr="006E5217">
        <w:rPr>
          <w:rFonts w:ascii="Arial" w:eastAsia="Calibri" w:hAnsi="Arial" w:cs="Arial"/>
          <w:b/>
          <w:bCs/>
          <w:lang w:val="es-CR" w:eastAsia="en-US"/>
        </w:rPr>
        <w:t>CONSIDERANDO QUE:</w:t>
      </w:r>
    </w:p>
    <w:p w:rsidR="00A96599" w:rsidRPr="006E5217" w:rsidRDefault="00A96599" w:rsidP="00A96599">
      <w:pPr>
        <w:jc w:val="both"/>
        <w:rPr>
          <w:rFonts w:ascii="Arial" w:eastAsia="Calibri" w:hAnsi="Arial" w:cs="Arial"/>
        </w:rPr>
      </w:pPr>
    </w:p>
    <w:p w:rsidR="00A96599" w:rsidRPr="006C7265" w:rsidRDefault="00A96599" w:rsidP="00A96599">
      <w:pPr>
        <w:pStyle w:val="Prrafodelista"/>
        <w:numPr>
          <w:ilvl w:val="0"/>
          <w:numId w:val="19"/>
        </w:numPr>
        <w:contextualSpacing/>
        <w:jc w:val="both"/>
        <w:rPr>
          <w:rFonts w:ascii="Arial" w:eastAsia="Calibri" w:hAnsi="Arial" w:cs="Arial"/>
        </w:rPr>
      </w:pPr>
      <w:r w:rsidRPr="006C7265">
        <w:rPr>
          <w:rFonts w:ascii="Arial" w:eastAsia="Calibri" w:hAnsi="Arial" w:cs="Arial"/>
        </w:rPr>
        <w:t>En el acuerdo adoptado por el Consejo Institucional en la Sesión Ordinaria No. 3099, Artículo 10, del 28 de noviembre de 2018, no se especificaron los recursos que admite, ni los plazos de presentación.</w:t>
      </w:r>
    </w:p>
    <w:p w:rsidR="00A96599" w:rsidRPr="006E5217" w:rsidRDefault="00A96599" w:rsidP="00A96599">
      <w:pPr>
        <w:jc w:val="both"/>
        <w:rPr>
          <w:rFonts w:ascii="Arial" w:eastAsia="Calibri" w:hAnsi="Arial" w:cs="Arial"/>
        </w:rPr>
      </w:pPr>
    </w:p>
    <w:p w:rsidR="00A96599" w:rsidRPr="006E5217" w:rsidRDefault="00A96599" w:rsidP="00A96599">
      <w:pPr>
        <w:pStyle w:val="Prrafodelista"/>
        <w:numPr>
          <w:ilvl w:val="0"/>
          <w:numId w:val="19"/>
        </w:numPr>
        <w:contextualSpacing/>
        <w:jc w:val="both"/>
        <w:rPr>
          <w:rFonts w:ascii="Arial" w:eastAsia="Calibri" w:hAnsi="Arial" w:cs="Arial"/>
          <w:lang w:val="es-CR"/>
        </w:rPr>
      </w:pPr>
      <w:r w:rsidRPr="006E5217">
        <w:rPr>
          <w:rFonts w:ascii="Arial" w:eastAsia="Calibri" w:hAnsi="Arial" w:cs="Arial"/>
          <w:lang w:val="es-CR"/>
        </w:rPr>
        <w:t>El artículo 136 del Estatuto Orgánico, permite subsanar el que no se haya indicado el tipo de recursos y los plazos para interponerlos, con el propósito de recuperar la validez del acto o resolución.</w:t>
      </w:r>
    </w:p>
    <w:p w:rsidR="00A96599" w:rsidRPr="006E5217" w:rsidRDefault="00A96599" w:rsidP="00A96599">
      <w:pPr>
        <w:pStyle w:val="Prrafodelista"/>
        <w:rPr>
          <w:rFonts w:ascii="Arial" w:eastAsia="Calibri" w:hAnsi="Arial" w:cs="Arial"/>
          <w:lang w:val="es-CR"/>
        </w:rPr>
      </w:pPr>
    </w:p>
    <w:p w:rsidR="00A96599" w:rsidRPr="006E5217" w:rsidRDefault="00A96599" w:rsidP="00A96599">
      <w:pPr>
        <w:jc w:val="both"/>
        <w:rPr>
          <w:rFonts w:ascii="Arial" w:eastAsia="Calibri" w:hAnsi="Arial" w:cs="Arial"/>
          <w:b/>
          <w:lang w:val="es-CR"/>
        </w:rPr>
      </w:pPr>
      <w:r w:rsidRPr="006E5217">
        <w:rPr>
          <w:rFonts w:ascii="Arial" w:eastAsia="Calibri" w:hAnsi="Arial" w:cs="Arial"/>
          <w:b/>
          <w:lang w:val="es-CR"/>
        </w:rPr>
        <w:t>SE</w:t>
      </w:r>
      <w:r>
        <w:rPr>
          <w:rFonts w:ascii="Arial" w:eastAsia="Calibri" w:hAnsi="Arial" w:cs="Arial"/>
          <w:b/>
          <w:lang w:val="es-CR"/>
        </w:rPr>
        <w:t xml:space="preserve"> ACUERDA</w:t>
      </w:r>
      <w:r w:rsidRPr="006E5217">
        <w:rPr>
          <w:rFonts w:ascii="Arial" w:eastAsia="Calibri" w:hAnsi="Arial" w:cs="Arial"/>
          <w:b/>
          <w:lang w:val="es-CR"/>
        </w:rPr>
        <w:t>:</w:t>
      </w:r>
    </w:p>
    <w:p w:rsidR="00A96599" w:rsidRPr="00342023" w:rsidRDefault="00A96599" w:rsidP="00A96599">
      <w:pPr>
        <w:pStyle w:val="Prrafodelista"/>
        <w:rPr>
          <w:rFonts w:ascii="Arial" w:eastAsia="Calibri" w:hAnsi="Arial" w:cs="Arial"/>
          <w:sz w:val="16"/>
          <w:szCs w:val="16"/>
          <w:lang w:val="es-CR"/>
        </w:rPr>
      </w:pPr>
    </w:p>
    <w:p w:rsidR="00A96599" w:rsidRPr="006C7265" w:rsidRDefault="00A96599" w:rsidP="00A96599">
      <w:pPr>
        <w:pStyle w:val="Prrafodelista"/>
        <w:numPr>
          <w:ilvl w:val="0"/>
          <w:numId w:val="17"/>
        </w:numPr>
        <w:contextualSpacing/>
        <w:jc w:val="both"/>
        <w:rPr>
          <w:rFonts w:ascii="Arial" w:eastAsia="Calibri" w:hAnsi="Arial" w:cs="Arial"/>
          <w:lang w:val="es-CR"/>
        </w:rPr>
      </w:pPr>
      <w:r w:rsidRPr="006C7265">
        <w:rPr>
          <w:rFonts w:ascii="Arial" w:eastAsia="Calibri" w:hAnsi="Arial" w:cs="Arial"/>
          <w:lang w:val="es-CR"/>
        </w:rPr>
        <w:t xml:space="preserve">Subsanar la omisión de los recursos que pueden presentarse en contra del acuerdo de la </w:t>
      </w:r>
      <w:r w:rsidRPr="006C7265">
        <w:rPr>
          <w:rFonts w:ascii="Arial" w:eastAsia="Calibri" w:hAnsi="Arial" w:cs="Arial"/>
        </w:rPr>
        <w:t>Sesión Ordinaria No. 3099, Artículo 10, del 28 de noviembre de 2018, y los plazos para hacerlo, de manera que el acuerdo se lea de la siguiente manera:</w:t>
      </w:r>
    </w:p>
    <w:p w:rsidR="00A96599" w:rsidRPr="00342023" w:rsidRDefault="00A96599" w:rsidP="00A96599">
      <w:pPr>
        <w:pStyle w:val="Prrafodelista"/>
        <w:rPr>
          <w:rFonts w:ascii="Arial" w:eastAsia="Calibri" w:hAnsi="Arial" w:cs="Arial"/>
          <w:sz w:val="16"/>
          <w:szCs w:val="16"/>
          <w:lang w:val="es-CR"/>
        </w:rPr>
      </w:pPr>
    </w:p>
    <w:p w:rsidR="00A96599" w:rsidRDefault="00A96599" w:rsidP="00A96599">
      <w:pPr>
        <w:ind w:left="284"/>
        <w:rPr>
          <w:rFonts w:ascii="Arial" w:hAnsi="Arial" w:cs="Arial"/>
          <w:b/>
        </w:rPr>
      </w:pPr>
      <w:r w:rsidRPr="00AB03E8">
        <w:rPr>
          <w:rFonts w:ascii="Arial" w:hAnsi="Arial" w:cs="Arial"/>
          <w:b/>
        </w:rPr>
        <w:t>RESULTANDO QUE:</w:t>
      </w:r>
    </w:p>
    <w:p w:rsidR="00A96599" w:rsidRPr="007F4BFE" w:rsidRDefault="00A96599" w:rsidP="00A96599">
      <w:pPr>
        <w:rPr>
          <w:rFonts w:ascii="Arial" w:eastAsia="Cambria" w:hAnsi="Arial" w:cs="Arial"/>
          <w:sz w:val="22"/>
          <w:szCs w:val="22"/>
          <w:lang w:val="es-ES_tradnl" w:eastAsia="en-US"/>
        </w:rPr>
      </w:pPr>
    </w:p>
    <w:p w:rsidR="00A96599" w:rsidRPr="007F4BFE" w:rsidRDefault="00A96599" w:rsidP="00A96599">
      <w:pPr>
        <w:numPr>
          <w:ilvl w:val="0"/>
          <w:numId w:val="20"/>
        </w:numPr>
        <w:tabs>
          <w:tab w:val="num" w:pos="709"/>
        </w:tabs>
        <w:ind w:left="709" w:hanging="425"/>
        <w:jc w:val="both"/>
        <w:rPr>
          <w:rFonts w:ascii="Arial" w:eastAsia="Cambria" w:hAnsi="Arial"/>
          <w:lang w:val="es-CR" w:eastAsia="en-US"/>
        </w:rPr>
      </w:pPr>
      <w:r w:rsidRPr="007F4BFE">
        <w:rPr>
          <w:rFonts w:ascii="Arial" w:eastAsia="Cambria" w:hAnsi="Arial"/>
          <w:lang w:val="es-CR" w:eastAsia="en-US"/>
        </w:rPr>
        <w:t>El Estatuto Orgánico del Instituto Tecnológico de Costa Rica en su artículo 18, inciso f) señala:</w:t>
      </w:r>
    </w:p>
    <w:p w:rsidR="00A96599" w:rsidRPr="007F4BFE" w:rsidRDefault="00A96599" w:rsidP="00A96599">
      <w:pPr>
        <w:jc w:val="both"/>
        <w:rPr>
          <w:rFonts w:ascii="Arial" w:eastAsia="Cambria" w:hAnsi="Arial"/>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“Son funciones del Consejo Institucional:</w:t>
      </w:r>
    </w:p>
    <w:p w:rsidR="00A96599" w:rsidRPr="007F4BFE" w:rsidRDefault="00A96599" w:rsidP="00A96599">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w:t>
      </w:r>
    </w:p>
    <w:p w:rsidR="00A96599" w:rsidRPr="007F4BFE" w:rsidRDefault="00A96599" w:rsidP="00A96599">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f.</w:t>
      </w:r>
      <w:r w:rsidRPr="007F4BFE">
        <w:rPr>
          <w:rFonts w:ascii="Arial" w:eastAsia="Cambria" w:hAnsi="Arial" w:cs="Arial"/>
          <w:i/>
          <w:sz w:val="20"/>
          <w:szCs w:val="20"/>
          <w:lang w:val="es-CR" w:eastAsia="en-US"/>
        </w:rPr>
        <w:tab/>
        <w:t>Aprobar, promulgar y modificar los reglamentos generales necesarios para el funcionamiento del Instituto, así como los suyos propios, excepto aquellos que regulen el funcionamiento de la Asamblea Institucional Representativa y del Congreso Institucional.”</w:t>
      </w:r>
    </w:p>
    <w:p w:rsidR="00A96599" w:rsidRPr="007F4BFE" w:rsidRDefault="00A96599" w:rsidP="00A96599">
      <w:pPr>
        <w:ind w:left="360"/>
        <w:rPr>
          <w:rFonts w:ascii="Arial" w:eastAsia="Cambria" w:hAnsi="Arial" w:cs="Arial"/>
          <w:sz w:val="22"/>
          <w:szCs w:val="22"/>
          <w:lang w:val="es-ES_tradnl" w:eastAsia="en-US"/>
        </w:rPr>
      </w:pPr>
    </w:p>
    <w:p w:rsidR="00A96599" w:rsidRPr="007F4BFE" w:rsidRDefault="00A96599" w:rsidP="00A96599">
      <w:pPr>
        <w:numPr>
          <w:ilvl w:val="0"/>
          <w:numId w:val="20"/>
        </w:numPr>
        <w:tabs>
          <w:tab w:val="num" w:pos="709"/>
        </w:tabs>
        <w:ind w:left="709" w:hanging="425"/>
        <w:jc w:val="both"/>
        <w:rPr>
          <w:rFonts w:ascii="Arial" w:eastAsia="Cambria" w:hAnsi="Arial"/>
          <w:lang w:val="es-CR" w:eastAsia="en-US"/>
        </w:rPr>
      </w:pPr>
      <w:r w:rsidRPr="007F4BFE">
        <w:rPr>
          <w:rFonts w:ascii="Arial" w:eastAsia="Cambria" w:hAnsi="Arial"/>
          <w:lang w:val="es-CR" w:eastAsia="en-US"/>
        </w:rPr>
        <w:lastRenderedPageBreak/>
        <w:t>Son asuntos propios del análisis y dictamen de la Comisión de Asuntos Académicos y Estudiantiles, según su competencia:</w:t>
      </w:r>
    </w:p>
    <w:p w:rsidR="00A96599" w:rsidRPr="007F4BFE" w:rsidRDefault="00A96599" w:rsidP="00A96599">
      <w:pPr>
        <w:jc w:val="both"/>
        <w:rPr>
          <w:rFonts w:ascii="Arial" w:eastAsia="Cambria" w:hAnsi="Arial"/>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“Artículo 20:</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5..</w:t>
      </w:r>
      <w:r w:rsidRPr="007F4BFE">
        <w:rPr>
          <w:rFonts w:ascii="Arial" w:eastAsia="Cambria" w:hAnsi="Arial" w:cs="Arial"/>
          <w:i/>
          <w:sz w:val="20"/>
          <w:szCs w:val="20"/>
          <w:lang w:val="es-CR" w:eastAsia="en-US"/>
        </w:rPr>
        <w:tab/>
        <w:t xml:space="preserve">“Atender en </w:t>
      </w:r>
      <w:proofErr w:type="gramStart"/>
      <w:r w:rsidRPr="007F4BFE">
        <w:rPr>
          <w:rFonts w:ascii="Arial" w:eastAsia="Cambria" w:hAnsi="Arial" w:cs="Arial"/>
          <w:i/>
          <w:sz w:val="20"/>
          <w:szCs w:val="20"/>
          <w:lang w:val="es-CR" w:eastAsia="en-US"/>
        </w:rPr>
        <w:t>primer instancia</w:t>
      </w:r>
      <w:proofErr w:type="gramEnd"/>
      <w:r w:rsidRPr="007F4BFE">
        <w:rPr>
          <w:rFonts w:ascii="Arial" w:eastAsia="Cambria" w:hAnsi="Arial" w:cs="Arial"/>
          <w:i/>
          <w:sz w:val="20"/>
          <w:szCs w:val="20"/>
          <w:lang w:val="es-CR" w:eastAsia="en-US"/>
        </w:rPr>
        <w:t xml:space="preserve"> las funciones asignadas al C.I. en el Reglamento de Vinculación Remunerada Externa del ITCR con la </w:t>
      </w:r>
      <w:proofErr w:type="spellStart"/>
      <w:r w:rsidRPr="007F4BFE">
        <w:rPr>
          <w:rFonts w:ascii="Arial" w:eastAsia="Cambria" w:hAnsi="Arial" w:cs="Arial"/>
          <w:i/>
          <w:sz w:val="20"/>
          <w:szCs w:val="20"/>
          <w:lang w:val="es-CR" w:eastAsia="en-US"/>
        </w:rPr>
        <w:t>coadyuvancia</w:t>
      </w:r>
      <w:proofErr w:type="spellEnd"/>
      <w:r w:rsidRPr="007F4BFE">
        <w:rPr>
          <w:rFonts w:ascii="Arial" w:eastAsia="Cambria" w:hAnsi="Arial" w:cs="Arial"/>
          <w:i/>
          <w:sz w:val="20"/>
          <w:szCs w:val="20"/>
          <w:lang w:val="es-CR" w:eastAsia="en-US"/>
        </w:rPr>
        <w:t xml:space="preserve"> de la </w:t>
      </w:r>
      <w:proofErr w:type="spellStart"/>
      <w:r w:rsidRPr="007F4BFE">
        <w:rPr>
          <w:rFonts w:ascii="Arial" w:eastAsia="Cambria" w:hAnsi="Arial" w:cs="Arial"/>
          <w:i/>
          <w:sz w:val="20"/>
          <w:szCs w:val="20"/>
          <w:lang w:val="es-CR" w:eastAsia="en-US"/>
        </w:rPr>
        <w:t>Fundatec</w:t>
      </w:r>
      <w:proofErr w:type="spellEnd"/>
      <w:r w:rsidRPr="007F4BFE">
        <w:rPr>
          <w:rFonts w:ascii="Arial" w:eastAsia="Cambria" w:hAnsi="Arial" w:cs="Arial"/>
          <w:i/>
          <w:sz w:val="20"/>
          <w:szCs w:val="20"/>
          <w:lang w:val="es-CR" w:eastAsia="en-US"/>
        </w:rPr>
        <w:t>”</w:t>
      </w:r>
    </w:p>
    <w:p w:rsidR="00A96599" w:rsidRPr="007F4BFE" w:rsidRDefault="00A96599" w:rsidP="00A96599">
      <w:pPr>
        <w:overflowPunct w:val="0"/>
        <w:autoSpaceDE w:val="0"/>
        <w:autoSpaceDN w:val="0"/>
        <w:adjustRightInd w:val="0"/>
        <w:ind w:left="1276" w:right="618" w:hanging="426"/>
        <w:jc w:val="both"/>
        <w:textAlignment w:val="baseline"/>
        <w:rPr>
          <w:rFonts w:ascii="Arial" w:eastAsia="Cambria" w:hAnsi="Arial" w:cs="Arial"/>
          <w:i/>
          <w:sz w:val="20"/>
          <w:szCs w:val="20"/>
          <w:lang w:val="es-CR" w:eastAsia="en-US"/>
        </w:rPr>
      </w:pPr>
    </w:p>
    <w:p w:rsidR="00A96599" w:rsidRPr="007F4BFE" w:rsidRDefault="00A96599" w:rsidP="00A96599">
      <w:pPr>
        <w:numPr>
          <w:ilvl w:val="0"/>
          <w:numId w:val="20"/>
        </w:numPr>
        <w:tabs>
          <w:tab w:val="num" w:pos="709"/>
        </w:tabs>
        <w:ind w:left="709" w:hanging="425"/>
        <w:jc w:val="both"/>
        <w:rPr>
          <w:rFonts w:ascii="Arial" w:eastAsia="Cambria" w:hAnsi="Arial" w:cs="Arial"/>
          <w:lang w:val="es-ES_tradnl" w:eastAsia="en-US"/>
        </w:rPr>
      </w:pPr>
      <w:r w:rsidRPr="007F4BFE">
        <w:rPr>
          <w:rFonts w:ascii="Arial" w:eastAsia="Cambria" w:hAnsi="Arial" w:cs="Arial"/>
          <w:lang w:val="es-ES_tradnl" w:eastAsia="en-US"/>
        </w:rPr>
        <w:t xml:space="preserve">En el Reglamento para la Vinculación Remunerada Externa del Instituto Tecnológico de Costa Rica con la </w:t>
      </w:r>
      <w:proofErr w:type="spellStart"/>
      <w:r w:rsidRPr="007F4BFE">
        <w:rPr>
          <w:rFonts w:ascii="Arial" w:eastAsia="Cambria" w:hAnsi="Arial" w:cs="Arial"/>
          <w:lang w:val="es-ES_tradnl" w:eastAsia="en-US"/>
        </w:rPr>
        <w:t>coadyuvancia</w:t>
      </w:r>
      <w:proofErr w:type="spellEnd"/>
      <w:r w:rsidRPr="007F4BFE">
        <w:rPr>
          <w:rFonts w:ascii="Arial" w:eastAsia="Cambria" w:hAnsi="Arial" w:cs="Arial"/>
          <w:lang w:val="es-ES_tradnl" w:eastAsia="en-US"/>
        </w:rPr>
        <w:t xml:space="preserve"> de la FUNDATEC, define:</w:t>
      </w:r>
    </w:p>
    <w:p w:rsidR="00A96599" w:rsidRPr="007F4BFE" w:rsidRDefault="00A96599" w:rsidP="00A96599">
      <w:pPr>
        <w:jc w:val="both"/>
        <w:rPr>
          <w:rFonts w:ascii="Arial" w:eastAsia="Cambria" w:hAnsi="Arial" w:cs="Arial"/>
          <w:lang w:val="es-ES_tradnl"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Artículo 29 Fondo de Desarrollo Institucional (FDI)</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ITCR constituye el Fondo de Desarrollo Institucional (FDI), que consiste en un porcentaje del ingreso total de las acciones remuneradas de vinculación externa ejecutadas por sus unidades operativas.</w:t>
      </w:r>
    </w:p>
    <w:p w:rsidR="00A96599" w:rsidRPr="007F4BFE" w:rsidRDefault="00A96599" w:rsidP="00A96599">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La totalidad de los recursos de este fondo pasan a formar parte de la reserva de investigación y será el Consejo de Investigación y Extensión quien hará la distribución de dichos recursos, según el plan estratégico y las propuestas de proyectos de cada año, procurando la sostenibilidad y creación de nuevos programas y áreas de investigación.</w:t>
      </w:r>
    </w:p>
    <w:p w:rsidR="00A96599" w:rsidRPr="007F4BFE" w:rsidRDefault="00A96599" w:rsidP="00A96599">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440" w:right="618"/>
        <w:contextualSpacing/>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FDI se trasladará al ITCR en los meses que la institución disponga</w:t>
      </w: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w:t>
      </w:r>
    </w:p>
    <w:p w:rsidR="00A96599" w:rsidRPr="007F4BFE" w:rsidRDefault="00A96599" w:rsidP="00A96599">
      <w:pPr>
        <w:ind w:left="709"/>
        <w:jc w:val="both"/>
        <w:rPr>
          <w:rFonts w:ascii="Arial" w:eastAsia="Calibri" w:hAnsi="Arial" w:cs="Arial"/>
          <w:i/>
          <w:sz w:val="18"/>
          <w:szCs w:val="22"/>
          <w:lang w:val="es-CR" w:eastAsia="en-US"/>
        </w:rPr>
      </w:pPr>
    </w:p>
    <w:p w:rsidR="00A96599" w:rsidRPr="007F4BFE" w:rsidRDefault="00A96599" w:rsidP="00A96599">
      <w:pPr>
        <w:numPr>
          <w:ilvl w:val="0"/>
          <w:numId w:val="20"/>
        </w:numPr>
        <w:tabs>
          <w:tab w:val="num" w:pos="709"/>
        </w:tabs>
        <w:ind w:left="709" w:hanging="425"/>
        <w:jc w:val="both"/>
        <w:rPr>
          <w:rFonts w:ascii="Arial" w:eastAsia="Cambria" w:hAnsi="Arial" w:cs="Arial"/>
          <w:lang w:val="es-ES_tradnl" w:eastAsia="en-US"/>
        </w:rPr>
      </w:pPr>
      <w:r w:rsidRPr="007F4BFE">
        <w:rPr>
          <w:rFonts w:ascii="Arial" w:eastAsia="Cambria" w:hAnsi="Arial" w:cs="Arial"/>
          <w:lang w:val="es-ES_tradnl" w:eastAsia="en-US"/>
        </w:rPr>
        <w:t xml:space="preserve">El </w:t>
      </w:r>
      <w:r>
        <w:rPr>
          <w:rFonts w:ascii="Arial" w:eastAsia="Cambria" w:hAnsi="Arial" w:cs="Arial"/>
          <w:lang w:val="es-ES_tradnl" w:eastAsia="en-US"/>
        </w:rPr>
        <w:t>A</w:t>
      </w:r>
      <w:r w:rsidRPr="007F4BFE">
        <w:rPr>
          <w:rFonts w:ascii="Arial" w:eastAsia="Cambria" w:hAnsi="Arial" w:cs="Arial"/>
          <w:lang w:val="es-ES_tradnl" w:eastAsia="en-US"/>
        </w:rPr>
        <w:t>rtículo 32 del “</w:t>
      </w:r>
      <w:r w:rsidRPr="007F4BFE">
        <w:rPr>
          <w:rFonts w:ascii="Arial" w:hAnsi="Arial" w:cs="Arial"/>
          <w:bCs/>
          <w:lang w:val="es-CR" w:eastAsia="en-US"/>
        </w:rPr>
        <w:t xml:space="preserve">Reglamento para la Vinculación Remunerada Externa del Instituto Tecnológico de Costa Rica con la </w:t>
      </w:r>
      <w:proofErr w:type="spellStart"/>
      <w:r w:rsidRPr="007F4BFE">
        <w:rPr>
          <w:rFonts w:ascii="Arial" w:hAnsi="Arial" w:cs="Arial"/>
          <w:bCs/>
          <w:lang w:val="es-CR" w:eastAsia="en-US"/>
        </w:rPr>
        <w:t>coadyuvancia</w:t>
      </w:r>
      <w:proofErr w:type="spellEnd"/>
      <w:r w:rsidRPr="007F4BFE">
        <w:rPr>
          <w:rFonts w:ascii="Arial" w:hAnsi="Arial" w:cs="Arial"/>
          <w:bCs/>
          <w:lang w:val="es-CR" w:eastAsia="en-US"/>
        </w:rPr>
        <w:t xml:space="preserve"> de la FUNDATEC”</w:t>
      </w:r>
      <w:r>
        <w:rPr>
          <w:rFonts w:ascii="Arial" w:hAnsi="Arial" w:cs="Arial"/>
          <w:bCs/>
          <w:lang w:val="es-CR" w:eastAsia="en-US"/>
        </w:rPr>
        <w:t>,</w:t>
      </w:r>
      <w:r w:rsidRPr="007F4BFE">
        <w:rPr>
          <w:rFonts w:ascii="Arial" w:hAnsi="Arial" w:cs="Arial"/>
          <w:bCs/>
          <w:lang w:val="es-CR" w:eastAsia="en-US"/>
        </w:rPr>
        <w:t xml:space="preserve"> dispone lo siguiente: </w:t>
      </w:r>
      <w:r w:rsidRPr="007F4BFE">
        <w:rPr>
          <w:rFonts w:ascii="Arial" w:eastAsia="Cambria" w:hAnsi="Arial" w:cs="Arial"/>
          <w:lang w:val="es-ES_tradnl" w:eastAsia="en-US"/>
        </w:rPr>
        <w:t xml:space="preserve"> </w:t>
      </w:r>
    </w:p>
    <w:p w:rsidR="00A96599" w:rsidRPr="007F4BFE" w:rsidRDefault="00A96599" w:rsidP="00A96599">
      <w:pPr>
        <w:ind w:left="825"/>
        <w:jc w:val="both"/>
        <w:rPr>
          <w:rFonts w:ascii="Arial" w:eastAsia="Cambria" w:hAnsi="Arial" w:cs="Arial"/>
          <w:lang w:val="es-ES_tradnl"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Artículo 32 Porcentajes de los fondos y aplicaciones</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La FUNDATEC deberá aplicar como retenciones los porcentajes asociados a los </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fondos FDI, FDU y Costo Administrativo, de acuerdo con el siguiente cuadro:</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tbl>
      <w:tblPr>
        <w:tblW w:w="4504" w:type="pct"/>
        <w:tblCellSpacing w:w="15" w:type="dxa"/>
        <w:tblInd w:w="804" w:type="dxa"/>
        <w:tblCellMar>
          <w:top w:w="15" w:type="dxa"/>
          <w:left w:w="15" w:type="dxa"/>
          <w:bottom w:w="15" w:type="dxa"/>
          <w:right w:w="15" w:type="dxa"/>
        </w:tblCellMar>
        <w:tblLook w:val="04A0" w:firstRow="1" w:lastRow="0" w:firstColumn="1" w:lastColumn="0" w:noHBand="0" w:noVBand="1"/>
      </w:tblPr>
      <w:tblGrid>
        <w:gridCol w:w="2271"/>
        <w:gridCol w:w="1202"/>
        <w:gridCol w:w="1024"/>
        <w:gridCol w:w="1581"/>
        <w:gridCol w:w="2092"/>
      </w:tblGrid>
      <w:tr w:rsidR="00A96599" w:rsidRPr="007F4BFE" w:rsidTr="00A96599">
        <w:trPr>
          <w:trHeight w:val="805"/>
          <w:tblCellSpacing w:w="15" w:type="dxa"/>
        </w:trPr>
        <w:tc>
          <w:tcPr>
            <w:tcW w:w="222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Característica de la transferencia</w:t>
            </w:r>
          </w:p>
        </w:tc>
        <w:tc>
          <w:tcPr>
            <w:tcW w:w="1172"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FDU</w:t>
            </w:r>
          </w:p>
        </w:tc>
        <w:tc>
          <w:tcPr>
            <w:tcW w:w="994"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xml:space="preserve">FDI </w:t>
            </w:r>
          </w:p>
        </w:tc>
        <w:tc>
          <w:tcPr>
            <w:tcW w:w="1551"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xml:space="preserve">Fondo Solidario Posgrado </w:t>
            </w:r>
          </w:p>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FSPO</w:t>
            </w:r>
          </w:p>
        </w:tc>
        <w:tc>
          <w:tcPr>
            <w:tcW w:w="204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xml:space="preserve">Costo </w:t>
            </w:r>
          </w:p>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administrativo</w:t>
            </w:r>
          </w:p>
        </w:tc>
      </w:tr>
      <w:tr w:rsidR="00A96599" w:rsidRPr="007F4BFE" w:rsidTr="00A96599">
        <w:trPr>
          <w:trHeight w:val="536"/>
          <w:tblCellSpacing w:w="15" w:type="dxa"/>
        </w:trPr>
        <w:tc>
          <w:tcPr>
            <w:tcW w:w="222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Transferencias de fondos entre unidades operativas o entre proyectos de la misma unidad</w:t>
            </w:r>
          </w:p>
        </w:tc>
        <w:tc>
          <w:tcPr>
            <w:tcW w:w="1172"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994"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551"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04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r>
      <w:tr w:rsidR="00A96599" w:rsidRPr="007F4BFE" w:rsidTr="00A96599">
        <w:trPr>
          <w:trHeight w:val="350"/>
          <w:tblCellSpacing w:w="15" w:type="dxa"/>
        </w:trPr>
        <w:tc>
          <w:tcPr>
            <w:tcW w:w="222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proyectos a la </w:t>
            </w:r>
            <w:proofErr w:type="spellStart"/>
            <w:r w:rsidRPr="007F4BFE">
              <w:rPr>
                <w:rFonts w:ascii="Roboto" w:hAnsi="Roboto"/>
                <w:color w:val="4E4E4E"/>
                <w:sz w:val="17"/>
                <w:szCs w:val="17"/>
                <w:lang w:val="es-CR" w:eastAsia="es-CR"/>
              </w:rPr>
              <w:t>Fundatec</w:t>
            </w:r>
            <w:proofErr w:type="spellEnd"/>
          </w:p>
        </w:tc>
        <w:tc>
          <w:tcPr>
            <w:tcW w:w="1172"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994"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8%</w:t>
            </w:r>
          </w:p>
        </w:tc>
        <w:tc>
          <w:tcPr>
            <w:tcW w:w="1551"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04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7%</w:t>
            </w:r>
          </w:p>
        </w:tc>
      </w:tr>
      <w:tr w:rsidR="00A96599" w:rsidRPr="007F4BFE" w:rsidTr="00A96599">
        <w:trPr>
          <w:trHeight w:val="536"/>
          <w:tblCellSpacing w:w="15" w:type="dxa"/>
        </w:trPr>
        <w:tc>
          <w:tcPr>
            <w:tcW w:w="222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programas de Posgrados a la  </w:t>
            </w:r>
            <w:proofErr w:type="spellStart"/>
            <w:r w:rsidRPr="007F4BFE">
              <w:rPr>
                <w:rFonts w:ascii="Roboto" w:hAnsi="Roboto"/>
                <w:color w:val="4E4E4E"/>
                <w:sz w:val="17"/>
                <w:szCs w:val="17"/>
                <w:lang w:val="es-CR" w:eastAsia="es-CR"/>
              </w:rPr>
              <w:t>Fundatec</w:t>
            </w:r>
            <w:proofErr w:type="spellEnd"/>
          </w:p>
        </w:tc>
        <w:tc>
          <w:tcPr>
            <w:tcW w:w="1172"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2%</w:t>
            </w:r>
          </w:p>
        </w:tc>
        <w:tc>
          <w:tcPr>
            <w:tcW w:w="994"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0</w:t>
            </w:r>
          </w:p>
        </w:tc>
        <w:tc>
          <w:tcPr>
            <w:tcW w:w="1551"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204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7%</w:t>
            </w:r>
          </w:p>
        </w:tc>
      </w:tr>
      <w:tr w:rsidR="00A96599" w:rsidRPr="007F4BFE" w:rsidTr="00A96599">
        <w:trPr>
          <w:trHeight w:val="350"/>
          <w:tblCellSpacing w:w="15" w:type="dxa"/>
        </w:trPr>
        <w:tc>
          <w:tcPr>
            <w:tcW w:w="222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xml:space="preserve">Transferencias del ITCR a la </w:t>
            </w:r>
            <w:proofErr w:type="spellStart"/>
            <w:r w:rsidRPr="007F4BFE">
              <w:rPr>
                <w:rFonts w:ascii="Roboto" w:hAnsi="Roboto"/>
                <w:color w:val="4E4E4E"/>
                <w:sz w:val="17"/>
                <w:szCs w:val="17"/>
                <w:lang w:val="es-CR" w:eastAsia="es-CR"/>
              </w:rPr>
              <w:t>Fundatec</w:t>
            </w:r>
            <w:proofErr w:type="spellEnd"/>
          </w:p>
        </w:tc>
        <w:tc>
          <w:tcPr>
            <w:tcW w:w="1172"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994"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551"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 </w:t>
            </w:r>
          </w:p>
        </w:tc>
        <w:tc>
          <w:tcPr>
            <w:tcW w:w="2047" w:type="dxa"/>
            <w:tcMar>
              <w:top w:w="180" w:type="dxa"/>
              <w:left w:w="75" w:type="dxa"/>
              <w:bottom w:w="180" w:type="dxa"/>
              <w:right w:w="75" w:type="dxa"/>
            </w:tcMar>
            <w:vAlign w:val="center"/>
            <w:hideMark/>
          </w:tcPr>
          <w:p w:rsidR="00A96599" w:rsidRPr="007F4BFE" w:rsidRDefault="00A96599" w:rsidP="00A96599">
            <w:pPr>
              <w:spacing w:before="100" w:beforeAutospacing="1"/>
              <w:jc w:val="both"/>
              <w:rPr>
                <w:rFonts w:ascii="Roboto" w:hAnsi="Roboto"/>
                <w:color w:val="4E4E4E"/>
                <w:sz w:val="17"/>
                <w:szCs w:val="17"/>
                <w:lang w:val="es-CR" w:eastAsia="es-CR"/>
              </w:rPr>
            </w:pPr>
            <w:r w:rsidRPr="007F4BFE">
              <w:rPr>
                <w:rFonts w:ascii="Roboto" w:hAnsi="Roboto"/>
                <w:color w:val="4E4E4E"/>
                <w:sz w:val="17"/>
                <w:szCs w:val="17"/>
                <w:lang w:val="es-CR" w:eastAsia="es-CR"/>
              </w:rPr>
              <w:t>7%</w:t>
            </w:r>
          </w:p>
        </w:tc>
      </w:tr>
    </w:tbl>
    <w:p w:rsidR="00A96599" w:rsidRPr="007F4BFE" w:rsidRDefault="00A96599" w:rsidP="00A96599">
      <w:pPr>
        <w:overflowPunct w:val="0"/>
        <w:autoSpaceDE w:val="0"/>
        <w:autoSpaceDN w:val="0"/>
        <w:adjustRightInd w:val="0"/>
        <w:ind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Los recursos del Fondo solidario ingresados por los proyectos de posgrados a la </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roofErr w:type="spellStart"/>
      <w:r w:rsidRPr="007F4BFE">
        <w:rPr>
          <w:rFonts w:ascii="Arial" w:eastAsia="Cambria" w:hAnsi="Arial" w:cs="Arial"/>
          <w:i/>
          <w:sz w:val="20"/>
          <w:szCs w:val="20"/>
          <w:lang w:val="es-CR" w:eastAsia="en-US"/>
        </w:rPr>
        <w:t>Fundatec</w:t>
      </w:r>
      <w:proofErr w:type="spellEnd"/>
      <w:r w:rsidRPr="007F4BFE">
        <w:rPr>
          <w:rFonts w:ascii="Arial" w:eastAsia="Cambria" w:hAnsi="Arial" w:cs="Arial"/>
          <w:i/>
          <w:sz w:val="20"/>
          <w:szCs w:val="20"/>
          <w:lang w:val="es-CR" w:eastAsia="en-US"/>
        </w:rPr>
        <w:t xml:space="preserve"> serán administrados por la Dirección de Posgrados.</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Modificación aprobada en Sesión Ordinaria No. 3078, Artículo 27, del 27 de junio de</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2018, Gaceta No. 514, del 28 de junio de 2018</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De acuerdo a la naturaleza de los proyectos, las instancias correspondientes tendrán </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la competencia para exonerar del pago de estas retenciones con base en los criterios</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 evaluación que cada una defina.</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La responsabilidad de definir la exoneración de los porcentajes será de las unidades </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operativas en el caso del FDU, del Consejo de Investigación y Extensión en el caso </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del FDI y de la Junta Directiva de FUNDATEC en el caso del costo administrativo.</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Anualmente, a más tardar el 30 de octubre, el Consejo Institucional deberá de revisar</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el porcentaje del costo administrativo de la FUNDATEC, para determinar si el</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porcentaje otorgado cubre razonablemente los costos de la unidad administrativa. </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En este análisis el Consejo Institucional deberá evaluar:</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1. La eficiencia de las operaciones de la Unidad Administrativa y Financiera</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 Las responsabilidades asignadas en este reglamento por el ITCR a la FUNDATEC</w:t>
      </w:r>
      <w:r>
        <w:rPr>
          <w:rFonts w:ascii="Arial" w:eastAsia="Cambria" w:hAnsi="Arial" w:cs="Arial"/>
          <w:i/>
          <w:sz w:val="20"/>
          <w:szCs w:val="20"/>
          <w:lang w:val="es-CR" w:eastAsia="en-US"/>
        </w:rPr>
        <w:t>”</w:t>
      </w:r>
      <w:r w:rsidRPr="007F4BFE">
        <w:rPr>
          <w:rFonts w:ascii="Arial" w:eastAsia="Cambria" w:hAnsi="Arial" w:cs="Arial"/>
          <w:i/>
          <w:sz w:val="20"/>
          <w:szCs w:val="20"/>
          <w:lang w:val="es-CR" w:eastAsia="en-US"/>
        </w:rPr>
        <w:t>.</w:t>
      </w:r>
    </w:p>
    <w:p w:rsidR="00A96599" w:rsidRPr="007F4BFE" w:rsidRDefault="00A96599" w:rsidP="00A96599">
      <w:pPr>
        <w:overflowPunct w:val="0"/>
        <w:autoSpaceDE w:val="0"/>
        <w:autoSpaceDN w:val="0"/>
        <w:adjustRightInd w:val="0"/>
        <w:ind w:left="1276" w:right="618" w:hanging="567"/>
        <w:textAlignment w:val="baseline"/>
        <w:rPr>
          <w:rFonts w:ascii="Arial" w:eastAsia="Cambria" w:hAnsi="Arial" w:cs="Arial"/>
          <w:i/>
          <w:sz w:val="20"/>
          <w:szCs w:val="20"/>
          <w:lang w:val="es-CR" w:eastAsia="en-US"/>
        </w:rPr>
      </w:pPr>
    </w:p>
    <w:p w:rsidR="00A96599" w:rsidRPr="007F4BFE" w:rsidRDefault="00A96599" w:rsidP="00A96599">
      <w:pPr>
        <w:ind w:left="709"/>
        <w:jc w:val="both"/>
        <w:rPr>
          <w:rFonts w:ascii="Arial" w:eastAsia="Calibri" w:hAnsi="Arial" w:cs="Arial"/>
          <w:sz w:val="6"/>
          <w:lang w:val="es-CR" w:eastAsia="en-US"/>
        </w:rPr>
      </w:pPr>
    </w:p>
    <w:p w:rsidR="00A96599" w:rsidRPr="007F4BFE" w:rsidRDefault="00A96599" w:rsidP="00A96599">
      <w:pPr>
        <w:ind w:left="284"/>
        <w:jc w:val="both"/>
        <w:rPr>
          <w:rFonts w:ascii="Arial" w:eastAsia="Cambria" w:hAnsi="Arial" w:cs="Arial"/>
          <w:b/>
          <w:caps/>
          <w:lang w:val="es-ES_tradnl" w:eastAsia="en-US"/>
        </w:rPr>
      </w:pPr>
      <w:r w:rsidRPr="007F4BFE">
        <w:rPr>
          <w:rFonts w:ascii="Arial" w:eastAsia="Cambria" w:hAnsi="Arial" w:cs="Arial"/>
          <w:b/>
          <w:caps/>
          <w:lang w:val="es-ES_tradnl" w:eastAsia="en-US"/>
        </w:rPr>
        <w:t>CONSIDERANDO que:</w:t>
      </w:r>
    </w:p>
    <w:p w:rsidR="00A96599" w:rsidRPr="007F4BFE" w:rsidRDefault="00A96599" w:rsidP="00A96599">
      <w:pPr>
        <w:jc w:val="both"/>
        <w:rPr>
          <w:rFonts w:ascii="Arial" w:eastAsia="Calibri" w:hAnsi="Arial" w:cs="Arial"/>
          <w:lang w:val="es-ES_tradnl" w:eastAsia="en-US"/>
        </w:rPr>
      </w:pPr>
    </w:p>
    <w:p w:rsidR="00A96599" w:rsidRDefault="00A96599" w:rsidP="00A96599">
      <w:pPr>
        <w:numPr>
          <w:ilvl w:val="0"/>
          <w:numId w:val="23"/>
        </w:numPr>
        <w:contextualSpacing/>
        <w:jc w:val="both"/>
        <w:rPr>
          <w:rFonts w:ascii="Arial" w:eastAsia="Calibri" w:hAnsi="Arial" w:cs="Arial"/>
          <w:lang w:val="es-ES_tradnl" w:eastAsia="en-US"/>
        </w:rPr>
      </w:pPr>
      <w:r w:rsidRPr="007F4BFE">
        <w:rPr>
          <w:rFonts w:ascii="Arial" w:eastAsia="Calibri" w:hAnsi="Arial" w:cs="Arial"/>
          <w:lang w:val="es-ES_tradnl" w:eastAsia="en-US"/>
        </w:rPr>
        <w:t xml:space="preserve">La Secretaría del Consejo Institucional, recibe el oficio FUNDATEC-496-2018, con fecha de recibido 23 de noviembre de 2018, suscrito por el </w:t>
      </w:r>
      <w:proofErr w:type="spellStart"/>
      <w:r w:rsidRPr="007F4BFE">
        <w:rPr>
          <w:rFonts w:ascii="Arial" w:eastAsia="Calibri" w:hAnsi="Arial" w:cs="Arial"/>
          <w:lang w:val="es-ES_tradnl" w:eastAsia="en-US"/>
        </w:rPr>
        <w:t>M.Sc</w:t>
      </w:r>
      <w:proofErr w:type="spellEnd"/>
      <w:r w:rsidRPr="007F4BFE">
        <w:rPr>
          <w:rFonts w:ascii="Arial" w:eastAsia="Calibri" w:hAnsi="Arial" w:cs="Arial"/>
          <w:lang w:val="es-ES_tradnl" w:eastAsia="en-US"/>
        </w:rPr>
        <w:t xml:space="preserve">. Luis Paulino Méndez, Presidente FUNDATEC y la M.A.E Damaris Cordero, delegada Ejecutiva FUNDATEC, dirigido al Dr. Julio Calvo Alvarado, Presidente del Consejo Institucional, con copia a la Ing. María Estrada, </w:t>
      </w:r>
      <w:proofErr w:type="spellStart"/>
      <w:r w:rsidRPr="007F4BFE">
        <w:rPr>
          <w:rFonts w:ascii="Arial" w:eastAsia="Calibri" w:hAnsi="Arial" w:cs="Arial"/>
          <w:lang w:val="es-ES_tradnl" w:eastAsia="en-US"/>
        </w:rPr>
        <w:t>MSc</w:t>
      </w:r>
      <w:proofErr w:type="spellEnd"/>
      <w:r w:rsidRPr="007F4BFE">
        <w:rPr>
          <w:rFonts w:ascii="Arial" w:eastAsia="Calibri" w:hAnsi="Arial" w:cs="Arial"/>
          <w:lang w:val="es-ES_tradnl" w:eastAsia="en-US"/>
        </w:rPr>
        <w:t xml:space="preserve">. Coordinadora de la Comisión de Asuntos Académicos y Estudiantiles, en el cual remite acuerdo de Junta Administrativa de la sesión No. 17-2018, realizada el 21 de noviembre de 2018, en la cual plantea solicitud para disminuir el costo administrativo de FUNDATEC de un 7% a un 6%, que indica lo siguiente: </w:t>
      </w:r>
    </w:p>
    <w:p w:rsidR="00A96599" w:rsidRPr="007F4BFE" w:rsidRDefault="00A96599" w:rsidP="00A96599">
      <w:pPr>
        <w:ind w:left="825"/>
        <w:contextualSpacing/>
        <w:jc w:val="both"/>
        <w:rPr>
          <w:rFonts w:ascii="Arial" w:eastAsia="Calibri" w:hAnsi="Arial" w:cs="Arial"/>
          <w:lang w:val="es-ES_tradnl" w:eastAsia="en-US"/>
        </w:rPr>
      </w:pPr>
    </w:p>
    <w:p w:rsidR="00A96599" w:rsidRPr="007F4BFE" w:rsidRDefault="00A96599" w:rsidP="00A96599">
      <w:pPr>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“Nos permitimos presentar acuerdo de Junta Administrativa de la sesión 17-2018, realizada el 21 de noviembre de 2018, en la cual se plantea solicitud para disminuir el costo administrativo de FUNDATEC de un 7% a un 6%, según la siguiente justificación:</w:t>
      </w:r>
    </w:p>
    <w:p w:rsidR="00A96599" w:rsidRPr="007F4BFE" w:rsidRDefault="00A96599" w:rsidP="00A96599">
      <w:pPr>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Acuerdo 7-17-2018 Disminución porcentaje costo administrativo de FUNDATEC</w:t>
      </w:r>
    </w:p>
    <w:p w:rsidR="00A96599" w:rsidRPr="007F4BFE" w:rsidRDefault="00A96599" w:rsidP="00A96599">
      <w:pPr>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Considerando que:</w:t>
      </w: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El Reglamento de vinculación establece en el artículo 32:  Porcentajes de fondos y aplicaciones:</w:t>
      </w:r>
    </w:p>
    <w:p w:rsidR="00A96599" w:rsidRPr="007F4BFE" w:rsidRDefault="00A96599" w:rsidP="00A96599">
      <w:pPr>
        <w:ind w:left="1276"/>
        <w:contextualSpacing/>
        <w:rPr>
          <w:rFonts w:ascii="Arial" w:eastAsia="Calibri" w:hAnsi="Arial" w:cs="Arial"/>
          <w:bCs/>
          <w:i/>
          <w:sz w:val="20"/>
          <w:szCs w:val="20"/>
          <w:lang w:val="es-CR" w:eastAsia="en-US"/>
        </w:rPr>
      </w:pPr>
    </w:p>
    <w:p w:rsidR="00A96599" w:rsidRPr="007F4BFE" w:rsidRDefault="00A96599" w:rsidP="00A96599">
      <w:pPr>
        <w:ind w:left="1276" w:right="758"/>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“…Anualmente, a más tardar el 30 de octubre, el Consejo Institucional deberá de revisar el porcentaje del costo administrativo de la FUNDATEC, para determinar si el porcentaje otorgado cubre razonablemente los costos de la unidad administrativa. En este análisis el Consejo Institucional deberá evaluar: La eficiencia de las operaciones de la Unidad Administrativa y Financiera. Las responsabilidades asignadas en este reglamento por el ITCR a la FUNDATEC”.</w:t>
      </w:r>
    </w:p>
    <w:p w:rsidR="00A96599" w:rsidRPr="007F4BFE" w:rsidRDefault="00A96599" w:rsidP="00A96599">
      <w:pPr>
        <w:ind w:left="1276"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Actualmente el país vive una crisis fiscal, que ha provocado que todas las instituciones estudien sus presupuestos y disminuyan gastos.</w:t>
      </w:r>
    </w:p>
    <w:p w:rsidR="00A96599" w:rsidRPr="007F4BFE" w:rsidRDefault="00A96599" w:rsidP="00A96599">
      <w:pPr>
        <w:ind w:left="1276"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La Fundación es una herramienta para el ITCR que promueve el ingreso de recursos adicionales con las actividades de vinculación.</w:t>
      </w:r>
    </w:p>
    <w:p w:rsidR="00A96599" w:rsidRPr="007F4BFE" w:rsidRDefault="00A96599" w:rsidP="00A96599">
      <w:pPr>
        <w:ind w:left="1276"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lastRenderedPageBreak/>
        <w:t>El costo administrativo de FUNDATEC, actualmente fijado en el 7% tiene como objetivo el financiamiento de la Unidad Administrativa Financiera y que esta Junta está consciente del esfuerzo en el ahorro y la eficiencia que está realizando el TEC, el cual no debe ser ajeno a la Fundación.</w:t>
      </w:r>
    </w:p>
    <w:p w:rsidR="00A96599" w:rsidRPr="007F4BFE" w:rsidRDefault="00A96599" w:rsidP="00A96599">
      <w:pPr>
        <w:ind w:left="1276"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 xml:space="preserve">Adicionalmente, cuando la propuesta de cambio del Reglamento para actividades de vinculación con la </w:t>
      </w:r>
      <w:proofErr w:type="spellStart"/>
      <w:r w:rsidRPr="007F4BFE">
        <w:rPr>
          <w:rFonts w:ascii="Arial" w:eastAsia="Calibri" w:hAnsi="Arial" w:cs="Arial"/>
          <w:bCs/>
          <w:i/>
          <w:sz w:val="20"/>
          <w:szCs w:val="20"/>
          <w:lang w:val="es-CR" w:eastAsia="en-US"/>
        </w:rPr>
        <w:t>coadyuvancia</w:t>
      </w:r>
      <w:proofErr w:type="spellEnd"/>
      <w:r w:rsidRPr="007F4BFE">
        <w:rPr>
          <w:rFonts w:ascii="Arial" w:eastAsia="Calibri" w:hAnsi="Arial" w:cs="Arial"/>
          <w:bCs/>
          <w:i/>
          <w:sz w:val="20"/>
          <w:szCs w:val="20"/>
          <w:lang w:val="es-CR" w:eastAsia="en-US"/>
        </w:rPr>
        <w:t xml:space="preserve"> de FUNDATEC, se sometió a revisión institucional, las escuelas que respondieron se refirieron a este costo como alto y, por ende, susceptible de evaluar para una posible mejora.  Esta retroalimentación se presentó al Consejo Institucional en el oficio ViDa-541-2018 del 16 de agosto del 2018.</w:t>
      </w:r>
    </w:p>
    <w:p w:rsidR="00A96599" w:rsidRPr="007F4BFE" w:rsidRDefault="00A96599" w:rsidP="00A96599">
      <w:pPr>
        <w:ind w:left="2880"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A partir del 2018, FUNDATEC se trasladó a un edificio nuevo, cuyo costo ya fue pagado en su totalidad; no obstante, genera una serie de gastos que no estaban contemplados anteriormente.  En promedio esto gastos representan C340.000 mensuales.</w:t>
      </w:r>
    </w:p>
    <w:p w:rsidR="00A96599" w:rsidRPr="007F4BFE" w:rsidRDefault="00A96599" w:rsidP="00A96599">
      <w:pPr>
        <w:ind w:left="2880"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En la formulación del presupuesto del 2019, se realizaron varios escenarios, revisando todas las partidas de gasto susceptibles a disminuir sin afectar el servicio y el desarrollo tecnológico que requiere la organización.</w:t>
      </w:r>
    </w:p>
    <w:p w:rsidR="00A96599" w:rsidRPr="007F4BFE" w:rsidRDefault="00A96599" w:rsidP="00A96599">
      <w:pPr>
        <w:ind w:left="1276"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Uno de los escenarios revisados se calculó bajo el supuesto de un cobro del 6% de costos administrativos, mismo que permite mantener la sanidad financiera de FUNDATEC.</w:t>
      </w:r>
    </w:p>
    <w:p w:rsidR="00A96599" w:rsidRPr="007F4BFE" w:rsidRDefault="00A96599" w:rsidP="00A96599">
      <w:pPr>
        <w:ind w:left="1276" w:right="758"/>
        <w:contextualSpacing/>
        <w:jc w:val="both"/>
        <w:rPr>
          <w:rFonts w:ascii="Arial" w:eastAsia="Calibri" w:hAnsi="Arial" w:cs="Arial"/>
          <w:bCs/>
          <w:i/>
          <w:sz w:val="20"/>
          <w:szCs w:val="20"/>
          <w:lang w:val="es-CR" w:eastAsia="en-US"/>
        </w:rPr>
      </w:pPr>
    </w:p>
    <w:p w:rsidR="00A96599" w:rsidRPr="007F4BFE" w:rsidRDefault="00A96599" w:rsidP="00A96599">
      <w:pPr>
        <w:numPr>
          <w:ilvl w:val="3"/>
          <w:numId w:val="24"/>
        </w:numPr>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Como resultado de las acciones de los considerandos 7 y 8 anteriores, las disminuciones logradas se resumen en el siguiente cuadro:</w:t>
      </w:r>
    </w:p>
    <w:p w:rsidR="00A96599" w:rsidRPr="007F4BFE" w:rsidRDefault="00A96599" w:rsidP="00A96599">
      <w:pPr>
        <w:spacing w:before="100" w:beforeAutospacing="1" w:after="100" w:afterAutospacing="1"/>
        <w:ind w:left="1276" w:right="758"/>
        <w:contextualSpacing/>
        <w:jc w:val="both"/>
        <w:rPr>
          <w:rFonts w:ascii="Arial" w:eastAsia="Calibri" w:hAnsi="Arial" w:cs="Arial"/>
          <w:bCs/>
          <w:i/>
          <w:sz w:val="20"/>
          <w:szCs w:val="20"/>
          <w:lang w:val="es-CR" w:eastAsia="en-US"/>
        </w:rPr>
      </w:pPr>
    </w:p>
    <w:p w:rsidR="00A96599" w:rsidRPr="007F4BFE" w:rsidRDefault="00A96599" w:rsidP="00A96599">
      <w:pPr>
        <w:spacing w:before="100" w:beforeAutospacing="1" w:after="100" w:afterAutospacing="1"/>
        <w:ind w:left="1276" w:right="758"/>
        <w:contextualSpacing/>
        <w:jc w:val="center"/>
        <w:rPr>
          <w:rFonts w:ascii="Arial" w:eastAsia="Calibri" w:hAnsi="Arial" w:cs="Arial"/>
          <w:bCs/>
          <w:i/>
          <w:sz w:val="20"/>
          <w:szCs w:val="20"/>
          <w:lang w:val="es-CR" w:eastAsia="en-US"/>
        </w:rPr>
      </w:pPr>
      <w:r w:rsidRPr="007F4BFE">
        <w:rPr>
          <w:rFonts w:ascii="Arial" w:eastAsia="Calibri" w:hAnsi="Arial" w:cs="Arial"/>
          <w:bCs/>
          <w:i/>
          <w:noProof/>
          <w:sz w:val="20"/>
          <w:szCs w:val="20"/>
          <w:lang w:val="es-CR" w:eastAsia="es-CR"/>
        </w:rPr>
        <w:drawing>
          <wp:inline distT="0" distB="0" distL="0" distR="0" wp14:anchorId="3789652F" wp14:editId="2CFB8D5F">
            <wp:extent cx="3420110" cy="3152140"/>
            <wp:effectExtent l="0" t="0" r="889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20110" cy="3152140"/>
                    </a:xfrm>
                    <a:prstGeom prst="rect">
                      <a:avLst/>
                    </a:prstGeom>
                    <a:noFill/>
                  </pic:spPr>
                </pic:pic>
              </a:graphicData>
            </a:graphic>
          </wp:inline>
        </w:drawing>
      </w:r>
    </w:p>
    <w:p w:rsidR="00A96599" w:rsidRPr="007F4BFE" w:rsidRDefault="00A96599" w:rsidP="00A96599">
      <w:pPr>
        <w:spacing w:before="100" w:beforeAutospacing="1" w:after="100" w:afterAutospacing="1"/>
        <w:ind w:left="1276" w:right="758"/>
        <w:contextualSpacing/>
        <w:jc w:val="center"/>
        <w:rPr>
          <w:rFonts w:ascii="Arial" w:eastAsia="Calibri" w:hAnsi="Arial" w:cs="Arial"/>
          <w:bCs/>
          <w:i/>
          <w:sz w:val="20"/>
          <w:szCs w:val="20"/>
          <w:lang w:val="es-CR" w:eastAsia="en-US"/>
        </w:rPr>
      </w:pPr>
    </w:p>
    <w:p w:rsidR="00A96599" w:rsidRPr="007F4BFE" w:rsidRDefault="00A96599" w:rsidP="00A96599">
      <w:pPr>
        <w:numPr>
          <w:ilvl w:val="3"/>
          <w:numId w:val="24"/>
        </w:numPr>
        <w:spacing w:before="100" w:beforeAutospacing="1" w:after="100" w:afterAutospacing="1"/>
        <w:ind w:left="1276" w:right="758" w:hanging="283"/>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En la sesión 17-2018, acuerdo 8-17-2018, esta Junta aprobó el presupuesto de FUNDATEC para el 2019 considerando un ingreso del 6% de costo administrativo.</w:t>
      </w:r>
    </w:p>
    <w:p w:rsidR="00A96599" w:rsidRPr="007F4BFE" w:rsidRDefault="00A96599" w:rsidP="00A96599">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Se resuelve</w:t>
      </w:r>
    </w:p>
    <w:p w:rsidR="00A96599" w:rsidRPr="007F4BFE" w:rsidRDefault="00A96599" w:rsidP="00A96599">
      <w:pPr>
        <w:numPr>
          <w:ilvl w:val="0"/>
          <w:numId w:val="25"/>
        </w:numPr>
        <w:spacing w:before="100" w:beforeAutospacing="1" w:after="100" w:afterAutospacing="1"/>
        <w:ind w:left="1276" w:right="758"/>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Solicitar al Consejo Institucional modificar el Reglamento de Vinculación, artículo 32 para disminuir el costo administrativo de FUNDATEC de un 7% a un 6%, a partir del mes de enero del 2019.</w:t>
      </w:r>
    </w:p>
    <w:p w:rsidR="00A96599" w:rsidRPr="007F4BFE" w:rsidRDefault="00A96599" w:rsidP="00A96599">
      <w:pPr>
        <w:ind w:left="720"/>
        <w:contextualSpacing/>
        <w:jc w:val="both"/>
        <w:rPr>
          <w:rFonts w:ascii="Arial" w:eastAsia="Calibri" w:hAnsi="Arial" w:cs="Arial"/>
          <w:bCs/>
          <w:i/>
          <w:sz w:val="20"/>
          <w:szCs w:val="20"/>
          <w:lang w:val="es-CR" w:eastAsia="en-US"/>
        </w:rPr>
      </w:pPr>
    </w:p>
    <w:p w:rsidR="00A96599" w:rsidRPr="007F4BFE" w:rsidRDefault="00A96599" w:rsidP="00A96599">
      <w:pPr>
        <w:numPr>
          <w:ilvl w:val="0"/>
          <w:numId w:val="25"/>
        </w:numPr>
        <w:spacing w:before="100" w:beforeAutospacing="1" w:after="100" w:afterAutospacing="1"/>
        <w:ind w:left="1276" w:right="758"/>
        <w:contextualSpacing/>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lastRenderedPageBreak/>
        <w:t>Durante el año 2019, continuar la revisión de ingresos y costos con el objetivo de evaluar el porcentaje recomendado para el 2020. ACUERDO FIRME.</w:t>
      </w:r>
    </w:p>
    <w:p w:rsidR="00A96599" w:rsidRPr="007F4BFE" w:rsidRDefault="00A96599" w:rsidP="00A96599">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Respetuosamente solicitamos que la propuesta sea discutida a la brevedad en el seno del Consejo Institucional.</w:t>
      </w:r>
    </w:p>
    <w:p w:rsidR="00A96599" w:rsidRPr="007F4BFE" w:rsidRDefault="00A96599" w:rsidP="00A96599">
      <w:pPr>
        <w:spacing w:before="100" w:beforeAutospacing="1" w:after="100" w:afterAutospacing="1"/>
        <w:ind w:left="993" w:right="758"/>
        <w:jc w:val="both"/>
        <w:rPr>
          <w:rFonts w:ascii="Arial" w:eastAsia="Calibri" w:hAnsi="Arial" w:cs="Arial"/>
          <w:bCs/>
          <w:i/>
          <w:sz w:val="20"/>
          <w:szCs w:val="20"/>
          <w:lang w:val="es-CR" w:eastAsia="en-US"/>
        </w:rPr>
      </w:pPr>
      <w:r w:rsidRPr="007F4BFE">
        <w:rPr>
          <w:rFonts w:ascii="Arial" w:eastAsia="Calibri" w:hAnsi="Arial" w:cs="Arial"/>
          <w:bCs/>
          <w:i/>
          <w:sz w:val="20"/>
          <w:szCs w:val="20"/>
          <w:lang w:val="es-CR" w:eastAsia="en-US"/>
        </w:rPr>
        <w:t>Quedamos a la orden para lo que considere conveniente.”</w:t>
      </w:r>
    </w:p>
    <w:p w:rsidR="00A96599" w:rsidRPr="007F4BFE" w:rsidRDefault="00A96599" w:rsidP="00A96599">
      <w:pPr>
        <w:jc w:val="both"/>
        <w:rPr>
          <w:rFonts w:ascii="Arial" w:eastAsia="Calibri" w:hAnsi="Arial" w:cs="Arial"/>
          <w:sz w:val="8"/>
          <w:szCs w:val="22"/>
          <w:lang w:val="es-CR" w:eastAsia="en-US"/>
        </w:rPr>
      </w:pPr>
    </w:p>
    <w:p w:rsidR="00A96599" w:rsidRPr="007F4BFE" w:rsidRDefault="00A96599" w:rsidP="00A96599">
      <w:pPr>
        <w:numPr>
          <w:ilvl w:val="0"/>
          <w:numId w:val="23"/>
        </w:numPr>
        <w:jc w:val="both"/>
        <w:rPr>
          <w:rFonts w:ascii="Arial" w:eastAsia="Calibri" w:hAnsi="Arial" w:cs="Arial"/>
          <w:lang w:val="es-ES_tradnl" w:eastAsia="en-US"/>
        </w:rPr>
      </w:pPr>
      <w:r w:rsidRPr="007F4BFE">
        <w:rPr>
          <w:rFonts w:ascii="Arial" w:eastAsia="Calibri" w:hAnsi="Arial" w:cs="Arial"/>
          <w:lang w:val="es-ES_tradnl" w:eastAsia="en-US"/>
        </w:rPr>
        <w:t xml:space="preserve">La Comisión de Asuntos Académicos y Estudiantiles, en la reunión 610-2018, realizada el viernes 23 de junio de 2018, conoce el oficio FUNDATEC-496-18 y se presentan los señores Luis Paulino Méndez, Vicerrector de Docencia, en calidad de Presidente y Humberto Villalta, Vicerrector de Administración, en su calidad de Tesorero de la Junta Administrativa de </w:t>
      </w:r>
      <w:proofErr w:type="spellStart"/>
      <w:r w:rsidRPr="007F4BFE">
        <w:rPr>
          <w:rFonts w:ascii="Arial" w:eastAsia="Calibri" w:hAnsi="Arial" w:cs="Arial"/>
          <w:lang w:val="es-ES_tradnl" w:eastAsia="en-US"/>
        </w:rPr>
        <w:t>Fundatec</w:t>
      </w:r>
      <w:proofErr w:type="spellEnd"/>
      <w:r w:rsidRPr="007F4BFE">
        <w:rPr>
          <w:rFonts w:ascii="Arial" w:eastAsia="Calibri" w:hAnsi="Arial" w:cs="Arial"/>
          <w:lang w:val="es-ES_tradnl" w:eastAsia="en-US"/>
        </w:rPr>
        <w:t xml:space="preserve">, los cuales explican la solicitud presentada. Se acuerda acoger los considerandos planteados por la Junta Administrativa de </w:t>
      </w:r>
      <w:proofErr w:type="spellStart"/>
      <w:r w:rsidRPr="007F4BFE">
        <w:rPr>
          <w:rFonts w:ascii="Arial" w:eastAsia="Calibri" w:hAnsi="Arial" w:cs="Arial"/>
          <w:lang w:val="es-ES_tradnl" w:eastAsia="en-US"/>
        </w:rPr>
        <w:t>Fundatec</w:t>
      </w:r>
      <w:proofErr w:type="spellEnd"/>
      <w:r w:rsidRPr="007F4BFE">
        <w:rPr>
          <w:rFonts w:ascii="Arial" w:eastAsia="Cambria" w:hAnsi="Arial" w:cs="Arial"/>
          <w:lang w:val="es-ES_tradnl" w:eastAsia="en-US"/>
        </w:rPr>
        <w:t xml:space="preserve"> y emitir dictamen positivo a la solicitud de reforma del artículo 32 del “</w:t>
      </w:r>
      <w:r w:rsidRPr="007F4BFE">
        <w:rPr>
          <w:rFonts w:ascii="Arial" w:hAnsi="Arial" w:cs="Arial"/>
          <w:bCs/>
          <w:lang w:val="es-CR" w:eastAsia="en-US"/>
        </w:rPr>
        <w:t xml:space="preserve">Reglamento para la vinculación remunerada externa del Instituto Tecnológico de Costa Rica con la </w:t>
      </w:r>
      <w:proofErr w:type="spellStart"/>
      <w:r w:rsidRPr="007F4BFE">
        <w:rPr>
          <w:rFonts w:ascii="Arial" w:hAnsi="Arial" w:cs="Arial"/>
          <w:bCs/>
          <w:lang w:val="es-CR" w:eastAsia="en-US"/>
        </w:rPr>
        <w:t>coadyuvancia</w:t>
      </w:r>
      <w:proofErr w:type="spellEnd"/>
      <w:r w:rsidRPr="007F4BFE">
        <w:rPr>
          <w:rFonts w:ascii="Arial" w:hAnsi="Arial" w:cs="Arial"/>
          <w:bCs/>
          <w:lang w:val="es-CR" w:eastAsia="en-US"/>
        </w:rPr>
        <w:t xml:space="preserve"> de la FUNDATEC”, en lo referente a la disminución porcentaje costo administrativo de FUNDATEC. </w:t>
      </w:r>
    </w:p>
    <w:p w:rsidR="00A96599" w:rsidRPr="007F4BFE" w:rsidRDefault="00A96599" w:rsidP="00A96599">
      <w:pPr>
        <w:jc w:val="both"/>
        <w:rPr>
          <w:rFonts w:ascii="Arial" w:eastAsia="Cambria" w:hAnsi="Arial" w:cs="Arial"/>
          <w:b/>
          <w:caps/>
          <w:lang w:val="es-ES_tradnl" w:eastAsia="en-US"/>
        </w:rPr>
      </w:pPr>
    </w:p>
    <w:p w:rsidR="00A96599" w:rsidRDefault="00A96599" w:rsidP="00A96599">
      <w:pPr>
        <w:ind w:left="284"/>
        <w:jc w:val="both"/>
        <w:rPr>
          <w:rFonts w:ascii="Arial" w:eastAsia="Cambria" w:hAnsi="Arial" w:cs="Arial"/>
          <w:b/>
          <w:caps/>
          <w:lang w:val="es-ES_tradnl" w:eastAsia="en-US"/>
        </w:rPr>
      </w:pPr>
      <w:r w:rsidRPr="007F4BFE">
        <w:rPr>
          <w:rFonts w:ascii="Arial" w:eastAsia="Cambria" w:hAnsi="Arial" w:cs="Arial"/>
          <w:b/>
          <w:caps/>
          <w:lang w:val="es-ES_tradnl" w:eastAsia="en-US"/>
        </w:rPr>
        <w:t xml:space="preserve">Se </w:t>
      </w:r>
      <w:r>
        <w:rPr>
          <w:rFonts w:ascii="Arial" w:eastAsia="Cambria" w:hAnsi="Arial" w:cs="Arial"/>
          <w:b/>
          <w:caps/>
          <w:lang w:val="es-ES_tradnl" w:eastAsia="en-US"/>
        </w:rPr>
        <w:t>ACUERDA:</w:t>
      </w:r>
    </w:p>
    <w:p w:rsidR="00A96599" w:rsidRPr="00A96599" w:rsidRDefault="00A96599" w:rsidP="00A96599">
      <w:pPr>
        <w:ind w:left="284"/>
        <w:jc w:val="both"/>
        <w:rPr>
          <w:rFonts w:ascii="Arial" w:eastAsia="Cambria" w:hAnsi="Arial" w:cs="Arial"/>
          <w:b/>
          <w:caps/>
          <w:lang w:val="es-ES_tradnl" w:eastAsia="en-US"/>
        </w:rPr>
      </w:pPr>
    </w:p>
    <w:p w:rsidR="00A96599" w:rsidRPr="007F4BFE" w:rsidRDefault="00A96599" w:rsidP="00A96599">
      <w:pPr>
        <w:numPr>
          <w:ilvl w:val="0"/>
          <w:numId w:val="22"/>
        </w:numPr>
        <w:ind w:left="1134" w:hanging="284"/>
        <w:contextualSpacing/>
        <w:jc w:val="both"/>
        <w:rPr>
          <w:rFonts w:ascii="Arial" w:eastAsia="Cambria" w:hAnsi="Arial" w:cs="Arial"/>
          <w:bCs/>
          <w:lang w:val="es-CR" w:eastAsia="en-US"/>
        </w:rPr>
      </w:pPr>
      <w:r w:rsidRPr="007F4BFE">
        <w:rPr>
          <w:rFonts w:ascii="Arial" w:eastAsia="Cambria" w:hAnsi="Arial" w:cs="Arial"/>
          <w:bCs/>
          <w:lang w:val="es-CR" w:eastAsia="en-US"/>
        </w:rPr>
        <w:t>Modificar el artículo 32 del “</w:t>
      </w:r>
      <w:r w:rsidRPr="007F4BFE">
        <w:rPr>
          <w:rFonts w:ascii="Arial" w:hAnsi="Arial" w:cs="Arial"/>
          <w:bCs/>
          <w:lang w:val="es-CR" w:eastAsia="en-US"/>
        </w:rPr>
        <w:t xml:space="preserve">Reglamento para la vinculación remunerada externa del Instituto Tecnológico de Costa Rica con la </w:t>
      </w:r>
      <w:proofErr w:type="spellStart"/>
      <w:r w:rsidRPr="007F4BFE">
        <w:rPr>
          <w:rFonts w:ascii="Arial" w:hAnsi="Arial" w:cs="Arial"/>
          <w:bCs/>
          <w:lang w:val="es-CR" w:eastAsia="en-US"/>
        </w:rPr>
        <w:t>coadyuvancia</w:t>
      </w:r>
      <w:proofErr w:type="spellEnd"/>
      <w:r w:rsidRPr="007F4BFE">
        <w:rPr>
          <w:rFonts w:ascii="Arial" w:hAnsi="Arial" w:cs="Arial"/>
          <w:bCs/>
          <w:lang w:val="es-CR" w:eastAsia="en-US"/>
        </w:rPr>
        <w:t xml:space="preserve"> de la FUNDATEC”, para disminuir el costo administrativo de FUNDATEC, de un 7% a un 6%, a partir del mes de enero de 2019: </w:t>
      </w:r>
    </w:p>
    <w:p w:rsidR="00A96599" w:rsidRPr="007F4BFE" w:rsidRDefault="00A96599" w:rsidP="00A96599">
      <w:pPr>
        <w:jc w:val="both"/>
        <w:rPr>
          <w:rFonts w:ascii="Arial" w:eastAsia="Cambria" w:hAnsi="Arial" w:cs="Arial"/>
          <w:sz w:val="22"/>
          <w:szCs w:val="22"/>
          <w:lang w:val="es-ES_tradnl"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Artículo 32 Porcentajes de los fondos y aplicaciones</w:t>
      </w:r>
    </w:p>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La FUNDATEC deberá aplicar como retenciones los porcentajes asociados a los </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fondos FDI, FDU y Costo Administrativo, de acuerdo con el siguiente cuadro:</w:t>
      </w:r>
    </w:p>
    <w:tbl>
      <w:tblPr>
        <w:tblW w:w="4517" w:type="pct"/>
        <w:tblCellSpacing w:w="15" w:type="dxa"/>
        <w:tblInd w:w="1432" w:type="dxa"/>
        <w:tblCellMar>
          <w:top w:w="15" w:type="dxa"/>
          <w:left w:w="15" w:type="dxa"/>
          <w:bottom w:w="15" w:type="dxa"/>
          <w:right w:w="15" w:type="dxa"/>
        </w:tblCellMar>
        <w:tblLook w:val="04A0" w:firstRow="1" w:lastRow="0" w:firstColumn="1" w:lastColumn="0" w:noHBand="0" w:noVBand="1"/>
      </w:tblPr>
      <w:tblGrid>
        <w:gridCol w:w="2278"/>
        <w:gridCol w:w="1206"/>
        <w:gridCol w:w="1026"/>
        <w:gridCol w:w="1586"/>
        <w:gridCol w:w="2098"/>
      </w:tblGrid>
      <w:tr w:rsidR="00A96599" w:rsidRPr="007F4BFE" w:rsidTr="00A94937">
        <w:trPr>
          <w:trHeight w:val="736"/>
          <w:tblCellSpacing w:w="15" w:type="dxa"/>
        </w:trPr>
        <w:tc>
          <w:tcPr>
            <w:tcW w:w="223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Característica de la transferencia</w:t>
            </w:r>
          </w:p>
        </w:tc>
        <w:tc>
          <w:tcPr>
            <w:tcW w:w="117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FDU</w:t>
            </w:r>
          </w:p>
        </w:tc>
        <w:tc>
          <w:tcPr>
            <w:tcW w:w="99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FDI </w:t>
            </w:r>
          </w:p>
        </w:tc>
        <w:tc>
          <w:tcPr>
            <w:tcW w:w="155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Fondo Solidario Posgrado </w:t>
            </w:r>
          </w:p>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FSPO</w:t>
            </w:r>
          </w:p>
        </w:tc>
        <w:tc>
          <w:tcPr>
            <w:tcW w:w="205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Costo </w:t>
            </w:r>
          </w:p>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administrativo</w:t>
            </w:r>
          </w:p>
        </w:tc>
      </w:tr>
      <w:tr w:rsidR="00A96599" w:rsidRPr="007F4BFE" w:rsidTr="00A94937">
        <w:trPr>
          <w:trHeight w:val="491"/>
          <w:tblCellSpacing w:w="15" w:type="dxa"/>
        </w:trPr>
        <w:tc>
          <w:tcPr>
            <w:tcW w:w="223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Transferencias de fondos entre unidades operativas o entre proyectos de la misma unidad</w:t>
            </w:r>
          </w:p>
        </w:tc>
        <w:tc>
          <w:tcPr>
            <w:tcW w:w="117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99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55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05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r>
      <w:tr w:rsidR="00A96599" w:rsidRPr="007F4BFE" w:rsidTr="00A94937">
        <w:trPr>
          <w:trHeight w:val="319"/>
          <w:tblCellSpacing w:w="15" w:type="dxa"/>
        </w:trPr>
        <w:tc>
          <w:tcPr>
            <w:tcW w:w="223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proyectos a la </w:t>
            </w:r>
            <w:proofErr w:type="spellStart"/>
            <w:r w:rsidRPr="007F4BFE">
              <w:rPr>
                <w:rFonts w:ascii="Roboto" w:hAnsi="Roboto"/>
                <w:color w:val="4E4E4E"/>
                <w:sz w:val="17"/>
                <w:szCs w:val="17"/>
                <w:lang w:val="es-CR" w:eastAsia="es-CR"/>
              </w:rPr>
              <w:t>Fundatec</w:t>
            </w:r>
            <w:proofErr w:type="spellEnd"/>
          </w:p>
        </w:tc>
        <w:tc>
          <w:tcPr>
            <w:tcW w:w="117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99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8%</w:t>
            </w:r>
          </w:p>
        </w:tc>
        <w:tc>
          <w:tcPr>
            <w:tcW w:w="155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205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6%</w:t>
            </w:r>
          </w:p>
        </w:tc>
      </w:tr>
      <w:tr w:rsidR="00A96599" w:rsidRPr="007F4BFE" w:rsidTr="00A94937">
        <w:trPr>
          <w:trHeight w:val="491"/>
          <w:tblCellSpacing w:w="15" w:type="dxa"/>
        </w:trPr>
        <w:tc>
          <w:tcPr>
            <w:tcW w:w="223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Recursos ingresados por los programas de Posgrados a la  </w:t>
            </w:r>
            <w:proofErr w:type="spellStart"/>
            <w:r w:rsidRPr="007F4BFE">
              <w:rPr>
                <w:rFonts w:ascii="Roboto" w:hAnsi="Roboto"/>
                <w:color w:val="4E4E4E"/>
                <w:sz w:val="17"/>
                <w:szCs w:val="17"/>
                <w:lang w:val="es-CR" w:eastAsia="es-CR"/>
              </w:rPr>
              <w:t>Fundatec</w:t>
            </w:r>
            <w:proofErr w:type="spellEnd"/>
          </w:p>
        </w:tc>
        <w:tc>
          <w:tcPr>
            <w:tcW w:w="117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2%</w:t>
            </w:r>
          </w:p>
        </w:tc>
        <w:tc>
          <w:tcPr>
            <w:tcW w:w="99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0</w:t>
            </w:r>
          </w:p>
        </w:tc>
        <w:tc>
          <w:tcPr>
            <w:tcW w:w="155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5%</w:t>
            </w:r>
          </w:p>
        </w:tc>
        <w:tc>
          <w:tcPr>
            <w:tcW w:w="205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b/>
                <w:color w:val="4E4E4E"/>
                <w:sz w:val="17"/>
                <w:szCs w:val="17"/>
                <w:lang w:val="es-CR" w:eastAsia="es-CR"/>
              </w:rPr>
            </w:pPr>
            <w:r w:rsidRPr="007F4BFE">
              <w:rPr>
                <w:rFonts w:ascii="Roboto" w:hAnsi="Roboto"/>
                <w:b/>
                <w:color w:val="4E4E4E"/>
                <w:sz w:val="17"/>
                <w:szCs w:val="17"/>
                <w:lang w:val="es-CR" w:eastAsia="es-CR"/>
              </w:rPr>
              <w:t>6%</w:t>
            </w:r>
          </w:p>
        </w:tc>
      </w:tr>
      <w:tr w:rsidR="00A96599" w:rsidRPr="007F4BFE" w:rsidTr="00A94937">
        <w:trPr>
          <w:trHeight w:val="319"/>
          <w:tblCellSpacing w:w="15" w:type="dxa"/>
        </w:trPr>
        <w:tc>
          <w:tcPr>
            <w:tcW w:w="223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xml:space="preserve">Transferencias del ITCR a la </w:t>
            </w:r>
            <w:proofErr w:type="spellStart"/>
            <w:r w:rsidRPr="007F4BFE">
              <w:rPr>
                <w:rFonts w:ascii="Roboto" w:hAnsi="Roboto"/>
                <w:color w:val="4E4E4E"/>
                <w:sz w:val="17"/>
                <w:szCs w:val="17"/>
                <w:lang w:val="es-CR" w:eastAsia="es-CR"/>
              </w:rPr>
              <w:t>Fundatec</w:t>
            </w:r>
            <w:proofErr w:type="spellEnd"/>
          </w:p>
        </w:tc>
        <w:tc>
          <w:tcPr>
            <w:tcW w:w="117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99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No</w:t>
            </w:r>
          </w:p>
        </w:tc>
        <w:tc>
          <w:tcPr>
            <w:tcW w:w="1556"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 </w:t>
            </w:r>
          </w:p>
        </w:tc>
        <w:tc>
          <w:tcPr>
            <w:tcW w:w="2053" w:type="dxa"/>
            <w:tcMar>
              <w:top w:w="180" w:type="dxa"/>
              <w:left w:w="75" w:type="dxa"/>
              <w:bottom w:w="180" w:type="dxa"/>
              <w:right w:w="75" w:type="dxa"/>
            </w:tcMar>
            <w:vAlign w:val="center"/>
            <w:hideMark/>
          </w:tcPr>
          <w:p w:rsidR="00A96599" w:rsidRPr="007F4BFE" w:rsidRDefault="00A96599" w:rsidP="00A94937">
            <w:pPr>
              <w:spacing w:before="100" w:beforeAutospacing="1"/>
              <w:rPr>
                <w:rFonts w:ascii="Roboto" w:hAnsi="Roboto"/>
                <w:color w:val="4E4E4E"/>
                <w:sz w:val="17"/>
                <w:szCs w:val="17"/>
                <w:lang w:val="es-CR" w:eastAsia="es-CR"/>
              </w:rPr>
            </w:pPr>
            <w:r w:rsidRPr="007F4BFE">
              <w:rPr>
                <w:rFonts w:ascii="Roboto" w:hAnsi="Roboto"/>
                <w:color w:val="4E4E4E"/>
                <w:sz w:val="17"/>
                <w:szCs w:val="17"/>
                <w:lang w:val="es-CR" w:eastAsia="es-CR"/>
              </w:rPr>
              <w:t>6%</w:t>
            </w:r>
          </w:p>
        </w:tc>
      </w:tr>
    </w:tbl>
    <w:p w:rsidR="00A96599" w:rsidRPr="007F4BFE" w:rsidRDefault="00A96599" w:rsidP="00A96599">
      <w:pPr>
        <w:overflowPunct w:val="0"/>
        <w:autoSpaceDE w:val="0"/>
        <w:autoSpaceDN w:val="0"/>
        <w:adjustRightInd w:val="0"/>
        <w:ind w:left="1276" w:right="618" w:hanging="567"/>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 xml:space="preserve">Los recursos del Fondo solidario ingresados por los proyectos de posgrados a la </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roofErr w:type="spellStart"/>
      <w:r w:rsidRPr="007F4BFE">
        <w:rPr>
          <w:rFonts w:ascii="Arial" w:eastAsia="Cambria" w:hAnsi="Arial" w:cs="Arial"/>
          <w:i/>
          <w:sz w:val="20"/>
          <w:szCs w:val="20"/>
          <w:lang w:val="es-CR" w:eastAsia="en-US"/>
        </w:rPr>
        <w:t>Fundatec</w:t>
      </w:r>
      <w:proofErr w:type="spellEnd"/>
      <w:r w:rsidRPr="007F4BFE">
        <w:rPr>
          <w:rFonts w:ascii="Arial" w:eastAsia="Cambria" w:hAnsi="Arial" w:cs="Arial"/>
          <w:i/>
          <w:sz w:val="20"/>
          <w:szCs w:val="20"/>
          <w:lang w:val="es-CR" w:eastAsia="en-US"/>
        </w:rPr>
        <w:t xml:space="preserve"> serán administrados por la Dirección de Posgrados.</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lastRenderedPageBreak/>
        <w:t>Modificación aprobada en Sesión Ordinaria No. 3078, Artículo 27, del 27 de junio de</w:t>
      </w:r>
      <w:r>
        <w:rPr>
          <w:rFonts w:ascii="Arial" w:eastAsia="Cambria" w:hAnsi="Arial" w:cs="Arial"/>
          <w:i/>
          <w:sz w:val="20"/>
          <w:szCs w:val="20"/>
          <w:lang w:val="es-CR" w:eastAsia="en-US"/>
        </w:rPr>
        <w:t xml:space="preserve"> </w:t>
      </w:r>
      <w:r w:rsidRPr="007F4BFE">
        <w:rPr>
          <w:rFonts w:ascii="Arial" w:eastAsia="Cambria" w:hAnsi="Arial" w:cs="Arial"/>
          <w:i/>
          <w:sz w:val="20"/>
          <w:szCs w:val="20"/>
          <w:lang w:val="es-CR" w:eastAsia="en-US"/>
        </w:rPr>
        <w:t>2018, Gaceta No. 514, del 28 de junio de 2018</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De acuerdo a la naturaleza de los proyectos, las instancias correspondientes tendrán la competencia para exonerar del pago de estas retenciones con base en los criterios</w:t>
      </w:r>
      <w:r>
        <w:rPr>
          <w:rFonts w:ascii="Arial" w:eastAsia="Cambria" w:hAnsi="Arial" w:cs="Arial"/>
          <w:i/>
          <w:sz w:val="20"/>
          <w:szCs w:val="20"/>
          <w:lang w:val="es-CR" w:eastAsia="en-US"/>
        </w:rPr>
        <w:t xml:space="preserve"> </w:t>
      </w:r>
      <w:r w:rsidRPr="007F4BFE">
        <w:rPr>
          <w:rFonts w:ascii="Arial" w:eastAsia="Cambria" w:hAnsi="Arial" w:cs="Arial"/>
          <w:i/>
          <w:sz w:val="20"/>
          <w:szCs w:val="20"/>
          <w:lang w:val="es-CR" w:eastAsia="en-US"/>
        </w:rPr>
        <w:t>de evaluación que cada una defina.</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La responsabilidad de definir la exoneración de los porcentajes será de las unidades operativas en el caso del FDU, del Consejo de Investigación y Extensión en el caso del FDI y de la Junta Directiva de FUNDATEC en el caso del costo administrativo.</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Anualmente, a más tardar el 30 de octubre, el Consejo Institucional deberá de revisar</w:t>
      </w:r>
      <w:r>
        <w:rPr>
          <w:rFonts w:ascii="Arial" w:eastAsia="Cambria" w:hAnsi="Arial" w:cs="Arial"/>
          <w:i/>
          <w:sz w:val="20"/>
          <w:szCs w:val="20"/>
          <w:lang w:val="es-CR" w:eastAsia="en-US"/>
        </w:rPr>
        <w:t xml:space="preserve"> </w:t>
      </w:r>
      <w:r w:rsidRPr="007F4BFE">
        <w:rPr>
          <w:rFonts w:ascii="Arial" w:eastAsia="Cambria" w:hAnsi="Arial" w:cs="Arial"/>
          <w:i/>
          <w:sz w:val="20"/>
          <w:szCs w:val="20"/>
          <w:lang w:val="es-CR" w:eastAsia="en-US"/>
        </w:rPr>
        <w:t>el porcentaje del costo administrativo de la FUNDATEC, para determinar si el</w:t>
      </w:r>
      <w:r>
        <w:rPr>
          <w:rFonts w:ascii="Arial" w:eastAsia="Cambria" w:hAnsi="Arial" w:cs="Arial"/>
          <w:i/>
          <w:sz w:val="20"/>
          <w:szCs w:val="20"/>
          <w:lang w:val="es-CR" w:eastAsia="en-US"/>
        </w:rPr>
        <w:t xml:space="preserve"> </w:t>
      </w:r>
      <w:r w:rsidRPr="007F4BFE">
        <w:rPr>
          <w:rFonts w:ascii="Arial" w:eastAsia="Cambria" w:hAnsi="Arial" w:cs="Arial"/>
          <w:i/>
          <w:sz w:val="20"/>
          <w:szCs w:val="20"/>
          <w:lang w:val="es-CR" w:eastAsia="en-US"/>
        </w:rPr>
        <w:t xml:space="preserve">porcentaje otorgado cubre razonablemente los costos de la unidad administrativa. </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En este análisis el Consejo Institucional deberá evaluar:</w:t>
      </w: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p>
    <w:p w:rsidR="00A96599" w:rsidRPr="007F4BFE"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1. La eficiencia de las operaciones de la Unidad Administrativa y Financiera</w:t>
      </w:r>
    </w:p>
    <w:p w:rsidR="00A96599" w:rsidRPr="003445A2" w:rsidRDefault="00A96599" w:rsidP="00A96599">
      <w:pPr>
        <w:overflowPunct w:val="0"/>
        <w:autoSpaceDE w:val="0"/>
        <w:autoSpaceDN w:val="0"/>
        <w:adjustRightInd w:val="0"/>
        <w:ind w:left="1276" w:right="618"/>
        <w:jc w:val="both"/>
        <w:textAlignment w:val="baseline"/>
        <w:rPr>
          <w:rFonts w:ascii="Arial" w:eastAsia="Cambria" w:hAnsi="Arial" w:cs="Arial"/>
          <w:i/>
          <w:sz w:val="20"/>
          <w:szCs w:val="20"/>
          <w:lang w:val="es-CR" w:eastAsia="en-US"/>
        </w:rPr>
      </w:pPr>
      <w:r w:rsidRPr="007F4BFE">
        <w:rPr>
          <w:rFonts w:ascii="Arial" w:eastAsia="Cambria" w:hAnsi="Arial" w:cs="Arial"/>
          <w:i/>
          <w:sz w:val="20"/>
          <w:szCs w:val="20"/>
          <w:lang w:val="es-CR" w:eastAsia="en-US"/>
        </w:rPr>
        <w:t>2. Las responsabilidades asignadas en este reglamento por el ITCR a la FUNDATEC.</w:t>
      </w:r>
    </w:p>
    <w:p w:rsidR="00A96599" w:rsidRPr="00AB03E8" w:rsidRDefault="00A96599" w:rsidP="00A96599">
      <w:pPr>
        <w:ind w:right="567"/>
        <w:jc w:val="both"/>
        <w:rPr>
          <w:rFonts w:ascii="Arial" w:hAnsi="Arial" w:cs="Arial"/>
          <w:sz w:val="22"/>
          <w:szCs w:val="22"/>
        </w:rPr>
      </w:pPr>
    </w:p>
    <w:p w:rsidR="00A96599" w:rsidRPr="0035430B" w:rsidRDefault="00A96599" w:rsidP="00A96599">
      <w:pPr>
        <w:pStyle w:val="Prrafodelista"/>
        <w:numPr>
          <w:ilvl w:val="0"/>
          <w:numId w:val="17"/>
        </w:numPr>
        <w:contextualSpacing/>
        <w:jc w:val="both"/>
        <w:rPr>
          <w:rFonts w:ascii="Arial" w:hAnsi="Arial" w:cs="Arial"/>
          <w:lang w:eastAsia="en-US"/>
        </w:rPr>
      </w:pPr>
      <w:r w:rsidRPr="00570ECC">
        <w:rPr>
          <w:rFonts w:ascii="Arial" w:hAnsi="Arial" w:cs="Arial"/>
          <w:lang w:val="es-CR" w:eastAsia="es-CR"/>
        </w:rPr>
        <w:t>Indicar</w:t>
      </w:r>
      <w:r w:rsidRPr="0035430B">
        <w:rPr>
          <w:rFonts w:ascii="Arial" w:hAnsi="Arial" w:cs="Arial"/>
          <w:lang w:val="es-CR"/>
        </w:rPr>
        <w:t xml:space="preserve"> que c</w:t>
      </w:r>
      <w:proofErr w:type="spellStart"/>
      <w:r w:rsidRPr="0035430B">
        <w:rPr>
          <w:rFonts w:ascii="Arial" w:hAnsi="Arial" w:cs="Arial"/>
        </w:rPr>
        <w:t>ontra</w:t>
      </w:r>
      <w:proofErr w:type="spellEnd"/>
      <w:r w:rsidRPr="0035430B">
        <w:rPr>
          <w:rFonts w:ascii="Arial" w:hAnsi="Arial" w:cs="Arial"/>
        </w:rPr>
        <w:t xml:space="preserve"> este acuerdo podrá interponerse recurso de revocatoria ante este consejo o de apelación ante la Asamblea Institucional </w:t>
      </w:r>
      <w:r w:rsidRPr="00BD09BC">
        <w:rPr>
          <w:rFonts w:ascii="ArialMT" w:eastAsia="Cambria" w:hAnsi="ArialMT" w:cs="ArialMT"/>
          <w:lang w:eastAsia="es-CR"/>
        </w:rPr>
        <w:t>Representativa</w:t>
      </w:r>
      <w:r w:rsidRPr="0035430B">
        <w:rPr>
          <w:rFonts w:ascii="Arial" w:hAnsi="Arial" w:cs="Arial"/>
        </w:rPr>
        <w:t xml:space="preserve">, o los extraordinarios </w:t>
      </w:r>
      <w:r w:rsidRPr="00D31240">
        <w:rPr>
          <w:rFonts w:ascii="Arial" w:eastAsia="Calibri" w:hAnsi="Arial" w:cs="Arial"/>
          <w:color w:val="000000"/>
          <w:lang w:val="es-CR" w:eastAsia="en-US"/>
        </w:rPr>
        <w:t>de</w:t>
      </w:r>
      <w:r w:rsidRPr="0035430B">
        <w:rPr>
          <w:rFonts w:ascii="Arial" w:hAnsi="Arial" w:cs="Arial"/>
        </w:rPr>
        <w:t xml:space="preserve"> aclaración o adición, en el plazo máximo de cinco días hábiles posteriores a la notificación del acuerdo. Por así haberlo establecido la Asamblea Institucional Represe</w:t>
      </w:r>
      <w:r w:rsidRPr="00570ECC">
        <w:rPr>
          <w:rFonts w:ascii="Arial" w:eastAsia="Calibri" w:hAnsi="Arial" w:cs="Arial"/>
          <w:lang w:val="es-CR"/>
        </w:rPr>
        <w:t>n</w:t>
      </w:r>
      <w:proofErr w:type="spellStart"/>
      <w:r w:rsidRPr="0035430B">
        <w:rPr>
          <w:rFonts w:ascii="Arial" w:hAnsi="Arial" w:cs="Arial"/>
        </w:rPr>
        <w:t>tativa</w:t>
      </w:r>
      <w:proofErr w:type="spellEnd"/>
      <w:r w:rsidRPr="0035430B">
        <w:rPr>
          <w:rFonts w:ascii="Arial" w:hAnsi="Arial" w:cs="Arial"/>
        </w:rPr>
        <w:t>, es potestativo del recurrente interponer ambos recursos o uno solo de ellos, sin que puedan las autoridades recurridas desestimar o rechazar un recurso, porque el recurrente no haya interpuesto el recurso previo.</w:t>
      </w:r>
    </w:p>
    <w:p w:rsidR="001A685C" w:rsidRPr="00E53665" w:rsidRDefault="001A685C" w:rsidP="007742A1">
      <w:pPr>
        <w:jc w:val="both"/>
        <w:rPr>
          <w:rFonts w:ascii="Arial" w:eastAsia="Cambria" w:hAnsi="Arial" w:cs="Arial"/>
          <w:sz w:val="22"/>
          <w:szCs w:val="22"/>
          <w:lang w:val="es-ES_tradnl" w:eastAsia="en-US"/>
        </w:rPr>
      </w:pPr>
    </w:p>
    <w:p w:rsidR="009E28A0" w:rsidRPr="00E53665" w:rsidRDefault="00BB6A5E" w:rsidP="00A96599">
      <w:pPr>
        <w:pStyle w:val="Prrafodelista"/>
        <w:numPr>
          <w:ilvl w:val="0"/>
          <w:numId w:val="17"/>
        </w:numPr>
        <w:contextualSpacing/>
        <w:jc w:val="both"/>
        <w:rPr>
          <w:rFonts w:ascii="Arial" w:hAnsi="Arial" w:cs="Arial"/>
          <w:b/>
          <w:sz w:val="22"/>
          <w:szCs w:val="22"/>
          <w:lang w:val="es-CR"/>
        </w:rPr>
      </w:pPr>
      <w:r w:rsidRPr="00E53665">
        <w:rPr>
          <w:rFonts w:ascii="Arial" w:eastAsia="Cambria" w:hAnsi="Arial" w:cs="Arial"/>
          <w:sz w:val="22"/>
          <w:szCs w:val="22"/>
          <w:lang w:eastAsia="en-US"/>
        </w:rPr>
        <w:t>Comunicar</w:t>
      </w:r>
      <w:r w:rsidRPr="00E53665">
        <w:rPr>
          <w:rFonts w:ascii="Arial" w:hAnsi="Arial" w:cs="Arial"/>
          <w:sz w:val="22"/>
          <w:szCs w:val="22"/>
          <w:lang w:val="es-CR"/>
        </w:rPr>
        <w:t xml:space="preserve">. </w:t>
      </w:r>
      <w:r w:rsidRPr="00E53665">
        <w:rPr>
          <w:rFonts w:ascii="Arial" w:hAnsi="Arial" w:cs="Arial"/>
          <w:b/>
          <w:sz w:val="22"/>
          <w:szCs w:val="22"/>
          <w:lang w:val="es-CR"/>
        </w:rPr>
        <w:t xml:space="preserve"> </w:t>
      </w:r>
      <w:r w:rsidR="00E53665" w:rsidRPr="00E53665">
        <w:rPr>
          <w:rFonts w:ascii="Arial" w:hAnsi="Arial" w:cs="Arial"/>
          <w:b/>
          <w:sz w:val="22"/>
          <w:szCs w:val="22"/>
          <w:lang w:val="es-CR"/>
        </w:rPr>
        <w:t>ACUERDO FIRME.</w:t>
      </w:r>
    </w:p>
    <w:p w:rsidR="005166A5" w:rsidRPr="00E53665" w:rsidRDefault="005166A5" w:rsidP="005166A5">
      <w:pPr>
        <w:tabs>
          <w:tab w:val="center" w:pos="4986"/>
        </w:tabs>
        <w:ind w:right="281"/>
        <w:contextualSpacing/>
        <w:jc w:val="both"/>
        <w:outlineLvl w:val="0"/>
        <w:rPr>
          <w:rFonts w:ascii="Arial" w:hAnsi="Arial" w:cs="Arial"/>
          <w:b/>
          <w:sz w:val="22"/>
          <w:szCs w:val="22"/>
          <w:lang w:val="es-CR"/>
        </w:rPr>
      </w:pPr>
    </w:p>
    <w:p w:rsidR="00CC24EB" w:rsidRDefault="00CC24EB" w:rsidP="00CC24EB">
      <w:pPr>
        <w:rPr>
          <w:rFonts w:ascii="Arial" w:hAnsi="Arial" w:cs="Arial"/>
          <w:b/>
          <w:lang w:val="es-CR"/>
        </w:rPr>
      </w:pPr>
    </w:p>
    <w:p w:rsidR="00A96599" w:rsidRPr="006E5217" w:rsidRDefault="00A96599" w:rsidP="00A96599">
      <w:pPr>
        <w:tabs>
          <w:tab w:val="left" w:pos="760"/>
        </w:tabs>
        <w:spacing w:line="276" w:lineRule="auto"/>
        <w:jc w:val="both"/>
        <w:rPr>
          <w:rFonts w:ascii="Arial" w:hAnsi="Arial" w:cs="Arial"/>
          <w:b/>
          <w:sz w:val="20"/>
          <w:szCs w:val="20"/>
        </w:rPr>
      </w:pPr>
      <w:r w:rsidRPr="009D07F2">
        <w:rPr>
          <w:rFonts w:ascii="Arial" w:hAnsi="Arial" w:cs="Arial"/>
          <w:b/>
          <w:sz w:val="20"/>
          <w:szCs w:val="20"/>
        </w:rPr>
        <w:t>Palabras clave: Subsanación – Acuerdo S.</w:t>
      </w:r>
      <w:r>
        <w:rPr>
          <w:rFonts w:ascii="Arial" w:hAnsi="Arial" w:cs="Arial"/>
          <w:b/>
          <w:sz w:val="20"/>
          <w:szCs w:val="20"/>
        </w:rPr>
        <w:t xml:space="preserve"> 3099</w:t>
      </w:r>
      <w:r w:rsidRPr="009D07F2">
        <w:rPr>
          <w:rFonts w:ascii="Arial" w:hAnsi="Arial" w:cs="Arial"/>
          <w:b/>
          <w:sz w:val="20"/>
          <w:szCs w:val="20"/>
        </w:rPr>
        <w:t xml:space="preserve"> </w:t>
      </w:r>
      <w:r>
        <w:rPr>
          <w:rFonts w:ascii="Arial" w:hAnsi="Arial" w:cs="Arial"/>
          <w:b/>
          <w:sz w:val="20"/>
          <w:szCs w:val="20"/>
        </w:rPr>
        <w:t xml:space="preserve">- </w:t>
      </w:r>
      <w:r w:rsidRPr="009D07F2">
        <w:rPr>
          <w:rFonts w:ascii="Arial" w:hAnsi="Arial" w:cs="Arial"/>
          <w:b/>
          <w:sz w:val="20"/>
          <w:szCs w:val="20"/>
        </w:rPr>
        <w:t xml:space="preserve">Art </w:t>
      </w:r>
      <w:r>
        <w:rPr>
          <w:rFonts w:ascii="Arial" w:hAnsi="Arial" w:cs="Arial"/>
          <w:b/>
          <w:sz w:val="20"/>
          <w:szCs w:val="20"/>
        </w:rPr>
        <w:t>10 –Modificación-Reglamento-</w:t>
      </w:r>
      <w:r w:rsidRPr="00375EB4">
        <w:t xml:space="preserve"> </w:t>
      </w:r>
      <w:r w:rsidRPr="00375EB4">
        <w:rPr>
          <w:rFonts w:ascii="Arial" w:hAnsi="Arial" w:cs="Arial"/>
          <w:b/>
          <w:sz w:val="20"/>
          <w:szCs w:val="20"/>
        </w:rPr>
        <w:t>Vinculación- Articulo 32</w:t>
      </w:r>
    </w:p>
    <w:p w:rsidR="005166A5" w:rsidRPr="00A96599" w:rsidRDefault="005166A5" w:rsidP="005166A5">
      <w:pPr>
        <w:tabs>
          <w:tab w:val="center" w:pos="4986"/>
        </w:tabs>
        <w:ind w:right="281"/>
        <w:contextualSpacing/>
        <w:jc w:val="both"/>
        <w:outlineLvl w:val="0"/>
        <w:rPr>
          <w:rFonts w:ascii="Arial" w:hAnsi="Arial" w:cs="Arial"/>
          <w:b/>
        </w:rPr>
      </w:pPr>
    </w:p>
    <w:p w:rsidR="00CC24EB" w:rsidRDefault="00CC24EB" w:rsidP="005166A5">
      <w:pPr>
        <w:tabs>
          <w:tab w:val="center" w:pos="4986"/>
        </w:tabs>
        <w:ind w:right="281"/>
        <w:contextualSpacing/>
        <w:jc w:val="both"/>
        <w:outlineLvl w:val="0"/>
        <w:rPr>
          <w:rFonts w:ascii="Arial" w:hAnsi="Arial" w:cs="Arial"/>
          <w:b/>
          <w:lang w:val="es-CR"/>
        </w:rPr>
      </w:pPr>
    </w:p>
    <w:p w:rsidR="002E7062" w:rsidRDefault="002E7062" w:rsidP="009E28A0">
      <w:pPr>
        <w:autoSpaceDE w:val="0"/>
        <w:autoSpaceDN w:val="0"/>
        <w:adjustRightInd w:val="0"/>
        <w:ind w:right="-91"/>
        <w:jc w:val="both"/>
        <w:rPr>
          <w:rFonts w:ascii="Arial" w:hAnsi="Arial" w:cs="Arial"/>
          <w:b/>
          <w:sz w:val="22"/>
          <w:szCs w:val="22"/>
          <w:lang w:val="es-CR"/>
        </w:rPr>
      </w:pPr>
    </w:p>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337E83" w:rsidRDefault="00337E83" w:rsidP="008F6C51">
      <w:pPr>
        <w:jc w:val="both"/>
        <w:rPr>
          <w:rFonts w:ascii="Arial" w:eastAsia="Cambria" w:hAnsi="Arial" w:cs="Arial"/>
          <w:sz w:val="22"/>
          <w:szCs w:val="22"/>
          <w:lang w:val="es-CR" w:eastAsia="en-US"/>
        </w:rPr>
      </w:pPr>
      <w:r>
        <w:rPr>
          <w:rFonts w:ascii="Arial" w:eastAsia="Cambria" w:hAnsi="Arial" w:cs="Arial"/>
          <w:b/>
          <w:sz w:val="16"/>
          <w:szCs w:val="16"/>
          <w:lang w:val="es-CR" w:eastAsia="en-US"/>
        </w:rPr>
        <w:t xml:space="preserve">  </w:t>
      </w: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Pr="00B77B04" w:rsidRDefault="002C0D34" w:rsidP="00F41044">
      <w:pPr>
        <w:jc w:val="both"/>
        <w:rPr>
          <w:rFonts w:ascii="Arial" w:eastAsia="Cambria" w:hAnsi="Arial" w:cs="Arial"/>
          <w:sz w:val="22"/>
          <w:szCs w:val="22"/>
          <w:lang w:val="es-CR" w:eastAsia="en-US"/>
        </w:rPr>
      </w:pPr>
    </w:p>
    <w:sectPr w:rsidR="002C0D34" w:rsidRPr="00B77B04" w:rsidSect="00CE0215">
      <w:headerReference w:type="default" r:id="rId9"/>
      <w:footerReference w:type="default" r:id="rId10"/>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D7B" w:rsidRDefault="002E2D7B">
      <w:r>
        <w:separator/>
      </w:r>
    </w:p>
  </w:endnote>
  <w:endnote w:type="continuationSeparator" w:id="0">
    <w:p w:rsidR="002E2D7B" w:rsidRDefault="002E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TE1865388t00">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altName w:val="Times New Roman"/>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Roboto">
    <w:altName w:val="Times New Roman"/>
    <w:charset w:val="00"/>
    <w:family w:val="auto"/>
    <w:pitch w:val="default"/>
  </w:font>
  <w:font w:name="Arial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Default="00082329">
    <w:pPr>
      <w:pStyle w:val="Piedepgina"/>
      <w:jc w:val="center"/>
    </w:pPr>
  </w:p>
  <w:p w:rsidR="00082329" w:rsidRDefault="000823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D7B" w:rsidRDefault="002E2D7B">
      <w:r>
        <w:separator/>
      </w:r>
    </w:p>
  </w:footnote>
  <w:footnote w:type="continuationSeparator" w:id="0">
    <w:p w:rsidR="002E2D7B" w:rsidRDefault="002E2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2329" w:rsidRPr="00D958BC" w:rsidRDefault="00082329"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082329" w:rsidRPr="00D958BC"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31</w:t>
    </w:r>
    <w:r w:rsidR="008F6C51">
      <w:rPr>
        <w:rFonts w:ascii="Arial" w:eastAsia="Cambria" w:hAnsi="Arial" w:cs="Arial"/>
        <w:i/>
        <w:sz w:val="18"/>
        <w:szCs w:val="18"/>
        <w:lang w:val="es-ES_tradnl" w:eastAsia="x-none"/>
      </w:rPr>
      <w:t>1</w:t>
    </w:r>
    <w:r w:rsidR="006873E1">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A03887">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A03887">
      <w:rPr>
        <w:rFonts w:ascii="Arial" w:eastAsia="Cambria" w:hAnsi="Arial" w:cs="Arial"/>
        <w:i/>
        <w:sz w:val="18"/>
        <w:szCs w:val="18"/>
        <w:lang w:val="es-ES_tradnl" w:eastAsia="x-none"/>
      </w:rPr>
      <w:t>2</w:t>
    </w:r>
    <w:r w:rsidR="006873E1">
      <w:rPr>
        <w:rFonts w:ascii="Arial" w:eastAsia="Cambria" w:hAnsi="Arial" w:cs="Arial"/>
        <w:i/>
        <w:sz w:val="18"/>
        <w:szCs w:val="18"/>
        <w:lang w:val="es-ES_tradnl" w:eastAsia="x-none"/>
      </w:rPr>
      <w:t>9</w:t>
    </w:r>
    <w:r>
      <w:rPr>
        <w:rFonts w:ascii="Arial" w:eastAsia="Cambria" w:hAnsi="Arial" w:cs="Arial"/>
        <w:i/>
        <w:sz w:val="18"/>
        <w:szCs w:val="18"/>
        <w:lang w:val="es-ES_tradnl" w:eastAsia="x-none"/>
      </w:rPr>
      <w:t xml:space="preserve"> de </w:t>
    </w:r>
    <w:r w:rsidR="00CB5706">
      <w:rPr>
        <w:rFonts w:ascii="Arial" w:eastAsia="Cambria" w:hAnsi="Arial" w:cs="Arial"/>
        <w:i/>
        <w:sz w:val="18"/>
        <w:szCs w:val="18"/>
        <w:lang w:val="es-ES_tradnl" w:eastAsia="x-none"/>
      </w:rPr>
      <w:t>mayo</w:t>
    </w:r>
    <w:r>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9</w:t>
    </w:r>
  </w:p>
  <w:p w:rsidR="00082329" w:rsidRDefault="00082329"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A96599">
      <w:rPr>
        <w:rFonts w:ascii="Arial" w:eastAsia="Cambria" w:hAnsi="Arial" w:cs="Arial"/>
        <w:i/>
        <w:noProof/>
        <w:sz w:val="18"/>
        <w:szCs w:val="18"/>
        <w:lang w:val="es-ES_tradnl" w:eastAsia="x-none"/>
      </w:rPr>
      <w:t>7</w:t>
    </w:r>
    <w:r w:rsidRPr="00D958BC">
      <w:rPr>
        <w:rFonts w:ascii="Arial" w:eastAsia="Cambria" w:hAnsi="Arial" w:cs="Arial"/>
        <w:i/>
        <w:sz w:val="18"/>
        <w:szCs w:val="18"/>
        <w:lang w:val="es-ES_tradnl" w:eastAsia="x-none"/>
      </w:rPr>
      <w:fldChar w:fldCharType="end"/>
    </w:r>
  </w:p>
  <w:p w:rsidR="00082329" w:rsidRDefault="00082329"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185700"/>
    <w:multiLevelType w:val="hybridMultilevel"/>
    <w:tmpl w:val="929043E2"/>
    <w:lvl w:ilvl="0" w:tplc="FFFFFFF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1BD5A94"/>
    <w:multiLevelType w:val="hybridMultilevel"/>
    <w:tmpl w:val="18FE4442"/>
    <w:lvl w:ilvl="0" w:tplc="05722CF2">
      <w:start w:val="1"/>
      <w:numFmt w:val="decimal"/>
      <w:lvlText w:val="%1."/>
      <w:lvlJc w:val="left"/>
      <w:pPr>
        <w:ind w:left="720" w:hanging="360"/>
      </w:pPr>
      <w:rPr>
        <w:rFonts w:ascii="Arial" w:hAnsi="Arial" w:hint="default"/>
        <w:b/>
        <w:i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3DC4709"/>
    <w:multiLevelType w:val="hybridMultilevel"/>
    <w:tmpl w:val="CA8A92F8"/>
    <w:lvl w:ilvl="0" w:tplc="0409000F">
      <w:start w:val="1"/>
      <w:numFmt w:val="decimal"/>
      <w:lvlText w:val="%1."/>
      <w:lvlJc w:val="left"/>
      <w:pPr>
        <w:ind w:left="288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D47674"/>
    <w:multiLevelType w:val="hybridMultilevel"/>
    <w:tmpl w:val="34FE7F12"/>
    <w:lvl w:ilvl="0" w:tplc="76B2EC0E">
      <w:start w:val="1"/>
      <w:numFmt w:val="lowerLetter"/>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0C775810"/>
    <w:multiLevelType w:val="hybridMultilevel"/>
    <w:tmpl w:val="B6DCB73C"/>
    <w:lvl w:ilvl="0" w:tplc="087A9770">
      <w:start w:val="1"/>
      <w:numFmt w:val="decimal"/>
      <w:lvlText w:val="%1."/>
      <w:lvlJc w:val="left"/>
      <w:pPr>
        <w:ind w:left="720" w:hanging="360"/>
      </w:pPr>
      <w:rPr>
        <w:rFonts w:ascii="Arial" w:hAnsi="Arial" w:cs="Arial" w:hint="default"/>
        <w:i w:val="0"/>
        <w:color w:val="auto"/>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0FB00958"/>
    <w:multiLevelType w:val="hybridMultilevel"/>
    <w:tmpl w:val="628C0B66"/>
    <w:lvl w:ilvl="0" w:tplc="AC1E830C">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8" w15:restartNumberingAfterBreak="0">
    <w:nsid w:val="12C963F1"/>
    <w:multiLevelType w:val="hybridMultilevel"/>
    <w:tmpl w:val="F35E0048"/>
    <w:lvl w:ilvl="0" w:tplc="61DA4F86">
      <w:start w:val="1"/>
      <w:numFmt w:val="decimal"/>
      <w:lvlText w:val="%1."/>
      <w:lvlJc w:val="left"/>
      <w:pPr>
        <w:ind w:left="720" w:hanging="360"/>
      </w:pPr>
      <w:rPr>
        <w:rFonts w:ascii="Arial" w:hAnsi="Arial" w:cs="Arial" w:hint="default"/>
        <w:i w:val="0"/>
        <w:sz w:val="20"/>
        <w:szCs w:val="20"/>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721738D"/>
    <w:multiLevelType w:val="hybridMultilevel"/>
    <w:tmpl w:val="E92A818E"/>
    <w:lvl w:ilvl="0" w:tplc="B2D2989C">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0" w15:restartNumberingAfterBreak="0">
    <w:nsid w:val="228579F8"/>
    <w:multiLevelType w:val="hybridMultilevel"/>
    <w:tmpl w:val="EDAEE0BE"/>
    <w:lvl w:ilvl="0" w:tplc="80EC530C">
      <w:start w:val="2"/>
      <w:numFmt w:val="lowerLetter"/>
      <w:lvlText w:val="%1."/>
      <w:lvlJc w:val="left"/>
      <w:pPr>
        <w:tabs>
          <w:tab w:val="num" w:pos="360"/>
        </w:tabs>
        <w:ind w:left="360" w:hanging="360"/>
      </w:pPr>
      <w:rPr>
        <w:rFonts w:cs="TTE1865388t00" w:hint="default"/>
        <w:b/>
        <w:i w:val="0"/>
        <w:sz w:val="22"/>
        <w:szCs w:val="22"/>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27D2700B"/>
    <w:multiLevelType w:val="hybridMultilevel"/>
    <w:tmpl w:val="3EEC54B6"/>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0B268D2"/>
    <w:multiLevelType w:val="hybridMultilevel"/>
    <w:tmpl w:val="79F2D682"/>
    <w:lvl w:ilvl="0" w:tplc="59FA1F96">
      <w:start w:val="1"/>
      <w:numFmt w:val="decimal"/>
      <w:lvlText w:val="%1."/>
      <w:lvlJc w:val="left"/>
      <w:pPr>
        <w:ind w:left="720" w:hanging="360"/>
      </w:pPr>
      <w:rPr>
        <w:rFonts w:ascii="Arial" w:hAnsi="Arial" w:cs="Arial" w:hint="default"/>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7852E90"/>
    <w:multiLevelType w:val="hybridMultilevel"/>
    <w:tmpl w:val="A6A0BFE4"/>
    <w:lvl w:ilvl="0" w:tplc="0D1C3762">
      <w:start w:val="1"/>
      <w:numFmt w:val="lowerLetter"/>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4" w15:restartNumberingAfterBreak="0">
    <w:nsid w:val="40A12ED1"/>
    <w:multiLevelType w:val="hybridMultilevel"/>
    <w:tmpl w:val="660092A6"/>
    <w:lvl w:ilvl="0" w:tplc="09FC884C">
      <w:start w:val="1"/>
      <w:numFmt w:val="decimal"/>
      <w:lvlText w:val="%1."/>
      <w:lvlJc w:val="left"/>
      <w:pPr>
        <w:ind w:left="927" w:hanging="360"/>
      </w:pPr>
      <w:rPr>
        <w:rFonts w:hint="default"/>
        <w:b/>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abstractNum w:abstractNumId="15" w15:restartNumberingAfterBreak="0">
    <w:nsid w:val="40FD7938"/>
    <w:multiLevelType w:val="hybridMultilevel"/>
    <w:tmpl w:val="3EFA9258"/>
    <w:lvl w:ilvl="0" w:tplc="52ACFD44">
      <w:start w:val="1"/>
      <w:numFmt w:val="decimal"/>
      <w:lvlText w:val="%1."/>
      <w:lvlJc w:val="left"/>
      <w:pPr>
        <w:ind w:left="1440" w:hanging="360"/>
      </w:pPr>
      <w:rPr>
        <w:sz w:val="20"/>
        <w:szCs w:val="20"/>
      </w:rPr>
    </w:lvl>
    <w:lvl w:ilvl="1" w:tplc="140A0019" w:tentative="1">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6" w15:restartNumberingAfterBreak="0">
    <w:nsid w:val="45620CE0"/>
    <w:multiLevelType w:val="hybridMultilevel"/>
    <w:tmpl w:val="F46203E4"/>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78B6092"/>
    <w:multiLevelType w:val="hybridMultilevel"/>
    <w:tmpl w:val="F580ECF4"/>
    <w:lvl w:ilvl="0" w:tplc="E40E7422">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8" w15:restartNumberingAfterBreak="0">
    <w:nsid w:val="4EA8511B"/>
    <w:multiLevelType w:val="hybridMultilevel"/>
    <w:tmpl w:val="91CCBA4E"/>
    <w:lvl w:ilvl="0" w:tplc="0409000F">
      <w:start w:val="1"/>
      <w:numFmt w:val="decimal"/>
      <w:lvlText w:val="%1."/>
      <w:lvlJc w:val="left"/>
      <w:pPr>
        <w:ind w:left="720" w:hanging="360"/>
      </w:pPr>
    </w:lvl>
    <w:lvl w:ilvl="1" w:tplc="0409000F">
      <w:start w:val="1"/>
      <w:numFmt w:val="decimal"/>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52FC65D4"/>
    <w:multiLevelType w:val="hybridMultilevel"/>
    <w:tmpl w:val="31088EC6"/>
    <w:lvl w:ilvl="0" w:tplc="E2A219D4">
      <w:start w:val="1"/>
      <w:numFmt w:val="decimal"/>
      <w:lvlText w:val="%1."/>
      <w:lvlJc w:val="left"/>
      <w:pPr>
        <w:ind w:left="360" w:hanging="360"/>
      </w:pPr>
      <w:rPr>
        <w:b/>
        <w:i w:val="0"/>
        <w:sz w:val="24"/>
        <w:szCs w:val="24"/>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0" w15:restartNumberingAfterBreak="0">
    <w:nsid w:val="559175B5"/>
    <w:multiLevelType w:val="hybridMultilevel"/>
    <w:tmpl w:val="226A9DF2"/>
    <w:lvl w:ilvl="0" w:tplc="D186BE14">
      <w:start w:val="1"/>
      <w:numFmt w:val="decimal"/>
      <w:lvlText w:val="%1."/>
      <w:lvlJc w:val="left"/>
      <w:pPr>
        <w:ind w:left="720" w:hanging="360"/>
      </w:pPr>
      <w:rPr>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69041926"/>
    <w:multiLevelType w:val="hybridMultilevel"/>
    <w:tmpl w:val="7B5C1260"/>
    <w:lvl w:ilvl="0" w:tplc="40C8CE5A">
      <w:start w:val="1"/>
      <w:numFmt w:val="decimal"/>
      <w:lvlText w:val="%1."/>
      <w:lvlJc w:val="left"/>
      <w:pPr>
        <w:ind w:left="720" w:hanging="360"/>
      </w:pPr>
      <w:rPr>
        <w:rFonts w:ascii="Arial" w:hAnsi="Arial" w:cs="Arial" w:hint="default"/>
        <w:i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6D77463F"/>
    <w:multiLevelType w:val="hybridMultilevel"/>
    <w:tmpl w:val="9528A926"/>
    <w:lvl w:ilvl="0" w:tplc="B218E5C0">
      <w:start w:val="1"/>
      <w:numFmt w:val="decimal"/>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3" w15:restartNumberingAfterBreak="0">
    <w:nsid w:val="714772FD"/>
    <w:multiLevelType w:val="hybridMultilevel"/>
    <w:tmpl w:val="E54C2992"/>
    <w:lvl w:ilvl="0" w:tplc="5358A92C">
      <w:start w:val="1"/>
      <w:numFmt w:val="decimal"/>
      <w:lvlText w:val="%1."/>
      <w:lvlJc w:val="left"/>
      <w:pPr>
        <w:ind w:left="1800" w:hanging="360"/>
      </w:pPr>
      <w:rPr>
        <w:rFonts w:hint="default"/>
        <w:i w:val="0"/>
        <w:sz w:val="20"/>
        <w:szCs w:val="20"/>
      </w:rPr>
    </w:lvl>
    <w:lvl w:ilvl="1" w:tplc="140A0019" w:tentative="1">
      <w:start w:val="1"/>
      <w:numFmt w:val="lowerLetter"/>
      <w:lvlText w:val="%2."/>
      <w:lvlJc w:val="left"/>
      <w:pPr>
        <w:ind w:left="2520" w:hanging="360"/>
      </w:pPr>
    </w:lvl>
    <w:lvl w:ilvl="2" w:tplc="140A001B" w:tentative="1">
      <w:start w:val="1"/>
      <w:numFmt w:val="lowerRoman"/>
      <w:lvlText w:val="%3."/>
      <w:lvlJc w:val="right"/>
      <w:pPr>
        <w:ind w:left="3240" w:hanging="180"/>
      </w:pPr>
    </w:lvl>
    <w:lvl w:ilvl="3" w:tplc="140A000F" w:tentative="1">
      <w:start w:val="1"/>
      <w:numFmt w:val="decimal"/>
      <w:lvlText w:val="%4."/>
      <w:lvlJc w:val="left"/>
      <w:pPr>
        <w:ind w:left="3960" w:hanging="360"/>
      </w:pPr>
    </w:lvl>
    <w:lvl w:ilvl="4" w:tplc="140A0019" w:tentative="1">
      <w:start w:val="1"/>
      <w:numFmt w:val="lowerLetter"/>
      <w:lvlText w:val="%5."/>
      <w:lvlJc w:val="left"/>
      <w:pPr>
        <w:ind w:left="4680" w:hanging="360"/>
      </w:pPr>
    </w:lvl>
    <w:lvl w:ilvl="5" w:tplc="140A001B" w:tentative="1">
      <w:start w:val="1"/>
      <w:numFmt w:val="lowerRoman"/>
      <w:lvlText w:val="%6."/>
      <w:lvlJc w:val="right"/>
      <w:pPr>
        <w:ind w:left="5400" w:hanging="180"/>
      </w:pPr>
    </w:lvl>
    <w:lvl w:ilvl="6" w:tplc="140A000F" w:tentative="1">
      <w:start w:val="1"/>
      <w:numFmt w:val="decimal"/>
      <w:lvlText w:val="%7."/>
      <w:lvlJc w:val="left"/>
      <w:pPr>
        <w:ind w:left="6120" w:hanging="360"/>
      </w:pPr>
    </w:lvl>
    <w:lvl w:ilvl="7" w:tplc="140A0019" w:tentative="1">
      <w:start w:val="1"/>
      <w:numFmt w:val="lowerLetter"/>
      <w:lvlText w:val="%8."/>
      <w:lvlJc w:val="left"/>
      <w:pPr>
        <w:ind w:left="6840" w:hanging="360"/>
      </w:pPr>
    </w:lvl>
    <w:lvl w:ilvl="8" w:tplc="140A001B" w:tentative="1">
      <w:start w:val="1"/>
      <w:numFmt w:val="lowerRoman"/>
      <w:lvlText w:val="%9."/>
      <w:lvlJc w:val="right"/>
      <w:pPr>
        <w:ind w:left="7560" w:hanging="180"/>
      </w:pPr>
    </w:lvl>
  </w:abstractNum>
  <w:abstractNum w:abstractNumId="24" w15:restartNumberingAfterBreak="0">
    <w:nsid w:val="791A38DB"/>
    <w:multiLevelType w:val="hybridMultilevel"/>
    <w:tmpl w:val="7244280C"/>
    <w:lvl w:ilvl="0" w:tplc="DBD4D45A">
      <w:start w:val="1"/>
      <w:numFmt w:val="decimal"/>
      <w:lvlText w:val="%1."/>
      <w:lvlJc w:val="left"/>
      <w:pPr>
        <w:ind w:left="360" w:hanging="360"/>
      </w:pPr>
      <w:rPr>
        <w:b/>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num w:numId="1">
    <w:abstractNumId w:val="4"/>
  </w:num>
  <w:num w:numId="2">
    <w:abstractNumId w:val="0"/>
  </w:num>
  <w:num w:numId="3">
    <w:abstractNumId w:val="19"/>
  </w:num>
  <w:num w:numId="4">
    <w:abstractNumId w:val="2"/>
  </w:num>
  <w:num w:numId="5">
    <w:abstractNumId w:val="20"/>
  </w:num>
  <w:num w:numId="6">
    <w:abstractNumId w:val="7"/>
  </w:num>
  <w:num w:numId="7">
    <w:abstractNumId w:val="8"/>
  </w:num>
  <w:num w:numId="8">
    <w:abstractNumId w:val="6"/>
  </w:num>
  <w:num w:numId="9">
    <w:abstractNumId w:val="15"/>
  </w:num>
  <w:num w:numId="10">
    <w:abstractNumId w:val="23"/>
  </w:num>
  <w:num w:numId="11">
    <w:abstractNumId w:val="12"/>
  </w:num>
  <w:num w:numId="12">
    <w:abstractNumId w:val="21"/>
  </w:num>
  <w:num w:numId="13">
    <w:abstractNumId w:val="1"/>
  </w:num>
  <w:num w:numId="14">
    <w:abstractNumId w:val="22"/>
  </w:num>
  <w:num w:numId="15">
    <w:abstractNumId w:val="14"/>
  </w:num>
  <w:num w:numId="16">
    <w:abstractNumId w:val="5"/>
  </w:num>
  <w:num w:numId="17">
    <w:abstractNumId w:val="13"/>
  </w:num>
  <w:num w:numId="18">
    <w:abstractNumId w:val="17"/>
  </w:num>
  <w:num w:numId="19">
    <w:abstractNumId w:val="24"/>
  </w:num>
  <w:num w:numId="20">
    <w:abstractNumId w:val="11"/>
  </w:num>
  <w:num w:numId="21">
    <w:abstractNumId w:val="10"/>
  </w:num>
  <w:num w:numId="22">
    <w:abstractNumId w:val="9"/>
  </w:num>
  <w:num w:numId="23">
    <w:abstractNumId w:val="16"/>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10592"/>
    <w:rsid w:val="00011DBE"/>
    <w:rsid w:val="000120EB"/>
    <w:rsid w:val="000128E2"/>
    <w:rsid w:val="00017DE2"/>
    <w:rsid w:val="00020858"/>
    <w:rsid w:val="000213DD"/>
    <w:rsid w:val="00024564"/>
    <w:rsid w:val="00024BA5"/>
    <w:rsid w:val="000254A5"/>
    <w:rsid w:val="000256DE"/>
    <w:rsid w:val="00033918"/>
    <w:rsid w:val="00034CE3"/>
    <w:rsid w:val="000359F5"/>
    <w:rsid w:val="0003651A"/>
    <w:rsid w:val="00036DAC"/>
    <w:rsid w:val="00037459"/>
    <w:rsid w:val="000401D6"/>
    <w:rsid w:val="000414FE"/>
    <w:rsid w:val="000428F8"/>
    <w:rsid w:val="000437DE"/>
    <w:rsid w:val="00043B22"/>
    <w:rsid w:val="00044242"/>
    <w:rsid w:val="00047F2B"/>
    <w:rsid w:val="00050123"/>
    <w:rsid w:val="00052427"/>
    <w:rsid w:val="000602DE"/>
    <w:rsid w:val="00060CCC"/>
    <w:rsid w:val="000642E4"/>
    <w:rsid w:val="00064D05"/>
    <w:rsid w:val="00067296"/>
    <w:rsid w:val="00067992"/>
    <w:rsid w:val="00067BE7"/>
    <w:rsid w:val="00067C8C"/>
    <w:rsid w:val="000719CB"/>
    <w:rsid w:val="0007411A"/>
    <w:rsid w:val="00076DBD"/>
    <w:rsid w:val="00076EC1"/>
    <w:rsid w:val="00077028"/>
    <w:rsid w:val="00077BC7"/>
    <w:rsid w:val="00077D4B"/>
    <w:rsid w:val="0008022E"/>
    <w:rsid w:val="00080FD1"/>
    <w:rsid w:val="0008108D"/>
    <w:rsid w:val="000813BE"/>
    <w:rsid w:val="00081BCF"/>
    <w:rsid w:val="00082329"/>
    <w:rsid w:val="000846DF"/>
    <w:rsid w:val="00084DC2"/>
    <w:rsid w:val="00084FDD"/>
    <w:rsid w:val="000856DA"/>
    <w:rsid w:val="000857E5"/>
    <w:rsid w:val="00087607"/>
    <w:rsid w:val="00087623"/>
    <w:rsid w:val="000903CE"/>
    <w:rsid w:val="00090FDF"/>
    <w:rsid w:val="00091B7B"/>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F00"/>
    <w:rsid w:val="000D1A31"/>
    <w:rsid w:val="000D220C"/>
    <w:rsid w:val="000D2AD1"/>
    <w:rsid w:val="000D34C2"/>
    <w:rsid w:val="000D5ACC"/>
    <w:rsid w:val="000D5C6B"/>
    <w:rsid w:val="000D6061"/>
    <w:rsid w:val="000D62F0"/>
    <w:rsid w:val="000D7162"/>
    <w:rsid w:val="000D793B"/>
    <w:rsid w:val="000E1F4D"/>
    <w:rsid w:val="000E39E4"/>
    <w:rsid w:val="000E420E"/>
    <w:rsid w:val="000E4C68"/>
    <w:rsid w:val="000E4FED"/>
    <w:rsid w:val="000E5B14"/>
    <w:rsid w:val="000E6DC9"/>
    <w:rsid w:val="000F106C"/>
    <w:rsid w:val="000F1E1D"/>
    <w:rsid w:val="000F2A0F"/>
    <w:rsid w:val="000F4527"/>
    <w:rsid w:val="000F473C"/>
    <w:rsid w:val="000F490D"/>
    <w:rsid w:val="000F4B43"/>
    <w:rsid w:val="000F50B9"/>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72AF"/>
    <w:rsid w:val="001304BF"/>
    <w:rsid w:val="0013093C"/>
    <w:rsid w:val="001314D7"/>
    <w:rsid w:val="001319DF"/>
    <w:rsid w:val="00132C08"/>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E82"/>
    <w:rsid w:val="001A0A20"/>
    <w:rsid w:val="001A214B"/>
    <w:rsid w:val="001A33C3"/>
    <w:rsid w:val="001A685C"/>
    <w:rsid w:val="001A7DF9"/>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684C"/>
    <w:rsid w:val="001E69A6"/>
    <w:rsid w:val="001E69C9"/>
    <w:rsid w:val="001E6DC5"/>
    <w:rsid w:val="001F0C0F"/>
    <w:rsid w:val="001F26FD"/>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4EFA"/>
    <w:rsid w:val="00266024"/>
    <w:rsid w:val="00266221"/>
    <w:rsid w:val="002668E5"/>
    <w:rsid w:val="00266AA4"/>
    <w:rsid w:val="0026727D"/>
    <w:rsid w:val="00267A3B"/>
    <w:rsid w:val="00267FAF"/>
    <w:rsid w:val="002743B7"/>
    <w:rsid w:val="00274B8E"/>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3ED6"/>
    <w:rsid w:val="002B4AA8"/>
    <w:rsid w:val="002C0D34"/>
    <w:rsid w:val="002C163E"/>
    <w:rsid w:val="002C19F4"/>
    <w:rsid w:val="002C228F"/>
    <w:rsid w:val="002C2B58"/>
    <w:rsid w:val="002C468D"/>
    <w:rsid w:val="002C4D2C"/>
    <w:rsid w:val="002C6BE2"/>
    <w:rsid w:val="002D170E"/>
    <w:rsid w:val="002D2A79"/>
    <w:rsid w:val="002D2C7C"/>
    <w:rsid w:val="002D2DF2"/>
    <w:rsid w:val="002D46A4"/>
    <w:rsid w:val="002D676B"/>
    <w:rsid w:val="002D6978"/>
    <w:rsid w:val="002D76DD"/>
    <w:rsid w:val="002E03BF"/>
    <w:rsid w:val="002E1507"/>
    <w:rsid w:val="002E2751"/>
    <w:rsid w:val="002E2D7B"/>
    <w:rsid w:val="002E49F2"/>
    <w:rsid w:val="002E5A2A"/>
    <w:rsid w:val="002E7062"/>
    <w:rsid w:val="002F03FC"/>
    <w:rsid w:val="002F05FD"/>
    <w:rsid w:val="002F1374"/>
    <w:rsid w:val="002F6367"/>
    <w:rsid w:val="00300778"/>
    <w:rsid w:val="003011A3"/>
    <w:rsid w:val="0030153B"/>
    <w:rsid w:val="00301B0B"/>
    <w:rsid w:val="00302A99"/>
    <w:rsid w:val="003042E7"/>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13A5"/>
    <w:rsid w:val="00332808"/>
    <w:rsid w:val="00333402"/>
    <w:rsid w:val="00334300"/>
    <w:rsid w:val="00336F05"/>
    <w:rsid w:val="00337455"/>
    <w:rsid w:val="00337E83"/>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D1B"/>
    <w:rsid w:val="0036607E"/>
    <w:rsid w:val="00366F0E"/>
    <w:rsid w:val="00370216"/>
    <w:rsid w:val="00371DC1"/>
    <w:rsid w:val="003756F2"/>
    <w:rsid w:val="00380871"/>
    <w:rsid w:val="00381397"/>
    <w:rsid w:val="0038212F"/>
    <w:rsid w:val="003828E2"/>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88C"/>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4443"/>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580"/>
    <w:rsid w:val="00443B63"/>
    <w:rsid w:val="004442EF"/>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7B5"/>
    <w:rsid w:val="00476861"/>
    <w:rsid w:val="00480A91"/>
    <w:rsid w:val="00481E38"/>
    <w:rsid w:val="004823B5"/>
    <w:rsid w:val="00482A59"/>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5FB"/>
    <w:rsid w:val="004E6E23"/>
    <w:rsid w:val="004E7D9D"/>
    <w:rsid w:val="004E7FFC"/>
    <w:rsid w:val="004F2645"/>
    <w:rsid w:val="004F319C"/>
    <w:rsid w:val="004F36F9"/>
    <w:rsid w:val="004F6BA9"/>
    <w:rsid w:val="004F7EB0"/>
    <w:rsid w:val="00501E14"/>
    <w:rsid w:val="00502116"/>
    <w:rsid w:val="00503263"/>
    <w:rsid w:val="005032E7"/>
    <w:rsid w:val="00504D5D"/>
    <w:rsid w:val="005052C7"/>
    <w:rsid w:val="00506EDE"/>
    <w:rsid w:val="00510C22"/>
    <w:rsid w:val="00511246"/>
    <w:rsid w:val="005121D8"/>
    <w:rsid w:val="005156CF"/>
    <w:rsid w:val="00515CEC"/>
    <w:rsid w:val="005166A5"/>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5BFB"/>
    <w:rsid w:val="00537CCA"/>
    <w:rsid w:val="00540263"/>
    <w:rsid w:val="005405AE"/>
    <w:rsid w:val="00540BF7"/>
    <w:rsid w:val="005428FF"/>
    <w:rsid w:val="00542FD2"/>
    <w:rsid w:val="00543D7B"/>
    <w:rsid w:val="005447D0"/>
    <w:rsid w:val="00546B67"/>
    <w:rsid w:val="00554E8E"/>
    <w:rsid w:val="005557C9"/>
    <w:rsid w:val="005578CB"/>
    <w:rsid w:val="005579A5"/>
    <w:rsid w:val="00561FD4"/>
    <w:rsid w:val="00563417"/>
    <w:rsid w:val="00563E83"/>
    <w:rsid w:val="005653A1"/>
    <w:rsid w:val="0056674D"/>
    <w:rsid w:val="00570916"/>
    <w:rsid w:val="00574E3C"/>
    <w:rsid w:val="005766E0"/>
    <w:rsid w:val="0057742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65A2"/>
    <w:rsid w:val="005A7087"/>
    <w:rsid w:val="005A74FE"/>
    <w:rsid w:val="005A76D9"/>
    <w:rsid w:val="005B2823"/>
    <w:rsid w:val="005B465B"/>
    <w:rsid w:val="005B6F1F"/>
    <w:rsid w:val="005C0755"/>
    <w:rsid w:val="005C2C87"/>
    <w:rsid w:val="005C329C"/>
    <w:rsid w:val="005C52A3"/>
    <w:rsid w:val="005C56A6"/>
    <w:rsid w:val="005D234B"/>
    <w:rsid w:val="005D242A"/>
    <w:rsid w:val="005E0359"/>
    <w:rsid w:val="005E06F0"/>
    <w:rsid w:val="005E10A2"/>
    <w:rsid w:val="005E1B2D"/>
    <w:rsid w:val="005E4831"/>
    <w:rsid w:val="005E6C51"/>
    <w:rsid w:val="005E6F3F"/>
    <w:rsid w:val="005E779D"/>
    <w:rsid w:val="005F3429"/>
    <w:rsid w:val="005F3B68"/>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15358"/>
    <w:rsid w:val="00621218"/>
    <w:rsid w:val="0062298E"/>
    <w:rsid w:val="00623598"/>
    <w:rsid w:val="00623979"/>
    <w:rsid w:val="00623BA9"/>
    <w:rsid w:val="0062557C"/>
    <w:rsid w:val="00625AB2"/>
    <w:rsid w:val="00631B4A"/>
    <w:rsid w:val="00633029"/>
    <w:rsid w:val="00633C40"/>
    <w:rsid w:val="00633E40"/>
    <w:rsid w:val="00636361"/>
    <w:rsid w:val="00641982"/>
    <w:rsid w:val="00641F5E"/>
    <w:rsid w:val="0064406E"/>
    <w:rsid w:val="006442DF"/>
    <w:rsid w:val="0064444E"/>
    <w:rsid w:val="00645C62"/>
    <w:rsid w:val="006465AB"/>
    <w:rsid w:val="00646ED5"/>
    <w:rsid w:val="00647711"/>
    <w:rsid w:val="00651E73"/>
    <w:rsid w:val="0065208E"/>
    <w:rsid w:val="00653158"/>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873E1"/>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D76"/>
    <w:rsid w:val="006B20B4"/>
    <w:rsid w:val="006B25A1"/>
    <w:rsid w:val="006B3AB9"/>
    <w:rsid w:val="006B3AF3"/>
    <w:rsid w:val="006B4FBB"/>
    <w:rsid w:val="006B5024"/>
    <w:rsid w:val="006B59C4"/>
    <w:rsid w:val="006B5EC0"/>
    <w:rsid w:val="006B7393"/>
    <w:rsid w:val="006B7D15"/>
    <w:rsid w:val="006C3D72"/>
    <w:rsid w:val="006C45BA"/>
    <w:rsid w:val="006C4FFB"/>
    <w:rsid w:val="006C7BCB"/>
    <w:rsid w:val="006D0052"/>
    <w:rsid w:val="006D0CAC"/>
    <w:rsid w:val="006D2575"/>
    <w:rsid w:val="006D4753"/>
    <w:rsid w:val="006D5CAB"/>
    <w:rsid w:val="006E0F76"/>
    <w:rsid w:val="006E1429"/>
    <w:rsid w:val="006E2881"/>
    <w:rsid w:val="006E4522"/>
    <w:rsid w:val="006E4F8A"/>
    <w:rsid w:val="006E64C7"/>
    <w:rsid w:val="006E6682"/>
    <w:rsid w:val="006E673C"/>
    <w:rsid w:val="006F39FD"/>
    <w:rsid w:val="006F47D9"/>
    <w:rsid w:val="006F6992"/>
    <w:rsid w:val="006F6A88"/>
    <w:rsid w:val="006F7054"/>
    <w:rsid w:val="006F736E"/>
    <w:rsid w:val="006F7C62"/>
    <w:rsid w:val="00700643"/>
    <w:rsid w:val="00704042"/>
    <w:rsid w:val="00706FEC"/>
    <w:rsid w:val="0071118B"/>
    <w:rsid w:val="007133B5"/>
    <w:rsid w:val="007140BA"/>
    <w:rsid w:val="0071574F"/>
    <w:rsid w:val="00716307"/>
    <w:rsid w:val="00716A85"/>
    <w:rsid w:val="00717E7B"/>
    <w:rsid w:val="00720E26"/>
    <w:rsid w:val="00722637"/>
    <w:rsid w:val="00725291"/>
    <w:rsid w:val="00730242"/>
    <w:rsid w:val="00730BAA"/>
    <w:rsid w:val="00730FA5"/>
    <w:rsid w:val="007313FD"/>
    <w:rsid w:val="00731403"/>
    <w:rsid w:val="00731891"/>
    <w:rsid w:val="0073280F"/>
    <w:rsid w:val="00733178"/>
    <w:rsid w:val="00734993"/>
    <w:rsid w:val="0073629D"/>
    <w:rsid w:val="007369BA"/>
    <w:rsid w:val="0073757A"/>
    <w:rsid w:val="00740752"/>
    <w:rsid w:val="0074284B"/>
    <w:rsid w:val="00744C74"/>
    <w:rsid w:val="007510B8"/>
    <w:rsid w:val="007512F6"/>
    <w:rsid w:val="0075179A"/>
    <w:rsid w:val="00751AB1"/>
    <w:rsid w:val="007548D7"/>
    <w:rsid w:val="007553D4"/>
    <w:rsid w:val="00760AD1"/>
    <w:rsid w:val="00760D93"/>
    <w:rsid w:val="00761133"/>
    <w:rsid w:val="007619FB"/>
    <w:rsid w:val="0076203A"/>
    <w:rsid w:val="00763AF2"/>
    <w:rsid w:val="00767A01"/>
    <w:rsid w:val="00767AF5"/>
    <w:rsid w:val="00771193"/>
    <w:rsid w:val="007729C9"/>
    <w:rsid w:val="00773CB5"/>
    <w:rsid w:val="007742A1"/>
    <w:rsid w:val="00774600"/>
    <w:rsid w:val="00777FF4"/>
    <w:rsid w:val="00781332"/>
    <w:rsid w:val="007819B0"/>
    <w:rsid w:val="007837C1"/>
    <w:rsid w:val="007848E0"/>
    <w:rsid w:val="0078514D"/>
    <w:rsid w:val="00791713"/>
    <w:rsid w:val="00791D2B"/>
    <w:rsid w:val="00794454"/>
    <w:rsid w:val="00795377"/>
    <w:rsid w:val="007A1C46"/>
    <w:rsid w:val="007A2D73"/>
    <w:rsid w:val="007A5E5B"/>
    <w:rsid w:val="007B381B"/>
    <w:rsid w:val="007B56C0"/>
    <w:rsid w:val="007B6F61"/>
    <w:rsid w:val="007B7700"/>
    <w:rsid w:val="007C024F"/>
    <w:rsid w:val="007C10F3"/>
    <w:rsid w:val="007C12C6"/>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A2E"/>
    <w:rsid w:val="007F1052"/>
    <w:rsid w:val="007F49BB"/>
    <w:rsid w:val="007F5314"/>
    <w:rsid w:val="007F60AC"/>
    <w:rsid w:val="007F625C"/>
    <w:rsid w:val="007F63D0"/>
    <w:rsid w:val="007F6D48"/>
    <w:rsid w:val="007F6F78"/>
    <w:rsid w:val="007F7114"/>
    <w:rsid w:val="007F730F"/>
    <w:rsid w:val="00800060"/>
    <w:rsid w:val="00800337"/>
    <w:rsid w:val="00800646"/>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D1C"/>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28F"/>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8F6C51"/>
    <w:rsid w:val="009006A5"/>
    <w:rsid w:val="00900ABC"/>
    <w:rsid w:val="00902B37"/>
    <w:rsid w:val="0090700F"/>
    <w:rsid w:val="00911F5C"/>
    <w:rsid w:val="00911F70"/>
    <w:rsid w:val="009120EB"/>
    <w:rsid w:val="00914473"/>
    <w:rsid w:val="00914F38"/>
    <w:rsid w:val="00915D94"/>
    <w:rsid w:val="00917F97"/>
    <w:rsid w:val="00924AA2"/>
    <w:rsid w:val="009258C6"/>
    <w:rsid w:val="00925985"/>
    <w:rsid w:val="00930A02"/>
    <w:rsid w:val="00931845"/>
    <w:rsid w:val="00931FBC"/>
    <w:rsid w:val="00932C87"/>
    <w:rsid w:val="009401C7"/>
    <w:rsid w:val="00945C56"/>
    <w:rsid w:val="009462DD"/>
    <w:rsid w:val="009526A4"/>
    <w:rsid w:val="00952F8F"/>
    <w:rsid w:val="00953265"/>
    <w:rsid w:val="00953CA5"/>
    <w:rsid w:val="009546D0"/>
    <w:rsid w:val="009561A9"/>
    <w:rsid w:val="00956670"/>
    <w:rsid w:val="0096004A"/>
    <w:rsid w:val="009600BB"/>
    <w:rsid w:val="00961770"/>
    <w:rsid w:val="00961D14"/>
    <w:rsid w:val="00962660"/>
    <w:rsid w:val="00963F04"/>
    <w:rsid w:val="00964B8E"/>
    <w:rsid w:val="009651B9"/>
    <w:rsid w:val="00967CC7"/>
    <w:rsid w:val="00971830"/>
    <w:rsid w:val="0097202A"/>
    <w:rsid w:val="00972E3C"/>
    <w:rsid w:val="00974D66"/>
    <w:rsid w:val="009750E5"/>
    <w:rsid w:val="0097601A"/>
    <w:rsid w:val="0097636F"/>
    <w:rsid w:val="009766BD"/>
    <w:rsid w:val="00976EA8"/>
    <w:rsid w:val="009775C5"/>
    <w:rsid w:val="0098075C"/>
    <w:rsid w:val="0098130D"/>
    <w:rsid w:val="00985EBE"/>
    <w:rsid w:val="009860F5"/>
    <w:rsid w:val="00990B7F"/>
    <w:rsid w:val="009912AB"/>
    <w:rsid w:val="00992545"/>
    <w:rsid w:val="00994C10"/>
    <w:rsid w:val="00995F34"/>
    <w:rsid w:val="00997041"/>
    <w:rsid w:val="00997E5D"/>
    <w:rsid w:val="009A16A5"/>
    <w:rsid w:val="009A56D9"/>
    <w:rsid w:val="009A664B"/>
    <w:rsid w:val="009A702A"/>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28A0"/>
    <w:rsid w:val="009E53A3"/>
    <w:rsid w:val="009E5AB7"/>
    <w:rsid w:val="009E65F6"/>
    <w:rsid w:val="009E74DA"/>
    <w:rsid w:val="009F18FD"/>
    <w:rsid w:val="009F2039"/>
    <w:rsid w:val="009F26A6"/>
    <w:rsid w:val="009F2D9A"/>
    <w:rsid w:val="009F4734"/>
    <w:rsid w:val="009F4B6B"/>
    <w:rsid w:val="009F58D0"/>
    <w:rsid w:val="009F79DC"/>
    <w:rsid w:val="00A00BFA"/>
    <w:rsid w:val="00A00DE4"/>
    <w:rsid w:val="00A00FA5"/>
    <w:rsid w:val="00A034D6"/>
    <w:rsid w:val="00A03887"/>
    <w:rsid w:val="00A03DB5"/>
    <w:rsid w:val="00A04B4B"/>
    <w:rsid w:val="00A05486"/>
    <w:rsid w:val="00A06A2B"/>
    <w:rsid w:val="00A07231"/>
    <w:rsid w:val="00A07BF1"/>
    <w:rsid w:val="00A139D3"/>
    <w:rsid w:val="00A144ED"/>
    <w:rsid w:val="00A1609F"/>
    <w:rsid w:val="00A1639A"/>
    <w:rsid w:val="00A16F28"/>
    <w:rsid w:val="00A22594"/>
    <w:rsid w:val="00A22FC1"/>
    <w:rsid w:val="00A2484D"/>
    <w:rsid w:val="00A258C2"/>
    <w:rsid w:val="00A261DF"/>
    <w:rsid w:val="00A276D0"/>
    <w:rsid w:val="00A27C72"/>
    <w:rsid w:val="00A305BA"/>
    <w:rsid w:val="00A32610"/>
    <w:rsid w:val="00A33D09"/>
    <w:rsid w:val="00A35122"/>
    <w:rsid w:val="00A354D5"/>
    <w:rsid w:val="00A359F6"/>
    <w:rsid w:val="00A369A0"/>
    <w:rsid w:val="00A405DB"/>
    <w:rsid w:val="00A44C4E"/>
    <w:rsid w:val="00A50190"/>
    <w:rsid w:val="00A53A87"/>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472C"/>
    <w:rsid w:val="00A96599"/>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598C"/>
    <w:rsid w:val="00B05C4B"/>
    <w:rsid w:val="00B05D21"/>
    <w:rsid w:val="00B10D6F"/>
    <w:rsid w:val="00B124AA"/>
    <w:rsid w:val="00B15322"/>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57CC3"/>
    <w:rsid w:val="00B60382"/>
    <w:rsid w:val="00B6158F"/>
    <w:rsid w:val="00B63D1C"/>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B2E58"/>
    <w:rsid w:val="00BB52F5"/>
    <w:rsid w:val="00BB6A5E"/>
    <w:rsid w:val="00BB6E6E"/>
    <w:rsid w:val="00BC005D"/>
    <w:rsid w:val="00BC10F8"/>
    <w:rsid w:val="00BC53DB"/>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7AE"/>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7C47"/>
    <w:rsid w:val="00C521FE"/>
    <w:rsid w:val="00C540BB"/>
    <w:rsid w:val="00C54CCA"/>
    <w:rsid w:val="00C54F22"/>
    <w:rsid w:val="00C55D84"/>
    <w:rsid w:val="00C56393"/>
    <w:rsid w:val="00C56BFB"/>
    <w:rsid w:val="00C6171B"/>
    <w:rsid w:val="00C61909"/>
    <w:rsid w:val="00C62A27"/>
    <w:rsid w:val="00C64580"/>
    <w:rsid w:val="00C64624"/>
    <w:rsid w:val="00C65E08"/>
    <w:rsid w:val="00C67192"/>
    <w:rsid w:val="00C718B7"/>
    <w:rsid w:val="00C71968"/>
    <w:rsid w:val="00C73715"/>
    <w:rsid w:val="00C75274"/>
    <w:rsid w:val="00C76420"/>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B0724"/>
    <w:rsid w:val="00CB0CB0"/>
    <w:rsid w:val="00CB0ED4"/>
    <w:rsid w:val="00CB1EFF"/>
    <w:rsid w:val="00CB4C4E"/>
    <w:rsid w:val="00CB5706"/>
    <w:rsid w:val="00CB5DCD"/>
    <w:rsid w:val="00CB682F"/>
    <w:rsid w:val="00CB7A61"/>
    <w:rsid w:val="00CC1B49"/>
    <w:rsid w:val="00CC24EB"/>
    <w:rsid w:val="00CC363D"/>
    <w:rsid w:val="00CC41FF"/>
    <w:rsid w:val="00CC64CA"/>
    <w:rsid w:val="00CC68BB"/>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D7E"/>
    <w:rsid w:val="00CF3F70"/>
    <w:rsid w:val="00CF4A51"/>
    <w:rsid w:val="00D00E82"/>
    <w:rsid w:val="00D0233D"/>
    <w:rsid w:val="00D023EE"/>
    <w:rsid w:val="00D0240D"/>
    <w:rsid w:val="00D040A1"/>
    <w:rsid w:val="00D04291"/>
    <w:rsid w:val="00D0436A"/>
    <w:rsid w:val="00D0545F"/>
    <w:rsid w:val="00D111F5"/>
    <w:rsid w:val="00D12861"/>
    <w:rsid w:val="00D136B7"/>
    <w:rsid w:val="00D13A88"/>
    <w:rsid w:val="00D14DDC"/>
    <w:rsid w:val="00D20378"/>
    <w:rsid w:val="00D216A2"/>
    <w:rsid w:val="00D2214C"/>
    <w:rsid w:val="00D23326"/>
    <w:rsid w:val="00D237DE"/>
    <w:rsid w:val="00D23962"/>
    <w:rsid w:val="00D24A4B"/>
    <w:rsid w:val="00D26F12"/>
    <w:rsid w:val="00D31B0E"/>
    <w:rsid w:val="00D31E17"/>
    <w:rsid w:val="00D3376F"/>
    <w:rsid w:val="00D350A6"/>
    <w:rsid w:val="00D3783E"/>
    <w:rsid w:val="00D37A3C"/>
    <w:rsid w:val="00D41C54"/>
    <w:rsid w:val="00D41CFB"/>
    <w:rsid w:val="00D43903"/>
    <w:rsid w:val="00D43FD9"/>
    <w:rsid w:val="00D4408D"/>
    <w:rsid w:val="00D44CBD"/>
    <w:rsid w:val="00D45874"/>
    <w:rsid w:val="00D46755"/>
    <w:rsid w:val="00D479AF"/>
    <w:rsid w:val="00D500A1"/>
    <w:rsid w:val="00D51BB1"/>
    <w:rsid w:val="00D5420C"/>
    <w:rsid w:val="00D5565D"/>
    <w:rsid w:val="00D558F9"/>
    <w:rsid w:val="00D57547"/>
    <w:rsid w:val="00D60137"/>
    <w:rsid w:val="00D6173A"/>
    <w:rsid w:val="00D65084"/>
    <w:rsid w:val="00D65680"/>
    <w:rsid w:val="00D6604C"/>
    <w:rsid w:val="00D66756"/>
    <w:rsid w:val="00D66ACE"/>
    <w:rsid w:val="00D67BAD"/>
    <w:rsid w:val="00D729A5"/>
    <w:rsid w:val="00D72ECB"/>
    <w:rsid w:val="00D76019"/>
    <w:rsid w:val="00D76B5F"/>
    <w:rsid w:val="00D85AF2"/>
    <w:rsid w:val="00D86B2D"/>
    <w:rsid w:val="00D91190"/>
    <w:rsid w:val="00D91D3F"/>
    <w:rsid w:val="00D91FDE"/>
    <w:rsid w:val="00D97654"/>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0212"/>
    <w:rsid w:val="00DF2525"/>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3C98"/>
    <w:rsid w:val="00E26992"/>
    <w:rsid w:val="00E277A1"/>
    <w:rsid w:val="00E30502"/>
    <w:rsid w:val="00E325C7"/>
    <w:rsid w:val="00E359B9"/>
    <w:rsid w:val="00E37B8A"/>
    <w:rsid w:val="00E41D82"/>
    <w:rsid w:val="00E42135"/>
    <w:rsid w:val="00E42492"/>
    <w:rsid w:val="00E426E5"/>
    <w:rsid w:val="00E43030"/>
    <w:rsid w:val="00E43A3A"/>
    <w:rsid w:val="00E43E6A"/>
    <w:rsid w:val="00E4464A"/>
    <w:rsid w:val="00E47137"/>
    <w:rsid w:val="00E512B0"/>
    <w:rsid w:val="00E527E9"/>
    <w:rsid w:val="00E53665"/>
    <w:rsid w:val="00E5372B"/>
    <w:rsid w:val="00E53C08"/>
    <w:rsid w:val="00E54B0E"/>
    <w:rsid w:val="00E5768A"/>
    <w:rsid w:val="00E5779F"/>
    <w:rsid w:val="00E57A60"/>
    <w:rsid w:val="00E61736"/>
    <w:rsid w:val="00E61CDC"/>
    <w:rsid w:val="00E6487C"/>
    <w:rsid w:val="00E64C9D"/>
    <w:rsid w:val="00E6544B"/>
    <w:rsid w:val="00E65876"/>
    <w:rsid w:val="00E70574"/>
    <w:rsid w:val="00E718A6"/>
    <w:rsid w:val="00E80FBE"/>
    <w:rsid w:val="00E818A8"/>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44D"/>
    <w:rsid w:val="00F23EFD"/>
    <w:rsid w:val="00F245F7"/>
    <w:rsid w:val="00F25DC2"/>
    <w:rsid w:val="00F30E9B"/>
    <w:rsid w:val="00F3442B"/>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60439"/>
    <w:rsid w:val="00F609B3"/>
    <w:rsid w:val="00F617DE"/>
    <w:rsid w:val="00F623C8"/>
    <w:rsid w:val="00F63922"/>
    <w:rsid w:val="00F64331"/>
    <w:rsid w:val="00F67816"/>
    <w:rsid w:val="00F72058"/>
    <w:rsid w:val="00F737AC"/>
    <w:rsid w:val="00F73C35"/>
    <w:rsid w:val="00F73E1E"/>
    <w:rsid w:val="00F74C39"/>
    <w:rsid w:val="00F74CEA"/>
    <w:rsid w:val="00F75168"/>
    <w:rsid w:val="00F77E94"/>
    <w:rsid w:val="00F803D2"/>
    <w:rsid w:val="00F808D8"/>
    <w:rsid w:val="00F81130"/>
    <w:rsid w:val="00F8405B"/>
    <w:rsid w:val="00F85C49"/>
    <w:rsid w:val="00F9258D"/>
    <w:rsid w:val="00F925E2"/>
    <w:rsid w:val="00F93629"/>
    <w:rsid w:val="00F9525E"/>
    <w:rsid w:val="00F952C5"/>
    <w:rsid w:val="00F95643"/>
    <w:rsid w:val="00F96A43"/>
    <w:rsid w:val="00F97429"/>
    <w:rsid w:val="00FA2416"/>
    <w:rsid w:val="00FA2A79"/>
    <w:rsid w:val="00FA31A5"/>
    <w:rsid w:val="00FA361C"/>
    <w:rsid w:val="00FA370C"/>
    <w:rsid w:val="00FA3C47"/>
    <w:rsid w:val="00FA44FB"/>
    <w:rsid w:val="00FA4749"/>
    <w:rsid w:val="00FA53B1"/>
    <w:rsid w:val="00FA6F2C"/>
    <w:rsid w:val="00FB0CC5"/>
    <w:rsid w:val="00FB0D21"/>
    <w:rsid w:val="00FB2607"/>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6B526C"/>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iPriority w:val="99"/>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2E7062"/>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37E83"/>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9E28A0"/>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7510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697390857">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39B53-F323-47B5-872D-3F2F6641D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7</Pages>
  <Words>2457</Words>
  <Characters>13515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15941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138</cp:revision>
  <cp:lastPrinted>2019-05-22T19:20:00Z</cp:lastPrinted>
  <dcterms:created xsi:type="dcterms:W3CDTF">2018-05-02T21:37:00Z</dcterms:created>
  <dcterms:modified xsi:type="dcterms:W3CDTF">2019-05-29T19:19:00Z</dcterms:modified>
</cp:coreProperties>
</file>